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D09FD" w14:textId="5FC88FA3" w:rsidR="00267F24" w:rsidRPr="005973B6" w:rsidRDefault="00267F24" w:rsidP="002253B1">
      <w:pPr>
        <w:spacing w:line="480" w:lineRule="auto"/>
        <w:rPr>
          <w:rFonts w:ascii="Times New Roman" w:hAnsi="Times New Roman" w:cs="Times New Roman"/>
          <w:b/>
          <w:sz w:val="24"/>
          <w:szCs w:val="24"/>
        </w:rPr>
      </w:pPr>
      <w:r w:rsidRPr="005973B6">
        <w:rPr>
          <w:rFonts w:ascii="Times New Roman" w:hAnsi="Times New Roman" w:cs="Times New Roman"/>
          <w:b/>
          <w:sz w:val="24"/>
          <w:szCs w:val="24"/>
        </w:rPr>
        <w:t xml:space="preserve">Imprisonment of </w:t>
      </w:r>
      <w:r w:rsidR="00E666C2">
        <w:rPr>
          <w:rFonts w:ascii="Times New Roman" w:hAnsi="Times New Roman" w:cs="Times New Roman"/>
          <w:b/>
          <w:sz w:val="24"/>
          <w:szCs w:val="24"/>
        </w:rPr>
        <w:t xml:space="preserve">Female </w:t>
      </w:r>
      <w:r w:rsidRPr="005973B6">
        <w:rPr>
          <w:rFonts w:ascii="Times New Roman" w:hAnsi="Times New Roman" w:cs="Times New Roman"/>
          <w:b/>
          <w:sz w:val="24"/>
          <w:szCs w:val="24"/>
        </w:rPr>
        <w:t>Urban and Rural Offenders in Victoria 1860-1920</w:t>
      </w:r>
    </w:p>
    <w:p w14:paraId="3EE151F9" w14:textId="77777777" w:rsidR="00267F24" w:rsidRPr="009C14D0" w:rsidRDefault="00267F24" w:rsidP="002253B1">
      <w:pPr>
        <w:spacing w:line="480" w:lineRule="auto"/>
        <w:rPr>
          <w:rFonts w:ascii="Times New Roman" w:hAnsi="Times New Roman" w:cs="Times New Roman"/>
          <w:b/>
          <w:i/>
          <w:sz w:val="24"/>
          <w:szCs w:val="24"/>
        </w:rPr>
      </w:pPr>
      <w:r w:rsidRPr="009C14D0">
        <w:rPr>
          <w:rFonts w:ascii="Times New Roman" w:hAnsi="Times New Roman" w:cs="Times New Roman"/>
          <w:b/>
          <w:i/>
          <w:sz w:val="24"/>
          <w:szCs w:val="24"/>
        </w:rPr>
        <w:t>Introduction</w:t>
      </w:r>
    </w:p>
    <w:p w14:paraId="6512A515" w14:textId="6230259E" w:rsidR="00267F24" w:rsidRPr="005973B6" w:rsidRDefault="00267F24" w:rsidP="002253B1">
      <w:pPr>
        <w:spacing w:line="480" w:lineRule="auto"/>
        <w:rPr>
          <w:rFonts w:ascii="Times New Roman" w:hAnsi="Times New Roman" w:cs="Times New Roman"/>
          <w:sz w:val="24"/>
          <w:szCs w:val="24"/>
        </w:rPr>
      </w:pPr>
      <w:r w:rsidRPr="004A5FE0">
        <w:rPr>
          <w:rFonts w:ascii="Times New Roman" w:hAnsi="Times New Roman" w:cs="Times New Roman"/>
          <w:sz w:val="24"/>
          <w:szCs w:val="24"/>
        </w:rPr>
        <w:t>Criminologists have traditionally focused their attenti</w:t>
      </w:r>
      <w:bookmarkStart w:id="0" w:name="_GoBack"/>
      <w:bookmarkEnd w:id="0"/>
      <w:r w:rsidRPr="004A5FE0">
        <w:rPr>
          <w:rFonts w:ascii="Times New Roman" w:hAnsi="Times New Roman" w:cs="Times New Roman"/>
          <w:sz w:val="24"/>
          <w:szCs w:val="24"/>
        </w:rPr>
        <w:t>on onto crime in the urban environment</w:t>
      </w:r>
      <w:r w:rsidR="00510913">
        <w:rPr>
          <w:rFonts w:ascii="Times New Roman" w:hAnsi="Times New Roman" w:cs="Times New Roman"/>
          <w:sz w:val="24"/>
          <w:szCs w:val="24"/>
        </w:rPr>
        <w:t xml:space="preserve">. </w:t>
      </w:r>
      <w:r w:rsidRPr="004A5FE0">
        <w:rPr>
          <w:rFonts w:ascii="Times New Roman" w:hAnsi="Times New Roman" w:cs="Times New Roman"/>
          <w:sz w:val="24"/>
          <w:szCs w:val="24"/>
        </w:rPr>
        <w:t xml:space="preserve">This has been the case not only </w:t>
      </w:r>
      <w:r w:rsidR="002A10F3" w:rsidRPr="004A5FE0">
        <w:rPr>
          <w:rFonts w:ascii="Times New Roman" w:hAnsi="Times New Roman" w:cs="Times New Roman"/>
          <w:sz w:val="24"/>
          <w:szCs w:val="24"/>
        </w:rPr>
        <w:t xml:space="preserve">in </w:t>
      </w:r>
      <w:r w:rsidRPr="004A5FE0">
        <w:rPr>
          <w:rFonts w:ascii="Times New Roman" w:hAnsi="Times New Roman" w:cs="Times New Roman"/>
          <w:sz w:val="24"/>
          <w:szCs w:val="24"/>
        </w:rPr>
        <w:t xml:space="preserve">Australian but also international </w:t>
      </w:r>
      <w:r w:rsidRPr="009D582A">
        <w:rPr>
          <w:rFonts w:ascii="Times New Roman" w:hAnsi="Times New Roman" w:cs="Times New Roman"/>
          <w:sz w:val="24"/>
          <w:szCs w:val="24"/>
        </w:rPr>
        <w:t>literature (</w:t>
      </w:r>
      <w:r w:rsidR="00510913">
        <w:rPr>
          <w:rFonts w:ascii="Times New Roman" w:hAnsi="Times New Roman" w:cs="Times New Roman"/>
          <w:sz w:val="24"/>
          <w:szCs w:val="24"/>
        </w:rPr>
        <w:t>DeKeseredy, 2015</w:t>
      </w:r>
      <w:r w:rsidR="00045DE5">
        <w:rPr>
          <w:rFonts w:ascii="Times New Roman" w:hAnsi="Times New Roman" w:cs="Times New Roman"/>
          <w:sz w:val="24"/>
          <w:szCs w:val="24"/>
        </w:rPr>
        <w:t>; Carrington, 2007</w:t>
      </w:r>
      <w:r w:rsidRPr="009D582A">
        <w:rPr>
          <w:rFonts w:ascii="Times New Roman" w:hAnsi="Times New Roman" w:cs="Times New Roman"/>
          <w:sz w:val="24"/>
          <w:szCs w:val="24"/>
        </w:rPr>
        <w:t xml:space="preserve">). This is not without validity seeing as </w:t>
      </w:r>
      <w:r w:rsidR="00BE51B2" w:rsidRPr="00113B1A">
        <w:rPr>
          <w:rFonts w:ascii="Times New Roman" w:hAnsi="Times New Roman" w:cs="Times New Roman"/>
          <w:sz w:val="24"/>
          <w:szCs w:val="24"/>
        </w:rPr>
        <w:t>a large proportion of</w:t>
      </w:r>
      <w:r w:rsidRPr="00113B1A">
        <w:rPr>
          <w:rFonts w:ascii="Times New Roman" w:hAnsi="Times New Roman" w:cs="Times New Roman"/>
          <w:sz w:val="24"/>
          <w:szCs w:val="24"/>
        </w:rPr>
        <w:t xml:space="preserve"> recorded crime is located within dense urban populations. Concern with the urban environment and its perceived criminogenic properties has been the focus of social scien</w:t>
      </w:r>
      <w:r w:rsidRPr="005973B6">
        <w:rPr>
          <w:rFonts w:ascii="Times New Roman" w:hAnsi="Times New Roman" w:cs="Times New Roman"/>
          <w:sz w:val="24"/>
          <w:szCs w:val="24"/>
        </w:rPr>
        <w:t>tists since the major shift from agrarian to more industrialised societies</w:t>
      </w:r>
      <w:r w:rsidR="00CD10F7">
        <w:rPr>
          <w:rFonts w:ascii="Times New Roman" w:hAnsi="Times New Roman" w:cs="Times New Roman"/>
          <w:sz w:val="24"/>
          <w:szCs w:val="24"/>
        </w:rPr>
        <w:t>.</w:t>
      </w:r>
      <w:r w:rsidRPr="005973B6">
        <w:rPr>
          <w:rFonts w:ascii="Times New Roman" w:hAnsi="Times New Roman" w:cs="Times New Roman"/>
          <w:sz w:val="24"/>
          <w:szCs w:val="24"/>
        </w:rPr>
        <w:t xml:space="preserve"> </w:t>
      </w:r>
      <w:r w:rsidR="00CD10F7">
        <w:rPr>
          <w:rFonts w:ascii="Times New Roman" w:hAnsi="Times New Roman" w:cs="Times New Roman"/>
          <w:sz w:val="24"/>
          <w:szCs w:val="24"/>
        </w:rPr>
        <w:t>T</w:t>
      </w:r>
      <w:r w:rsidRPr="005973B6">
        <w:rPr>
          <w:rFonts w:ascii="Times New Roman" w:hAnsi="Times New Roman" w:cs="Times New Roman"/>
          <w:sz w:val="24"/>
          <w:szCs w:val="24"/>
        </w:rPr>
        <w:t xml:space="preserve">he consequent </w:t>
      </w:r>
      <w:r w:rsidR="00BE51B2" w:rsidRPr="005973B6">
        <w:rPr>
          <w:rFonts w:ascii="Times New Roman" w:hAnsi="Times New Roman" w:cs="Times New Roman"/>
          <w:sz w:val="24"/>
          <w:szCs w:val="24"/>
        </w:rPr>
        <w:t xml:space="preserve">population shift </w:t>
      </w:r>
      <w:r w:rsidRPr="005973B6">
        <w:rPr>
          <w:rFonts w:ascii="Times New Roman" w:hAnsi="Times New Roman" w:cs="Times New Roman"/>
          <w:sz w:val="24"/>
          <w:szCs w:val="24"/>
        </w:rPr>
        <w:t>from</w:t>
      </w:r>
      <w:r w:rsidR="00CD10F7">
        <w:rPr>
          <w:rFonts w:ascii="Times New Roman" w:hAnsi="Times New Roman" w:cs="Times New Roman"/>
          <w:sz w:val="24"/>
          <w:szCs w:val="24"/>
        </w:rPr>
        <w:t xml:space="preserve"> </w:t>
      </w:r>
      <w:r w:rsidRPr="005973B6">
        <w:rPr>
          <w:rFonts w:ascii="Times New Roman" w:hAnsi="Times New Roman" w:cs="Times New Roman"/>
          <w:sz w:val="24"/>
          <w:szCs w:val="24"/>
        </w:rPr>
        <w:t>rural to urban environment</w:t>
      </w:r>
      <w:r w:rsidR="00CD10F7">
        <w:rPr>
          <w:rFonts w:ascii="Times New Roman" w:hAnsi="Times New Roman" w:cs="Times New Roman"/>
          <w:sz w:val="24"/>
          <w:szCs w:val="24"/>
        </w:rPr>
        <w:t>s</w:t>
      </w:r>
      <w:r w:rsidRPr="005973B6">
        <w:rPr>
          <w:rFonts w:ascii="Times New Roman" w:hAnsi="Times New Roman" w:cs="Times New Roman"/>
          <w:sz w:val="24"/>
          <w:szCs w:val="24"/>
        </w:rPr>
        <w:t xml:space="preserve"> was problematised and located as the cause for </w:t>
      </w:r>
      <w:r w:rsidR="00BE51B2" w:rsidRPr="005973B6">
        <w:rPr>
          <w:rFonts w:ascii="Times New Roman" w:hAnsi="Times New Roman" w:cs="Times New Roman"/>
          <w:sz w:val="24"/>
          <w:szCs w:val="24"/>
        </w:rPr>
        <w:t>changes</w:t>
      </w:r>
      <w:r w:rsidRPr="005973B6">
        <w:rPr>
          <w:rFonts w:ascii="Times New Roman" w:hAnsi="Times New Roman" w:cs="Times New Roman"/>
          <w:sz w:val="24"/>
          <w:szCs w:val="24"/>
        </w:rPr>
        <w:t xml:space="preserve"> in suicide rates, interpersonal conflict, property damage, and general social malaise (Durkheim</w:t>
      </w:r>
      <w:r w:rsidR="00DC342E">
        <w:rPr>
          <w:rFonts w:ascii="Times New Roman" w:hAnsi="Times New Roman" w:cs="Times New Roman"/>
          <w:sz w:val="24"/>
          <w:szCs w:val="24"/>
        </w:rPr>
        <w:t>1895/2007;</w:t>
      </w:r>
      <w:r w:rsidRPr="005973B6">
        <w:rPr>
          <w:rFonts w:ascii="Times New Roman" w:hAnsi="Times New Roman" w:cs="Times New Roman"/>
          <w:sz w:val="24"/>
          <w:szCs w:val="24"/>
        </w:rPr>
        <w:t xml:space="preserve"> T</w:t>
      </w:r>
      <w:r w:rsidRPr="005973B6">
        <w:rPr>
          <w:rFonts w:ascii="Times New Roman" w:hAnsi="Times New Roman" w:cs="Times New Roman"/>
          <w:sz w:val="24"/>
          <w:szCs w:val="24"/>
          <w:lang w:val="hu-HU"/>
        </w:rPr>
        <w:t>ö</w:t>
      </w:r>
      <w:r w:rsidRPr="005973B6">
        <w:rPr>
          <w:rFonts w:ascii="Times New Roman" w:hAnsi="Times New Roman" w:cs="Times New Roman"/>
          <w:sz w:val="24"/>
          <w:szCs w:val="24"/>
        </w:rPr>
        <w:t xml:space="preserve">nnies, 1957; Wirth, 1938). </w:t>
      </w:r>
    </w:p>
    <w:p w14:paraId="231E2544" w14:textId="6D88E54E" w:rsidR="00E31A73" w:rsidRDefault="00E31A73" w:rsidP="002253B1">
      <w:pPr>
        <w:spacing w:line="480" w:lineRule="auto"/>
        <w:ind w:firstLine="720"/>
        <w:rPr>
          <w:rFonts w:ascii="Times New Roman" w:hAnsi="Times New Roman" w:cs="Times New Roman"/>
          <w:sz w:val="24"/>
          <w:szCs w:val="24"/>
        </w:rPr>
      </w:pPr>
      <w:r w:rsidRPr="005973B6">
        <w:rPr>
          <w:rFonts w:ascii="Times New Roman" w:hAnsi="Times New Roman" w:cs="Times New Roman"/>
          <w:sz w:val="24"/>
          <w:szCs w:val="24"/>
        </w:rPr>
        <w:t>In the last three decades, there has been a change towards examining rural communities</w:t>
      </w:r>
      <w:r w:rsidR="00F81AD4">
        <w:rPr>
          <w:rFonts w:ascii="Times New Roman" w:hAnsi="Times New Roman" w:cs="Times New Roman"/>
          <w:sz w:val="24"/>
          <w:szCs w:val="24"/>
        </w:rPr>
        <w:t>’</w:t>
      </w:r>
      <w:r w:rsidRPr="005973B6">
        <w:rPr>
          <w:rFonts w:ascii="Times New Roman" w:hAnsi="Times New Roman" w:cs="Times New Roman"/>
          <w:sz w:val="24"/>
          <w:szCs w:val="24"/>
        </w:rPr>
        <w:t xml:space="preserve"> crime, criminogenic risk factors for offending, as well as victimisation. Recent exploration of crime and policing in rural Australia highlights the very different issues that communities in Australia face in comparison to their international counterparts, and has argued that the bucolic image of regional and rural Australia as a place of peace, tranquillity and safety is not based on reality, with rural communities often facing similar crime rates and issues as urban environments (</w:t>
      </w:r>
      <w:r>
        <w:rPr>
          <w:rFonts w:ascii="Times New Roman" w:hAnsi="Times New Roman" w:cs="Times New Roman"/>
          <w:sz w:val="24"/>
          <w:szCs w:val="24"/>
        </w:rPr>
        <w:t>Carrington, 2007; Carcach, 2000; Hogg &amp; Carrington, 2006; Jobes, Barclay, Donnermeyer &amp; Graycar, 2001</w:t>
      </w:r>
      <w:r w:rsidRPr="005973B6">
        <w:rPr>
          <w:rFonts w:ascii="Times New Roman" w:hAnsi="Times New Roman" w:cs="Times New Roman"/>
          <w:sz w:val="24"/>
          <w:szCs w:val="24"/>
        </w:rPr>
        <w:t>).</w:t>
      </w:r>
      <w:r>
        <w:rPr>
          <w:rFonts w:ascii="Times New Roman" w:hAnsi="Times New Roman" w:cs="Times New Roman"/>
          <w:sz w:val="24"/>
          <w:szCs w:val="24"/>
        </w:rPr>
        <w:t xml:space="preserve"> Attempts have been made to </w:t>
      </w:r>
      <w:r w:rsidR="004D63D3">
        <w:rPr>
          <w:rFonts w:ascii="Times New Roman" w:hAnsi="Times New Roman" w:cs="Times New Roman"/>
          <w:sz w:val="24"/>
          <w:szCs w:val="24"/>
        </w:rPr>
        <w:t>deliver</w:t>
      </w:r>
      <w:r>
        <w:rPr>
          <w:rFonts w:ascii="Times New Roman" w:hAnsi="Times New Roman" w:cs="Times New Roman"/>
          <w:sz w:val="24"/>
          <w:szCs w:val="24"/>
        </w:rPr>
        <w:t xml:space="preserve"> </w:t>
      </w:r>
      <w:r w:rsidR="00CD10F7">
        <w:rPr>
          <w:rFonts w:ascii="Times New Roman" w:hAnsi="Times New Roman" w:cs="Times New Roman"/>
          <w:sz w:val="24"/>
          <w:szCs w:val="24"/>
        </w:rPr>
        <w:t xml:space="preserve">historic </w:t>
      </w:r>
      <w:r>
        <w:rPr>
          <w:rFonts w:ascii="Times New Roman" w:hAnsi="Times New Roman" w:cs="Times New Roman"/>
          <w:sz w:val="24"/>
          <w:szCs w:val="24"/>
        </w:rPr>
        <w:t xml:space="preserve">longitudinal quantitative data of both urban and rural </w:t>
      </w:r>
      <w:r w:rsidR="00CD10F7">
        <w:rPr>
          <w:rFonts w:ascii="Times New Roman" w:hAnsi="Times New Roman" w:cs="Times New Roman"/>
          <w:sz w:val="24"/>
          <w:szCs w:val="24"/>
        </w:rPr>
        <w:t xml:space="preserve">convictions </w:t>
      </w:r>
      <w:r w:rsidR="004D63D3">
        <w:rPr>
          <w:rFonts w:ascii="Times New Roman" w:hAnsi="Times New Roman" w:cs="Times New Roman"/>
          <w:sz w:val="24"/>
          <w:szCs w:val="24"/>
        </w:rPr>
        <w:t xml:space="preserve">by </w:t>
      </w:r>
      <w:r>
        <w:rPr>
          <w:rFonts w:ascii="Times New Roman" w:hAnsi="Times New Roman" w:cs="Times New Roman"/>
          <w:sz w:val="24"/>
          <w:szCs w:val="24"/>
        </w:rPr>
        <w:t xml:space="preserve">researchers but with little analysis along the lines of gender differences, nor contextualisation of the statistical data (Mukherjee, Walker &amp; Jacobsen, 1986). </w:t>
      </w:r>
      <w:r w:rsidR="00CD10F7">
        <w:rPr>
          <w:rFonts w:ascii="Times New Roman" w:hAnsi="Times New Roman" w:cs="Times New Roman"/>
          <w:sz w:val="24"/>
          <w:szCs w:val="24"/>
        </w:rPr>
        <w:t xml:space="preserve"> Historical r</w:t>
      </w:r>
      <w:r w:rsidR="00CD10F7" w:rsidRPr="005973B6">
        <w:rPr>
          <w:rFonts w:ascii="Times New Roman" w:hAnsi="Times New Roman" w:cs="Times New Roman"/>
          <w:sz w:val="24"/>
          <w:szCs w:val="24"/>
        </w:rPr>
        <w:t xml:space="preserve">esearch </w:t>
      </w:r>
      <w:r w:rsidRPr="005973B6">
        <w:rPr>
          <w:rFonts w:ascii="Times New Roman" w:hAnsi="Times New Roman" w:cs="Times New Roman"/>
          <w:sz w:val="24"/>
          <w:szCs w:val="24"/>
        </w:rPr>
        <w:t xml:space="preserve">into crime in rural </w:t>
      </w:r>
      <w:r w:rsidR="00AB790E">
        <w:rPr>
          <w:rFonts w:ascii="Times New Roman" w:hAnsi="Times New Roman" w:cs="Times New Roman"/>
          <w:sz w:val="24"/>
          <w:szCs w:val="24"/>
        </w:rPr>
        <w:t>Australia</w:t>
      </w:r>
      <w:r w:rsidR="00AB790E" w:rsidRPr="005973B6">
        <w:rPr>
          <w:rFonts w:ascii="Times New Roman" w:hAnsi="Times New Roman" w:cs="Times New Roman"/>
          <w:sz w:val="24"/>
          <w:szCs w:val="24"/>
        </w:rPr>
        <w:t xml:space="preserve"> </w:t>
      </w:r>
      <w:r w:rsidRPr="005973B6">
        <w:rPr>
          <w:rFonts w:ascii="Times New Roman" w:hAnsi="Times New Roman" w:cs="Times New Roman"/>
          <w:sz w:val="24"/>
          <w:szCs w:val="24"/>
        </w:rPr>
        <w:t>has</w:t>
      </w:r>
      <w:r w:rsidR="00045DE5">
        <w:rPr>
          <w:rFonts w:ascii="Times New Roman" w:hAnsi="Times New Roman" w:cs="Times New Roman"/>
          <w:sz w:val="24"/>
          <w:szCs w:val="24"/>
        </w:rPr>
        <w:t xml:space="preserve"> also</w:t>
      </w:r>
      <w:r w:rsidRPr="005973B6">
        <w:rPr>
          <w:rFonts w:ascii="Times New Roman" w:hAnsi="Times New Roman" w:cs="Times New Roman"/>
          <w:sz w:val="24"/>
          <w:szCs w:val="24"/>
        </w:rPr>
        <w:t xml:space="preserve"> tended to focus on bushranging (with particular focus on Ned Kelly and the Kelly Gang), policing and unrest on the goldfields</w:t>
      </w:r>
      <w:r>
        <w:rPr>
          <w:rFonts w:ascii="Times New Roman" w:hAnsi="Times New Roman" w:cs="Times New Roman"/>
          <w:sz w:val="24"/>
          <w:szCs w:val="24"/>
        </w:rPr>
        <w:t xml:space="preserve"> or issues with squatters</w:t>
      </w:r>
      <w:r w:rsidRPr="005973B6">
        <w:rPr>
          <w:rFonts w:ascii="Times New Roman" w:hAnsi="Times New Roman" w:cs="Times New Roman"/>
          <w:sz w:val="24"/>
          <w:szCs w:val="24"/>
        </w:rPr>
        <w:t xml:space="preserve"> (</w:t>
      </w:r>
      <w:r>
        <w:rPr>
          <w:rFonts w:ascii="Times New Roman" w:hAnsi="Times New Roman" w:cs="Times New Roman"/>
          <w:sz w:val="24"/>
          <w:szCs w:val="24"/>
        </w:rPr>
        <w:t xml:space="preserve">Disher, 1981; Thurgood, 1988; </w:t>
      </w:r>
      <w:r>
        <w:rPr>
          <w:rFonts w:ascii="Times New Roman" w:hAnsi="Times New Roman" w:cs="Times New Roman"/>
          <w:sz w:val="24"/>
          <w:szCs w:val="24"/>
        </w:rPr>
        <w:lastRenderedPageBreak/>
        <w:t>McQuilton 1990</w:t>
      </w:r>
      <w:r w:rsidRPr="005973B6">
        <w:rPr>
          <w:rFonts w:ascii="Times New Roman" w:hAnsi="Times New Roman" w:cs="Times New Roman"/>
          <w:sz w:val="24"/>
          <w:szCs w:val="24"/>
        </w:rPr>
        <w:t>). This article begins to redress this imbalance by examining urban and rural women’s imprisonment in Victoria between 1860 and 1920.</w:t>
      </w:r>
    </w:p>
    <w:p w14:paraId="661C18FE" w14:textId="77777777" w:rsidR="004E7B4C" w:rsidRPr="00F548EB" w:rsidRDefault="004E7B4C" w:rsidP="004E7B4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article examines the</w:t>
      </w:r>
      <w:r w:rsidRPr="005973B6">
        <w:rPr>
          <w:rFonts w:ascii="Times New Roman" w:hAnsi="Times New Roman" w:cs="Times New Roman"/>
          <w:sz w:val="24"/>
          <w:szCs w:val="24"/>
        </w:rPr>
        <w:t xml:space="preserve"> offending patterns of 6,042 women imprisoned for the first time in Victoria between 1860 and 1920</w:t>
      </w:r>
      <w:r>
        <w:rPr>
          <w:rFonts w:ascii="Times New Roman" w:hAnsi="Times New Roman" w:cs="Times New Roman"/>
          <w:sz w:val="24"/>
          <w:szCs w:val="24"/>
        </w:rPr>
        <w:t>, of whom geographic location data is known for 6,027 prisoners</w:t>
      </w:r>
      <w:r w:rsidRPr="005973B6">
        <w:rPr>
          <w:rFonts w:ascii="Times New Roman" w:hAnsi="Times New Roman" w:cs="Times New Roman"/>
          <w:sz w:val="24"/>
          <w:szCs w:val="24"/>
        </w:rPr>
        <w:t>. This dataset represents the first longit</w:t>
      </w:r>
      <w:r w:rsidRPr="00F548EB">
        <w:rPr>
          <w:rFonts w:ascii="Times New Roman" w:hAnsi="Times New Roman" w:cs="Times New Roman"/>
          <w:sz w:val="24"/>
          <w:szCs w:val="24"/>
        </w:rPr>
        <w:t xml:space="preserve">udinal study of women’s criminality in Australia and one of the largest studies of historic female offending to date. </w:t>
      </w:r>
      <w:r>
        <w:rPr>
          <w:rFonts w:ascii="Times New Roman" w:hAnsi="Times New Roman" w:cs="Times New Roman"/>
          <w:sz w:val="24"/>
          <w:szCs w:val="24"/>
        </w:rPr>
        <w:t>It enables</w:t>
      </w:r>
      <w:r w:rsidRPr="00F548EB">
        <w:rPr>
          <w:rFonts w:ascii="Times New Roman" w:hAnsi="Times New Roman" w:cs="Times New Roman"/>
          <w:sz w:val="24"/>
          <w:szCs w:val="24"/>
        </w:rPr>
        <w:t xml:space="preserve"> insights into the variations in incidence of women being convicted by rural versus urban courts, </w:t>
      </w:r>
      <w:r>
        <w:rPr>
          <w:rFonts w:ascii="Times New Roman" w:hAnsi="Times New Roman" w:cs="Times New Roman"/>
          <w:sz w:val="24"/>
          <w:szCs w:val="24"/>
        </w:rPr>
        <w:t>including</w:t>
      </w:r>
      <w:r w:rsidRPr="00F548EB">
        <w:rPr>
          <w:rFonts w:ascii="Times New Roman" w:hAnsi="Times New Roman" w:cs="Times New Roman"/>
          <w:sz w:val="24"/>
          <w:szCs w:val="24"/>
        </w:rPr>
        <w:t xml:space="preserve"> close focus on the difference</w:t>
      </w:r>
      <w:r w:rsidRPr="009C14D0">
        <w:rPr>
          <w:rFonts w:ascii="Times New Roman" w:hAnsi="Times New Roman" w:cs="Times New Roman"/>
          <w:sz w:val="24"/>
          <w:szCs w:val="24"/>
        </w:rPr>
        <w:t xml:space="preserve"> in types of offences being committed in urban and rural locations, as well as women’s mobility between rural and urban communities and change in their offending profiles based on their geographic locations. Our findings suggest that while the authorities were </w:t>
      </w:r>
      <w:r w:rsidRPr="004A5FE0">
        <w:rPr>
          <w:rFonts w:ascii="Times New Roman" w:hAnsi="Times New Roman" w:cs="Times New Roman"/>
          <w:sz w:val="24"/>
          <w:szCs w:val="24"/>
        </w:rPr>
        <w:t xml:space="preserve">broadly most concerned with removing disorderly and vagrant women from </w:t>
      </w:r>
      <w:r w:rsidRPr="009D582A">
        <w:rPr>
          <w:rFonts w:ascii="Times New Roman" w:hAnsi="Times New Roman" w:cs="Times New Roman"/>
          <w:sz w:val="24"/>
          <w:szCs w:val="24"/>
        </w:rPr>
        <w:t xml:space="preserve">both </w:t>
      </w:r>
      <w:r w:rsidRPr="009A5756">
        <w:rPr>
          <w:rFonts w:ascii="Times New Roman" w:hAnsi="Times New Roman" w:cs="Times New Roman"/>
          <w:sz w:val="24"/>
          <w:szCs w:val="24"/>
        </w:rPr>
        <w:t xml:space="preserve">urban and rural streets, rural offending </w:t>
      </w:r>
      <w:r>
        <w:rPr>
          <w:rFonts w:ascii="Times New Roman" w:hAnsi="Times New Roman" w:cs="Times New Roman"/>
          <w:sz w:val="24"/>
          <w:szCs w:val="24"/>
        </w:rPr>
        <w:t>had its own characteristics that differentiate it from urban offending</w:t>
      </w:r>
      <w:r w:rsidRPr="005973B6">
        <w:rPr>
          <w:rFonts w:ascii="Times New Roman" w:hAnsi="Times New Roman" w:cs="Times New Roman"/>
          <w:sz w:val="24"/>
          <w:szCs w:val="24"/>
        </w:rPr>
        <w:t xml:space="preserve">. </w:t>
      </w:r>
    </w:p>
    <w:p w14:paraId="16810989" w14:textId="1A585E94" w:rsidR="004E7B4C" w:rsidRDefault="004E7B4C" w:rsidP="003032B2">
      <w:pPr>
        <w:spacing w:line="480" w:lineRule="auto"/>
        <w:rPr>
          <w:rFonts w:ascii="Times New Roman" w:hAnsi="Times New Roman" w:cs="Times New Roman"/>
          <w:sz w:val="24"/>
          <w:szCs w:val="24"/>
        </w:rPr>
      </w:pPr>
      <w:r w:rsidRPr="009C14D0">
        <w:rPr>
          <w:rFonts w:ascii="Times New Roman" w:hAnsi="Times New Roman" w:cs="Times New Roman"/>
          <w:sz w:val="24"/>
          <w:szCs w:val="24"/>
        </w:rPr>
        <w:t>Defining what is considered “rural” or “regional” is difficult, due in part to definitions of rurality changing based on the disciplin</w:t>
      </w:r>
      <w:r w:rsidRPr="004A5FE0">
        <w:rPr>
          <w:rFonts w:ascii="Times New Roman" w:hAnsi="Times New Roman" w:cs="Times New Roman"/>
          <w:sz w:val="24"/>
          <w:szCs w:val="24"/>
        </w:rPr>
        <w:t>e of the investigators, as well as traditional Australian notions of regional and rural as being anything that is outside of the major coastal capital cities (</w:t>
      </w:r>
      <w:r>
        <w:rPr>
          <w:rFonts w:ascii="Times New Roman" w:hAnsi="Times New Roman" w:cs="Times New Roman"/>
          <w:sz w:val="24"/>
          <w:szCs w:val="24"/>
        </w:rPr>
        <w:t>DeKeseredy, 2015; Hogg &amp; Carrington, 2006</w:t>
      </w:r>
      <w:r w:rsidRPr="004A5FE0">
        <w:rPr>
          <w:rFonts w:ascii="Times New Roman" w:hAnsi="Times New Roman" w:cs="Times New Roman"/>
          <w:sz w:val="24"/>
          <w:szCs w:val="24"/>
        </w:rPr>
        <w:t>). For the purposes of this study, Melbourne is the urban location against which “rural” data is being compared. Melbourne grew exponentially during the nineteenth</w:t>
      </w:r>
      <w:r w:rsidRPr="009D582A">
        <w:rPr>
          <w:rFonts w:ascii="Times New Roman" w:hAnsi="Times New Roman" w:cs="Times New Roman"/>
          <w:sz w:val="24"/>
          <w:szCs w:val="24"/>
        </w:rPr>
        <w:t xml:space="preserve"> century and towns that were once on the periphery of Melbourne and not part of greater Melbourne in the 1860s became suburbs of it by 1920 (for example, Dandenong was not considered a part of Melbourne until after the </w:t>
      </w:r>
      <w:r>
        <w:rPr>
          <w:rFonts w:ascii="Times New Roman" w:hAnsi="Times New Roman" w:cs="Times New Roman"/>
          <w:sz w:val="24"/>
          <w:szCs w:val="24"/>
        </w:rPr>
        <w:t>p</w:t>
      </w:r>
      <w:r w:rsidRPr="009D582A">
        <w:rPr>
          <w:rFonts w:ascii="Times New Roman" w:hAnsi="Times New Roman" w:cs="Times New Roman"/>
          <w:sz w:val="24"/>
          <w:szCs w:val="24"/>
        </w:rPr>
        <w:t>ost-</w:t>
      </w:r>
      <w:r>
        <w:rPr>
          <w:rFonts w:ascii="Times New Roman" w:hAnsi="Times New Roman" w:cs="Times New Roman"/>
          <w:sz w:val="24"/>
          <w:szCs w:val="24"/>
        </w:rPr>
        <w:t>w</w:t>
      </w:r>
      <w:r w:rsidRPr="009D582A">
        <w:rPr>
          <w:rFonts w:ascii="Times New Roman" w:hAnsi="Times New Roman" w:cs="Times New Roman"/>
          <w:sz w:val="24"/>
          <w:szCs w:val="24"/>
        </w:rPr>
        <w:t xml:space="preserve">ar period but was an important </w:t>
      </w:r>
      <w:r w:rsidRPr="00113B1A">
        <w:rPr>
          <w:rFonts w:ascii="Times New Roman" w:hAnsi="Times New Roman" w:cs="Times New Roman"/>
          <w:sz w:val="24"/>
          <w:szCs w:val="24"/>
        </w:rPr>
        <w:t>township during the latter part of the nineteenth</w:t>
      </w:r>
      <w:r w:rsidR="00F81AD4">
        <w:rPr>
          <w:rFonts w:ascii="Times New Roman" w:hAnsi="Times New Roman" w:cs="Times New Roman"/>
          <w:sz w:val="24"/>
          <w:szCs w:val="24"/>
        </w:rPr>
        <w:t xml:space="preserve"> </w:t>
      </w:r>
      <w:r w:rsidRPr="00113B1A">
        <w:rPr>
          <w:rFonts w:ascii="Times New Roman" w:hAnsi="Times New Roman" w:cs="Times New Roman"/>
          <w:sz w:val="24"/>
          <w:szCs w:val="24"/>
        </w:rPr>
        <w:t xml:space="preserve">century when it acted as the gateway between the Gippsland region and the city of Melbourne). For this reason and simplicity’s sake, this article will use metropolitan Melbourne boundaries from 1900 as the </w:t>
      </w:r>
      <w:r w:rsidRPr="005973B6">
        <w:rPr>
          <w:rFonts w:ascii="Times New Roman" w:hAnsi="Times New Roman" w:cs="Times New Roman"/>
          <w:sz w:val="24"/>
          <w:szCs w:val="24"/>
        </w:rPr>
        <w:t>boundary for the urban region.</w:t>
      </w:r>
      <w:r>
        <w:rPr>
          <w:rFonts w:ascii="Times New Roman" w:hAnsi="Times New Roman" w:cs="Times New Roman"/>
          <w:sz w:val="24"/>
          <w:szCs w:val="24"/>
        </w:rPr>
        <w:t xml:space="preserve"> Larger settlements outside of Melbourne, those </w:t>
      </w:r>
      <w:r>
        <w:rPr>
          <w:rFonts w:ascii="Times New Roman" w:hAnsi="Times New Roman" w:cs="Times New Roman"/>
          <w:sz w:val="24"/>
          <w:szCs w:val="24"/>
        </w:rPr>
        <w:lastRenderedPageBreak/>
        <w:t xml:space="preserve">which could be classified as regional centres, will also </w:t>
      </w:r>
      <w:r w:rsidR="00F81AD4">
        <w:rPr>
          <w:rFonts w:ascii="Times New Roman" w:hAnsi="Times New Roman" w:cs="Times New Roman"/>
          <w:sz w:val="24"/>
          <w:szCs w:val="24"/>
        </w:rPr>
        <w:t xml:space="preserve">be </w:t>
      </w:r>
      <w:r>
        <w:rPr>
          <w:rFonts w:ascii="Times New Roman" w:hAnsi="Times New Roman" w:cs="Times New Roman"/>
          <w:sz w:val="24"/>
          <w:szCs w:val="24"/>
        </w:rPr>
        <w:t xml:space="preserve">classed as rural rather than urban, as though they had slightly denser populations than other rural townships their demographics and socio-legal methods were more akin to rural rather than urban environments. </w:t>
      </w:r>
    </w:p>
    <w:p w14:paraId="0B708F6E" w14:textId="1C80C7D7" w:rsidR="00267F24" w:rsidRPr="00113B1A" w:rsidRDefault="004E7B4C" w:rsidP="002253B1">
      <w:pPr>
        <w:spacing w:line="480" w:lineRule="auto"/>
        <w:ind w:firstLine="720"/>
        <w:rPr>
          <w:rFonts w:ascii="Times New Roman" w:hAnsi="Times New Roman" w:cs="Times New Roman"/>
          <w:sz w:val="24"/>
          <w:szCs w:val="24"/>
        </w:rPr>
      </w:pPr>
      <w:r>
        <w:rPr>
          <w:rFonts w:ascii="Times New Roman" w:hAnsi="Times New Roman" w:cs="Times New Roman"/>
          <w:sz w:val="24"/>
          <w:szCs w:val="24"/>
        </w:rPr>
        <w:t>Unsurprisingly c</w:t>
      </w:r>
      <w:r w:rsidRPr="009C14D0">
        <w:rPr>
          <w:rFonts w:ascii="Times New Roman" w:hAnsi="Times New Roman" w:cs="Times New Roman"/>
          <w:sz w:val="24"/>
          <w:szCs w:val="24"/>
        </w:rPr>
        <w:t xml:space="preserve">rime </w:t>
      </w:r>
      <w:r w:rsidR="002253B1" w:rsidRPr="009C14D0">
        <w:rPr>
          <w:rFonts w:ascii="Times New Roman" w:hAnsi="Times New Roman" w:cs="Times New Roman"/>
          <w:sz w:val="24"/>
          <w:szCs w:val="24"/>
        </w:rPr>
        <w:t xml:space="preserve">has been, both in the past and present, </w:t>
      </w:r>
      <w:r w:rsidR="002253B1" w:rsidRPr="004A5FE0">
        <w:rPr>
          <w:rFonts w:ascii="Times New Roman" w:hAnsi="Times New Roman" w:cs="Times New Roman"/>
          <w:sz w:val="24"/>
          <w:szCs w:val="24"/>
        </w:rPr>
        <w:t>associated predominantly</w:t>
      </w:r>
      <w:r w:rsidR="002253B1">
        <w:rPr>
          <w:rFonts w:ascii="Times New Roman" w:hAnsi="Times New Roman" w:cs="Times New Roman"/>
          <w:sz w:val="24"/>
          <w:szCs w:val="24"/>
        </w:rPr>
        <w:t xml:space="preserve"> with men as offenders; feminist criminology </w:t>
      </w:r>
      <w:r w:rsidR="00BB1735">
        <w:rPr>
          <w:rFonts w:ascii="Times New Roman" w:hAnsi="Times New Roman" w:cs="Times New Roman"/>
          <w:sz w:val="24"/>
          <w:szCs w:val="24"/>
        </w:rPr>
        <w:t xml:space="preserve">itself </w:t>
      </w:r>
      <w:r w:rsidR="002253B1">
        <w:rPr>
          <w:rFonts w:ascii="Times New Roman" w:hAnsi="Times New Roman" w:cs="Times New Roman"/>
          <w:sz w:val="24"/>
          <w:szCs w:val="24"/>
        </w:rPr>
        <w:t xml:space="preserve">has </w:t>
      </w:r>
      <w:r w:rsidR="00C23227">
        <w:rPr>
          <w:rFonts w:ascii="Times New Roman" w:hAnsi="Times New Roman" w:cs="Times New Roman"/>
          <w:sz w:val="24"/>
          <w:szCs w:val="24"/>
        </w:rPr>
        <w:t xml:space="preserve">tended to focus </w:t>
      </w:r>
      <w:r w:rsidR="002253B1">
        <w:rPr>
          <w:rFonts w:ascii="Times New Roman" w:hAnsi="Times New Roman" w:cs="Times New Roman"/>
          <w:sz w:val="24"/>
          <w:szCs w:val="24"/>
        </w:rPr>
        <w:t xml:space="preserve">on </w:t>
      </w:r>
      <w:r w:rsidR="00B85959">
        <w:rPr>
          <w:rFonts w:ascii="Times New Roman" w:hAnsi="Times New Roman" w:cs="Times New Roman"/>
          <w:sz w:val="24"/>
          <w:szCs w:val="24"/>
        </w:rPr>
        <w:t>the dynamic of men as offenders and women as victims</w:t>
      </w:r>
      <w:r w:rsidR="00D87B13">
        <w:rPr>
          <w:rFonts w:ascii="Times New Roman" w:hAnsi="Times New Roman" w:cs="Times New Roman"/>
          <w:sz w:val="24"/>
          <w:szCs w:val="24"/>
        </w:rPr>
        <w:t xml:space="preserve"> </w:t>
      </w:r>
      <w:r w:rsidR="002253B1" w:rsidRPr="00113B1A">
        <w:rPr>
          <w:rFonts w:ascii="Times New Roman" w:hAnsi="Times New Roman" w:cs="Times New Roman"/>
          <w:sz w:val="24"/>
          <w:szCs w:val="24"/>
        </w:rPr>
        <w:t>(</w:t>
      </w:r>
      <w:r w:rsidR="00B82E2D">
        <w:rPr>
          <w:rFonts w:ascii="Times New Roman" w:hAnsi="Times New Roman" w:cs="Times New Roman"/>
          <w:sz w:val="24"/>
          <w:szCs w:val="24"/>
        </w:rPr>
        <w:t xml:space="preserve">Mazerolle, 2008; </w:t>
      </w:r>
      <w:r w:rsidR="002253B1" w:rsidRPr="00113B1A">
        <w:rPr>
          <w:rFonts w:ascii="Times New Roman" w:hAnsi="Times New Roman" w:cs="Times New Roman"/>
          <w:sz w:val="24"/>
          <w:szCs w:val="24"/>
        </w:rPr>
        <w:t>Covington and Bloom 2003; Carrington 2013).</w:t>
      </w:r>
      <w:r w:rsidR="00B97518">
        <w:rPr>
          <w:rFonts w:ascii="Times New Roman" w:hAnsi="Times New Roman" w:cs="Times New Roman"/>
          <w:sz w:val="24"/>
          <w:szCs w:val="24"/>
        </w:rPr>
        <w:t xml:space="preserve"> </w:t>
      </w:r>
      <w:r>
        <w:rPr>
          <w:rFonts w:ascii="Times New Roman" w:hAnsi="Times New Roman" w:cs="Times New Roman"/>
          <w:sz w:val="24"/>
          <w:szCs w:val="24"/>
        </w:rPr>
        <w:t>Similarly, r</w:t>
      </w:r>
      <w:r w:rsidRPr="005973B6">
        <w:rPr>
          <w:rFonts w:ascii="Times New Roman" w:hAnsi="Times New Roman" w:cs="Times New Roman"/>
          <w:sz w:val="24"/>
          <w:szCs w:val="24"/>
        </w:rPr>
        <w:t xml:space="preserve">esearch </w:t>
      </w:r>
      <w:r w:rsidR="00E31A73" w:rsidRPr="005973B6">
        <w:rPr>
          <w:rFonts w:ascii="Times New Roman" w:hAnsi="Times New Roman" w:cs="Times New Roman"/>
          <w:sz w:val="24"/>
          <w:szCs w:val="24"/>
        </w:rPr>
        <w:t xml:space="preserve">into historical instances of rural criminality and violence in Australia have overwhelmingly focused on individual cases, </w:t>
      </w:r>
      <w:r>
        <w:rPr>
          <w:rFonts w:ascii="Times New Roman" w:hAnsi="Times New Roman" w:cs="Times New Roman"/>
          <w:sz w:val="24"/>
          <w:szCs w:val="24"/>
        </w:rPr>
        <w:t>favouring focus</w:t>
      </w:r>
      <w:r w:rsidR="00E31A73" w:rsidRPr="005973B6">
        <w:rPr>
          <w:rFonts w:ascii="Times New Roman" w:hAnsi="Times New Roman" w:cs="Times New Roman"/>
          <w:sz w:val="24"/>
          <w:szCs w:val="24"/>
        </w:rPr>
        <w:t xml:space="preserve"> on men’s offending over women’s (</w:t>
      </w:r>
      <w:r w:rsidR="00E31A73">
        <w:rPr>
          <w:rFonts w:ascii="Times New Roman" w:hAnsi="Times New Roman" w:cs="Times New Roman"/>
          <w:sz w:val="24"/>
          <w:szCs w:val="24"/>
        </w:rPr>
        <w:t>Phillips, 1994; Highland, 1994</w:t>
      </w:r>
      <w:r w:rsidR="00E31A73" w:rsidRPr="005973B6">
        <w:rPr>
          <w:rFonts w:ascii="Times New Roman" w:hAnsi="Times New Roman" w:cs="Times New Roman"/>
          <w:sz w:val="24"/>
          <w:szCs w:val="24"/>
        </w:rPr>
        <w:t>)</w:t>
      </w:r>
      <w:r w:rsidR="00E31A73">
        <w:rPr>
          <w:rFonts w:ascii="Times New Roman" w:hAnsi="Times New Roman" w:cs="Times New Roman"/>
          <w:sz w:val="24"/>
          <w:szCs w:val="24"/>
        </w:rPr>
        <w:t xml:space="preserve">. </w:t>
      </w:r>
      <w:r w:rsidR="006C1427">
        <w:rPr>
          <w:rFonts w:ascii="Times New Roman" w:hAnsi="Times New Roman" w:cs="Times New Roman"/>
          <w:sz w:val="24"/>
          <w:szCs w:val="24"/>
        </w:rPr>
        <w:t>Yet h</w:t>
      </w:r>
      <w:r w:rsidR="006C1427" w:rsidRPr="005973B6">
        <w:rPr>
          <w:rFonts w:ascii="Times New Roman" w:hAnsi="Times New Roman" w:cs="Times New Roman"/>
          <w:sz w:val="24"/>
          <w:szCs w:val="24"/>
        </w:rPr>
        <w:t>istorically</w:t>
      </w:r>
      <w:r w:rsidR="002253B1" w:rsidRPr="005973B6">
        <w:rPr>
          <w:rFonts w:ascii="Times New Roman" w:hAnsi="Times New Roman" w:cs="Times New Roman"/>
          <w:sz w:val="24"/>
          <w:szCs w:val="24"/>
        </w:rPr>
        <w:t>, in Australia and internationally,</w:t>
      </w:r>
      <w:r w:rsidR="002253B1" w:rsidRPr="00F548EB">
        <w:rPr>
          <w:rFonts w:ascii="Times New Roman" w:hAnsi="Times New Roman" w:cs="Times New Roman"/>
          <w:sz w:val="24"/>
          <w:szCs w:val="24"/>
        </w:rPr>
        <w:t xml:space="preserve"> women and girls were</w:t>
      </w:r>
      <w:r w:rsidR="00B85959">
        <w:rPr>
          <w:rFonts w:ascii="Times New Roman" w:hAnsi="Times New Roman" w:cs="Times New Roman"/>
          <w:sz w:val="24"/>
          <w:szCs w:val="24"/>
        </w:rPr>
        <w:t xml:space="preserve"> often</w:t>
      </w:r>
      <w:r w:rsidR="002253B1" w:rsidRPr="00F548EB">
        <w:rPr>
          <w:rFonts w:ascii="Times New Roman" w:hAnsi="Times New Roman" w:cs="Times New Roman"/>
          <w:sz w:val="24"/>
          <w:szCs w:val="24"/>
        </w:rPr>
        <w:t xml:space="preserve"> involved with anti-social and criminal behaviour in both urban and rur</w:t>
      </w:r>
      <w:r w:rsidR="002253B1" w:rsidRPr="009C14D0">
        <w:rPr>
          <w:rFonts w:ascii="Times New Roman" w:hAnsi="Times New Roman" w:cs="Times New Roman"/>
          <w:sz w:val="24"/>
          <w:szCs w:val="24"/>
        </w:rPr>
        <w:t>al environments</w:t>
      </w:r>
      <w:r w:rsidR="00A1381A">
        <w:rPr>
          <w:rFonts w:ascii="Times New Roman" w:hAnsi="Times New Roman" w:cs="Times New Roman"/>
          <w:sz w:val="24"/>
          <w:szCs w:val="24"/>
        </w:rPr>
        <w:t xml:space="preserve"> at much higher rates than today</w:t>
      </w:r>
      <w:r w:rsidR="002253B1" w:rsidRPr="009C14D0">
        <w:rPr>
          <w:rFonts w:ascii="Times New Roman" w:hAnsi="Times New Roman" w:cs="Times New Roman"/>
          <w:sz w:val="24"/>
          <w:szCs w:val="24"/>
        </w:rPr>
        <w:t xml:space="preserve"> (Nagy 2015; </w:t>
      </w:r>
      <w:r w:rsidR="002569F1">
        <w:rPr>
          <w:rFonts w:ascii="Times New Roman" w:hAnsi="Times New Roman" w:cs="Times New Roman"/>
          <w:sz w:val="24"/>
          <w:szCs w:val="24"/>
        </w:rPr>
        <w:t>D’</w:t>
      </w:r>
      <w:r w:rsidR="006F3491">
        <w:rPr>
          <w:rFonts w:ascii="Times New Roman" w:hAnsi="Times New Roman" w:cs="Times New Roman"/>
          <w:sz w:val="24"/>
          <w:szCs w:val="24"/>
        </w:rPr>
        <w:t>Cruze 2000</w:t>
      </w:r>
      <w:r w:rsidR="002253B1" w:rsidRPr="009C14D0">
        <w:rPr>
          <w:rFonts w:ascii="Times New Roman" w:hAnsi="Times New Roman" w:cs="Times New Roman"/>
          <w:sz w:val="24"/>
          <w:szCs w:val="24"/>
        </w:rPr>
        <w:t>)</w:t>
      </w:r>
      <w:r w:rsidR="00B85959">
        <w:rPr>
          <w:rFonts w:ascii="Times New Roman" w:hAnsi="Times New Roman" w:cs="Times New Roman"/>
          <w:sz w:val="24"/>
          <w:szCs w:val="24"/>
        </w:rPr>
        <w:t xml:space="preserve">. The </w:t>
      </w:r>
      <w:r w:rsidR="003B7525">
        <w:rPr>
          <w:rFonts w:ascii="Times New Roman" w:hAnsi="Times New Roman" w:cs="Times New Roman"/>
          <w:sz w:val="24"/>
          <w:szCs w:val="24"/>
        </w:rPr>
        <w:t xml:space="preserve">contemporary </w:t>
      </w:r>
      <w:r w:rsidR="00B85959">
        <w:rPr>
          <w:rFonts w:ascii="Times New Roman" w:hAnsi="Times New Roman" w:cs="Times New Roman"/>
          <w:sz w:val="24"/>
          <w:szCs w:val="24"/>
        </w:rPr>
        <w:t>over</w:t>
      </w:r>
      <w:r w:rsidR="003B7525">
        <w:rPr>
          <w:rFonts w:ascii="Times New Roman" w:hAnsi="Times New Roman" w:cs="Times New Roman"/>
          <w:sz w:val="24"/>
          <w:szCs w:val="24"/>
        </w:rPr>
        <w:t>sight</w:t>
      </w:r>
      <w:r w:rsidR="00B85959">
        <w:rPr>
          <w:rFonts w:ascii="Times New Roman" w:hAnsi="Times New Roman" w:cs="Times New Roman"/>
          <w:sz w:val="24"/>
          <w:szCs w:val="24"/>
        </w:rPr>
        <w:t xml:space="preserve"> of</w:t>
      </w:r>
      <w:r w:rsidR="003B7525">
        <w:rPr>
          <w:rFonts w:ascii="Times New Roman" w:hAnsi="Times New Roman" w:cs="Times New Roman"/>
          <w:sz w:val="24"/>
          <w:szCs w:val="24"/>
        </w:rPr>
        <w:t xml:space="preserve"> </w:t>
      </w:r>
      <w:r w:rsidR="00B85959">
        <w:rPr>
          <w:rFonts w:ascii="Times New Roman" w:hAnsi="Times New Roman" w:cs="Times New Roman"/>
          <w:sz w:val="24"/>
          <w:szCs w:val="24"/>
        </w:rPr>
        <w:t xml:space="preserve">women and girls’ </w:t>
      </w:r>
      <w:r>
        <w:rPr>
          <w:rFonts w:ascii="Times New Roman" w:hAnsi="Times New Roman" w:cs="Times New Roman"/>
          <w:sz w:val="24"/>
          <w:szCs w:val="24"/>
        </w:rPr>
        <w:t xml:space="preserve">historic </w:t>
      </w:r>
      <w:r w:rsidR="00B85959">
        <w:rPr>
          <w:rFonts w:ascii="Times New Roman" w:hAnsi="Times New Roman" w:cs="Times New Roman"/>
          <w:sz w:val="24"/>
          <w:szCs w:val="24"/>
        </w:rPr>
        <w:t xml:space="preserve">involvement with the criminal justice system as </w:t>
      </w:r>
      <w:r w:rsidR="00D1660F">
        <w:rPr>
          <w:rFonts w:ascii="Times New Roman" w:hAnsi="Times New Roman" w:cs="Times New Roman"/>
          <w:sz w:val="24"/>
          <w:szCs w:val="24"/>
        </w:rPr>
        <w:t>offenders has led to</w:t>
      </w:r>
      <w:r w:rsidR="003B7525">
        <w:rPr>
          <w:rFonts w:ascii="Times New Roman" w:hAnsi="Times New Roman" w:cs="Times New Roman"/>
          <w:sz w:val="24"/>
          <w:szCs w:val="24"/>
        </w:rPr>
        <w:t xml:space="preserve"> a skewed understanding of th</w:t>
      </w:r>
      <w:r w:rsidR="0068417D">
        <w:rPr>
          <w:rFonts w:ascii="Times New Roman" w:hAnsi="Times New Roman" w:cs="Times New Roman"/>
          <w:sz w:val="24"/>
          <w:szCs w:val="24"/>
        </w:rPr>
        <w:t xml:space="preserve">is </w:t>
      </w:r>
      <w:r w:rsidR="003B7525">
        <w:rPr>
          <w:rFonts w:ascii="Times New Roman" w:hAnsi="Times New Roman" w:cs="Times New Roman"/>
          <w:sz w:val="24"/>
          <w:szCs w:val="24"/>
        </w:rPr>
        <w:t xml:space="preserve">system </w:t>
      </w:r>
      <w:r w:rsidR="0068417D">
        <w:rPr>
          <w:rFonts w:ascii="Times New Roman" w:hAnsi="Times New Roman" w:cs="Times New Roman"/>
          <w:sz w:val="24"/>
          <w:szCs w:val="24"/>
        </w:rPr>
        <w:t xml:space="preserve">as well as a lack of contextualisation and awareness </w:t>
      </w:r>
      <w:r w:rsidR="00A1381A">
        <w:rPr>
          <w:rFonts w:ascii="Times New Roman" w:hAnsi="Times New Roman" w:cs="Times New Roman"/>
          <w:sz w:val="24"/>
          <w:szCs w:val="24"/>
        </w:rPr>
        <w:t xml:space="preserve">from </w:t>
      </w:r>
      <w:r w:rsidR="0068417D">
        <w:rPr>
          <w:rFonts w:ascii="Times New Roman" w:hAnsi="Times New Roman" w:cs="Times New Roman"/>
          <w:sz w:val="24"/>
          <w:szCs w:val="24"/>
        </w:rPr>
        <w:t xml:space="preserve">where </w:t>
      </w:r>
      <w:r>
        <w:rPr>
          <w:rFonts w:ascii="Times New Roman" w:hAnsi="Times New Roman" w:cs="Times New Roman"/>
          <w:sz w:val="24"/>
          <w:szCs w:val="24"/>
        </w:rPr>
        <w:t xml:space="preserve">twentieth and early twenty-first centuries’ </w:t>
      </w:r>
      <w:r w:rsidR="0068417D">
        <w:rPr>
          <w:rFonts w:ascii="Times New Roman" w:hAnsi="Times New Roman" w:cs="Times New Roman"/>
          <w:sz w:val="24"/>
          <w:szCs w:val="24"/>
        </w:rPr>
        <w:t>women’s offending rates originate.</w:t>
      </w:r>
      <w:r w:rsidR="002253B1">
        <w:rPr>
          <w:rFonts w:ascii="Times New Roman" w:hAnsi="Times New Roman" w:cs="Times New Roman"/>
          <w:sz w:val="24"/>
          <w:szCs w:val="24"/>
        </w:rPr>
        <w:t xml:space="preserve"> </w:t>
      </w:r>
    </w:p>
    <w:p w14:paraId="127C33A5" w14:textId="282E6C34" w:rsidR="00267F24" w:rsidRPr="005973B6" w:rsidRDefault="00E31A73" w:rsidP="002018D4">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5973B6">
        <w:rPr>
          <w:rFonts w:ascii="Times New Roman" w:hAnsi="Times New Roman" w:cs="Times New Roman"/>
          <w:sz w:val="24"/>
          <w:szCs w:val="24"/>
        </w:rPr>
        <w:t xml:space="preserve">owards the end of the nineteenth century more women were imprisoned in Victorian </w:t>
      </w:r>
      <w:r w:rsidR="004E7B4C">
        <w:rPr>
          <w:rFonts w:ascii="Times New Roman" w:hAnsi="Times New Roman" w:cs="Times New Roman"/>
          <w:sz w:val="24"/>
          <w:szCs w:val="24"/>
        </w:rPr>
        <w:t>jails</w:t>
      </w:r>
      <w:r w:rsidR="004E7B4C" w:rsidRPr="005973B6">
        <w:rPr>
          <w:rFonts w:ascii="Times New Roman" w:hAnsi="Times New Roman" w:cs="Times New Roman"/>
          <w:sz w:val="24"/>
          <w:szCs w:val="24"/>
        </w:rPr>
        <w:t xml:space="preserve"> </w:t>
      </w:r>
      <w:r w:rsidRPr="005973B6">
        <w:rPr>
          <w:rFonts w:ascii="Times New Roman" w:hAnsi="Times New Roman" w:cs="Times New Roman"/>
          <w:sz w:val="24"/>
          <w:szCs w:val="24"/>
        </w:rPr>
        <w:t xml:space="preserve">on a day-to-day basis than any other Australian colony </w:t>
      </w:r>
      <w:r>
        <w:rPr>
          <w:rFonts w:ascii="Times New Roman" w:hAnsi="Times New Roman" w:cs="Times New Roman"/>
          <w:sz w:val="24"/>
          <w:szCs w:val="24"/>
        </w:rPr>
        <w:t>(Ross &amp; Forster 2000)</w:t>
      </w:r>
      <w:r w:rsidRPr="005973B6">
        <w:rPr>
          <w:rFonts w:ascii="Times New Roman" w:hAnsi="Times New Roman" w:cs="Times New Roman"/>
          <w:sz w:val="24"/>
          <w:szCs w:val="24"/>
        </w:rPr>
        <w:t xml:space="preserve">. </w:t>
      </w:r>
      <w:r w:rsidR="00267F24" w:rsidRPr="005973B6">
        <w:rPr>
          <w:rFonts w:ascii="Times New Roman" w:hAnsi="Times New Roman" w:cs="Times New Roman"/>
          <w:sz w:val="24"/>
          <w:szCs w:val="24"/>
        </w:rPr>
        <w:t xml:space="preserve">Women were routinely imprisoned in colonial Victoria for a range of offences ranging from the petty (for example, indecent language in public) to serious crimes such as murder. Historical research into female offending in Victoria has typically concentrated on those </w:t>
      </w:r>
      <w:r w:rsidR="00BE51B2" w:rsidRPr="005973B6">
        <w:rPr>
          <w:rFonts w:ascii="Times New Roman" w:hAnsi="Times New Roman" w:cs="Times New Roman"/>
          <w:sz w:val="24"/>
          <w:szCs w:val="24"/>
        </w:rPr>
        <w:t xml:space="preserve">crimes </w:t>
      </w:r>
      <w:r w:rsidR="00267F24" w:rsidRPr="005973B6">
        <w:rPr>
          <w:rFonts w:ascii="Times New Roman" w:hAnsi="Times New Roman" w:cs="Times New Roman"/>
          <w:sz w:val="24"/>
          <w:szCs w:val="24"/>
        </w:rPr>
        <w:t xml:space="preserve">perceived to be most heavily gendered, particularly </w:t>
      </w:r>
      <w:r w:rsidR="00A73584">
        <w:rPr>
          <w:rFonts w:ascii="Times New Roman" w:hAnsi="Times New Roman" w:cs="Times New Roman"/>
          <w:sz w:val="24"/>
          <w:szCs w:val="24"/>
        </w:rPr>
        <w:t xml:space="preserve">sex work </w:t>
      </w:r>
      <w:r w:rsidR="00267F24" w:rsidRPr="005973B6">
        <w:rPr>
          <w:rFonts w:ascii="Times New Roman" w:hAnsi="Times New Roman" w:cs="Times New Roman"/>
          <w:sz w:val="24"/>
          <w:szCs w:val="24"/>
        </w:rPr>
        <w:t xml:space="preserve">and </w:t>
      </w:r>
      <w:r w:rsidR="004E7B4C" w:rsidRPr="005973B6">
        <w:rPr>
          <w:rFonts w:ascii="Times New Roman" w:hAnsi="Times New Roman" w:cs="Times New Roman"/>
          <w:sz w:val="24"/>
          <w:szCs w:val="24"/>
        </w:rPr>
        <w:t>reproducti</w:t>
      </w:r>
      <w:r w:rsidR="004E7B4C">
        <w:rPr>
          <w:rFonts w:ascii="Times New Roman" w:hAnsi="Times New Roman" w:cs="Times New Roman"/>
          <w:sz w:val="24"/>
          <w:szCs w:val="24"/>
        </w:rPr>
        <w:t>on</w:t>
      </w:r>
      <w:r w:rsidR="00267F24" w:rsidRPr="005973B6">
        <w:rPr>
          <w:rFonts w:ascii="Times New Roman" w:hAnsi="Times New Roman" w:cs="Times New Roman"/>
          <w:sz w:val="24"/>
          <w:szCs w:val="24"/>
        </w:rPr>
        <w:t>-related offences (Frances 2007; McConville 1980; Finch &amp; Stratton 1988; Laster 1989</w:t>
      </w:r>
      <w:r w:rsidR="00635A1D" w:rsidRPr="005973B6">
        <w:rPr>
          <w:rFonts w:ascii="Times New Roman" w:hAnsi="Times New Roman" w:cs="Times New Roman"/>
          <w:sz w:val="24"/>
          <w:szCs w:val="24"/>
        </w:rPr>
        <w:t>;</w:t>
      </w:r>
      <w:r w:rsidR="00AC6EB9">
        <w:rPr>
          <w:rFonts w:ascii="Times New Roman" w:hAnsi="Times New Roman" w:cs="Times New Roman"/>
          <w:sz w:val="24"/>
          <w:szCs w:val="24"/>
        </w:rPr>
        <w:t xml:space="preserve"> Goc 2013;</w:t>
      </w:r>
      <w:r w:rsidR="00635A1D" w:rsidRPr="005973B6">
        <w:rPr>
          <w:rFonts w:ascii="Times New Roman" w:hAnsi="Times New Roman" w:cs="Times New Roman"/>
          <w:sz w:val="24"/>
          <w:szCs w:val="24"/>
        </w:rPr>
        <w:t xml:space="preserve"> Rychner 2017</w:t>
      </w:r>
      <w:r w:rsidR="00267F24" w:rsidRPr="005973B6">
        <w:rPr>
          <w:rFonts w:ascii="Times New Roman" w:hAnsi="Times New Roman" w:cs="Times New Roman"/>
          <w:sz w:val="24"/>
          <w:szCs w:val="24"/>
        </w:rPr>
        <w:t xml:space="preserve">). The former has been described as being located most heavily within </w:t>
      </w:r>
      <w:r w:rsidR="004D63D3">
        <w:rPr>
          <w:rFonts w:ascii="Times New Roman" w:hAnsi="Times New Roman" w:cs="Times New Roman"/>
          <w:sz w:val="24"/>
          <w:szCs w:val="24"/>
        </w:rPr>
        <w:t xml:space="preserve">Melbourne </w:t>
      </w:r>
      <w:r w:rsidR="00267F24" w:rsidRPr="005973B6">
        <w:rPr>
          <w:rFonts w:ascii="Times New Roman" w:hAnsi="Times New Roman" w:cs="Times New Roman"/>
          <w:sz w:val="24"/>
          <w:szCs w:val="24"/>
        </w:rPr>
        <w:t xml:space="preserve">or on the goldfields; in terms of the latter, abortion has typically been depicted as a mostly urban crime with rural women travelling to the city to procure the service, while </w:t>
      </w:r>
      <w:r w:rsidR="00267F24" w:rsidRPr="005973B6">
        <w:rPr>
          <w:rFonts w:ascii="Times New Roman" w:hAnsi="Times New Roman" w:cs="Times New Roman"/>
          <w:sz w:val="24"/>
          <w:szCs w:val="24"/>
        </w:rPr>
        <w:lastRenderedPageBreak/>
        <w:t xml:space="preserve">infanticide – though recognised as not being restricted to the city – has been </w:t>
      </w:r>
      <w:r w:rsidR="00AA44D8">
        <w:rPr>
          <w:rFonts w:ascii="Times New Roman" w:hAnsi="Times New Roman" w:cs="Times New Roman"/>
          <w:sz w:val="24"/>
          <w:szCs w:val="24"/>
        </w:rPr>
        <w:t>described as particularly associated with</w:t>
      </w:r>
      <w:r w:rsidR="002018D4">
        <w:rPr>
          <w:rFonts w:ascii="Times New Roman" w:hAnsi="Times New Roman" w:cs="Times New Roman"/>
          <w:sz w:val="24"/>
          <w:szCs w:val="24"/>
        </w:rPr>
        <w:t xml:space="preserve"> the urban</w:t>
      </w:r>
      <w:r w:rsidR="00267F24" w:rsidRPr="005973B6">
        <w:rPr>
          <w:rFonts w:ascii="Times New Roman" w:hAnsi="Times New Roman" w:cs="Times New Roman"/>
          <w:sz w:val="24"/>
          <w:szCs w:val="24"/>
        </w:rPr>
        <w:t xml:space="preserve"> context</w:t>
      </w:r>
      <w:r w:rsidR="00AA44D8">
        <w:rPr>
          <w:rFonts w:ascii="Times New Roman" w:hAnsi="Times New Roman" w:cs="Times New Roman"/>
          <w:sz w:val="24"/>
          <w:szCs w:val="24"/>
        </w:rPr>
        <w:t xml:space="preserve"> (Swain &amp; Howe 1995, 91)</w:t>
      </w:r>
      <w:r w:rsidR="00267F24" w:rsidRPr="005973B6">
        <w:rPr>
          <w:rFonts w:ascii="Times New Roman" w:hAnsi="Times New Roman" w:cs="Times New Roman"/>
          <w:sz w:val="24"/>
          <w:szCs w:val="24"/>
        </w:rPr>
        <w:t>.</w:t>
      </w:r>
      <w:r>
        <w:rPr>
          <w:rFonts w:ascii="Times New Roman" w:hAnsi="Times New Roman" w:cs="Times New Roman"/>
          <w:sz w:val="24"/>
          <w:szCs w:val="24"/>
        </w:rPr>
        <w:t xml:space="preserve"> Another particular focus in historical scholarship h</w:t>
      </w:r>
      <w:r w:rsidR="004F4A0C">
        <w:rPr>
          <w:rFonts w:ascii="Times New Roman" w:hAnsi="Times New Roman" w:cs="Times New Roman"/>
          <w:sz w:val="24"/>
          <w:szCs w:val="24"/>
        </w:rPr>
        <w:t xml:space="preserve">as been </w:t>
      </w:r>
      <w:r w:rsidR="00E60726">
        <w:rPr>
          <w:rFonts w:ascii="Times New Roman" w:hAnsi="Times New Roman" w:cs="Times New Roman"/>
          <w:sz w:val="24"/>
          <w:szCs w:val="24"/>
        </w:rPr>
        <w:t xml:space="preserve">female murderers </w:t>
      </w:r>
      <w:r w:rsidR="004F4A0C">
        <w:rPr>
          <w:rFonts w:ascii="Times New Roman" w:hAnsi="Times New Roman" w:cs="Times New Roman"/>
          <w:sz w:val="24"/>
          <w:szCs w:val="24"/>
        </w:rPr>
        <w:t xml:space="preserve">subjected to capital punishment (Laster 1994; Cannon 1994; Overington 2014), with little focus on spatial location. </w:t>
      </w:r>
      <w:r w:rsidR="00267F24" w:rsidRPr="005973B6">
        <w:rPr>
          <w:rFonts w:ascii="Times New Roman" w:hAnsi="Times New Roman" w:cs="Times New Roman"/>
          <w:sz w:val="24"/>
          <w:szCs w:val="24"/>
        </w:rPr>
        <w:t xml:space="preserve"> Research into more general </w:t>
      </w:r>
      <w:r w:rsidR="00571968">
        <w:rPr>
          <w:rFonts w:ascii="Times New Roman" w:hAnsi="Times New Roman" w:cs="Times New Roman"/>
          <w:sz w:val="24"/>
          <w:szCs w:val="24"/>
        </w:rPr>
        <w:t xml:space="preserve">patterns of </w:t>
      </w:r>
      <w:r w:rsidR="00267F24" w:rsidRPr="005973B6">
        <w:rPr>
          <w:rFonts w:ascii="Times New Roman" w:hAnsi="Times New Roman" w:cs="Times New Roman"/>
          <w:sz w:val="24"/>
          <w:szCs w:val="24"/>
        </w:rPr>
        <w:t>female offending in Victoria during the late nineteenth</w:t>
      </w:r>
      <w:r w:rsidR="00E60726">
        <w:rPr>
          <w:rFonts w:ascii="Times New Roman" w:hAnsi="Times New Roman" w:cs="Times New Roman"/>
          <w:sz w:val="24"/>
          <w:szCs w:val="24"/>
        </w:rPr>
        <w:t xml:space="preserve"> </w:t>
      </w:r>
      <w:r w:rsidR="00267F24" w:rsidRPr="005973B6">
        <w:rPr>
          <w:rFonts w:ascii="Times New Roman" w:hAnsi="Times New Roman" w:cs="Times New Roman"/>
          <w:sz w:val="24"/>
          <w:szCs w:val="24"/>
        </w:rPr>
        <w:t xml:space="preserve">century and early twentieth century has only recently started to emerge, with analyses on risk factors for women’s imprisonment, as well as offence variation in women’s criminal careers (Piper and Nagy 2017; Piper and Nagy, </w:t>
      </w:r>
      <w:r w:rsidR="00E47537">
        <w:rPr>
          <w:rFonts w:ascii="Times New Roman" w:hAnsi="Times New Roman" w:cs="Times New Roman"/>
          <w:sz w:val="24"/>
          <w:szCs w:val="24"/>
        </w:rPr>
        <w:t>2018</w:t>
      </w:r>
      <w:r w:rsidR="00AD3952" w:rsidRPr="005973B6">
        <w:rPr>
          <w:rFonts w:ascii="Times New Roman" w:hAnsi="Times New Roman" w:cs="Times New Roman"/>
          <w:sz w:val="24"/>
          <w:szCs w:val="24"/>
        </w:rPr>
        <w:t xml:space="preserve">). </w:t>
      </w:r>
      <w:r w:rsidR="00AB790E">
        <w:rPr>
          <w:rFonts w:ascii="Times New Roman" w:hAnsi="Times New Roman" w:cs="Times New Roman"/>
          <w:sz w:val="24"/>
          <w:szCs w:val="24"/>
        </w:rPr>
        <w:t>This paper therefore represents an important contribution to the historical as well as criminological literature, which has seldom explored the historical relationship between female offending and geographic location.</w:t>
      </w:r>
    </w:p>
    <w:p w14:paraId="46FA8AF5" w14:textId="6291DBCF" w:rsidR="00267F24" w:rsidRPr="009C14D0" w:rsidRDefault="0098785E" w:rsidP="002253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67F24" w:rsidRPr="005973B6">
        <w:rPr>
          <w:rFonts w:ascii="Times New Roman" w:hAnsi="Times New Roman" w:cs="Times New Roman"/>
          <w:sz w:val="24"/>
          <w:szCs w:val="24"/>
        </w:rPr>
        <w:t xml:space="preserve"> </w:t>
      </w:r>
    </w:p>
    <w:p w14:paraId="14B1BE63" w14:textId="77FA50EE" w:rsidR="00267F24" w:rsidRPr="00953A36" w:rsidRDefault="00267F24" w:rsidP="002253B1">
      <w:pPr>
        <w:spacing w:line="480" w:lineRule="auto"/>
        <w:rPr>
          <w:rFonts w:ascii="Times New Roman" w:hAnsi="Times New Roman" w:cs="Times New Roman"/>
          <w:b/>
          <w:i/>
          <w:sz w:val="24"/>
          <w:szCs w:val="24"/>
        </w:rPr>
      </w:pPr>
      <w:r w:rsidRPr="00953A36">
        <w:rPr>
          <w:rFonts w:ascii="Times New Roman" w:hAnsi="Times New Roman" w:cs="Times New Roman"/>
          <w:b/>
          <w:i/>
          <w:sz w:val="24"/>
          <w:szCs w:val="24"/>
        </w:rPr>
        <w:t xml:space="preserve">Urban and </w:t>
      </w:r>
      <w:r w:rsidR="004A5FE0" w:rsidRPr="00953A36">
        <w:rPr>
          <w:rFonts w:ascii="Times New Roman" w:hAnsi="Times New Roman" w:cs="Times New Roman"/>
          <w:b/>
          <w:i/>
          <w:sz w:val="24"/>
          <w:szCs w:val="24"/>
        </w:rPr>
        <w:t>rural w</w:t>
      </w:r>
      <w:r w:rsidRPr="00953A36">
        <w:rPr>
          <w:rFonts w:ascii="Times New Roman" w:hAnsi="Times New Roman" w:cs="Times New Roman"/>
          <w:b/>
          <w:i/>
          <w:sz w:val="24"/>
          <w:szCs w:val="24"/>
        </w:rPr>
        <w:t xml:space="preserve">omen </w:t>
      </w:r>
      <w:r w:rsidR="003754FB" w:rsidRPr="00953A36">
        <w:rPr>
          <w:rFonts w:ascii="Times New Roman" w:hAnsi="Times New Roman" w:cs="Times New Roman"/>
          <w:b/>
          <w:i/>
          <w:sz w:val="24"/>
          <w:szCs w:val="24"/>
        </w:rPr>
        <w:t xml:space="preserve">in </w:t>
      </w:r>
      <w:r w:rsidR="004A5FE0" w:rsidRPr="00953A36">
        <w:rPr>
          <w:rFonts w:ascii="Times New Roman" w:hAnsi="Times New Roman" w:cs="Times New Roman"/>
          <w:b/>
          <w:i/>
          <w:sz w:val="24"/>
          <w:szCs w:val="24"/>
        </w:rPr>
        <w:t>h</w:t>
      </w:r>
      <w:r w:rsidR="003754FB" w:rsidRPr="00953A36">
        <w:rPr>
          <w:rFonts w:ascii="Times New Roman" w:hAnsi="Times New Roman" w:cs="Times New Roman"/>
          <w:b/>
          <w:i/>
          <w:sz w:val="24"/>
          <w:szCs w:val="24"/>
        </w:rPr>
        <w:t>istorical Victoria</w:t>
      </w:r>
      <w:r w:rsidRPr="00953A36">
        <w:rPr>
          <w:rFonts w:ascii="Times New Roman" w:hAnsi="Times New Roman" w:cs="Times New Roman"/>
          <w:b/>
          <w:i/>
          <w:sz w:val="24"/>
          <w:szCs w:val="24"/>
        </w:rPr>
        <w:t xml:space="preserve"> </w:t>
      </w:r>
    </w:p>
    <w:p w14:paraId="2CBC6139" w14:textId="51777580" w:rsidR="00181C0F" w:rsidRPr="005973B6" w:rsidRDefault="00DD2D14" w:rsidP="002253B1">
      <w:pPr>
        <w:spacing w:line="480" w:lineRule="auto"/>
        <w:ind w:firstLine="720"/>
        <w:rPr>
          <w:rFonts w:ascii="Times New Roman" w:hAnsi="Times New Roman" w:cs="Times New Roman"/>
          <w:sz w:val="24"/>
          <w:szCs w:val="24"/>
        </w:rPr>
      </w:pPr>
      <w:r w:rsidRPr="004A5FE0">
        <w:rPr>
          <w:rFonts w:ascii="Times New Roman" w:hAnsi="Times New Roman" w:cs="Times New Roman"/>
          <w:sz w:val="24"/>
          <w:szCs w:val="24"/>
        </w:rPr>
        <w:t>As with other parts of the Western world, there has always been a dichotomy between the urban and rural environments in Australia. Life</w:t>
      </w:r>
      <w:r w:rsidR="002018D4">
        <w:rPr>
          <w:rFonts w:ascii="Times New Roman" w:hAnsi="Times New Roman" w:cs="Times New Roman"/>
          <w:sz w:val="24"/>
          <w:szCs w:val="24"/>
        </w:rPr>
        <w:t xml:space="preserve"> outside of the city</w:t>
      </w:r>
      <w:r w:rsidR="00AA1BC4">
        <w:rPr>
          <w:rFonts w:ascii="Times New Roman" w:hAnsi="Times New Roman" w:cs="Times New Roman"/>
          <w:sz w:val="24"/>
          <w:szCs w:val="24"/>
        </w:rPr>
        <w:t xml:space="preserve"> </w:t>
      </w:r>
      <w:r w:rsidRPr="004A5FE0">
        <w:rPr>
          <w:rFonts w:ascii="Times New Roman" w:hAnsi="Times New Roman" w:cs="Times New Roman"/>
          <w:sz w:val="24"/>
          <w:szCs w:val="24"/>
        </w:rPr>
        <w:t xml:space="preserve">was often considered to be, </w:t>
      </w:r>
      <w:r w:rsidRPr="009D582A">
        <w:rPr>
          <w:rFonts w:ascii="Times New Roman" w:hAnsi="Times New Roman" w:cs="Times New Roman"/>
          <w:sz w:val="24"/>
          <w:szCs w:val="24"/>
        </w:rPr>
        <w:t xml:space="preserve">if not exactly idyllic, </w:t>
      </w:r>
      <w:r w:rsidR="00CD14FA" w:rsidRPr="009D582A">
        <w:rPr>
          <w:rFonts w:ascii="Times New Roman" w:hAnsi="Times New Roman" w:cs="Times New Roman"/>
          <w:sz w:val="24"/>
          <w:szCs w:val="24"/>
        </w:rPr>
        <w:t>th</w:t>
      </w:r>
      <w:r w:rsidR="00CD14FA">
        <w:rPr>
          <w:rFonts w:ascii="Times New Roman" w:hAnsi="Times New Roman" w:cs="Times New Roman"/>
          <w:sz w:val="24"/>
          <w:szCs w:val="24"/>
        </w:rPr>
        <w:t>e</w:t>
      </w:r>
      <w:r w:rsidR="00CD14FA" w:rsidRPr="009D582A">
        <w:rPr>
          <w:rFonts w:ascii="Times New Roman" w:hAnsi="Times New Roman" w:cs="Times New Roman"/>
          <w:sz w:val="24"/>
          <w:szCs w:val="24"/>
        </w:rPr>
        <w:t xml:space="preserve">n </w:t>
      </w:r>
      <w:r w:rsidRPr="009D582A">
        <w:rPr>
          <w:rFonts w:ascii="Times New Roman" w:hAnsi="Times New Roman" w:cs="Times New Roman"/>
          <w:sz w:val="24"/>
          <w:szCs w:val="24"/>
        </w:rPr>
        <w:t>at least more morally uplifting th</w:t>
      </w:r>
      <w:r w:rsidRPr="009A5756">
        <w:rPr>
          <w:rFonts w:ascii="Times New Roman" w:hAnsi="Times New Roman" w:cs="Times New Roman"/>
          <w:sz w:val="24"/>
          <w:szCs w:val="24"/>
        </w:rPr>
        <w:t xml:space="preserve">an </w:t>
      </w:r>
      <w:r w:rsidR="00D027BF" w:rsidRPr="009A5756">
        <w:rPr>
          <w:rFonts w:ascii="Times New Roman" w:hAnsi="Times New Roman" w:cs="Times New Roman"/>
          <w:sz w:val="24"/>
          <w:szCs w:val="24"/>
        </w:rPr>
        <w:t xml:space="preserve">the polluted slums of the </w:t>
      </w:r>
      <w:r w:rsidR="00DA49A4">
        <w:rPr>
          <w:rFonts w:ascii="Times New Roman" w:hAnsi="Times New Roman" w:cs="Times New Roman"/>
          <w:sz w:val="24"/>
          <w:szCs w:val="24"/>
        </w:rPr>
        <w:t>urban landscape</w:t>
      </w:r>
      <w:r w:rsidR="00D027BF" w:rsidRPr="009A5756">
        <w:rPr>
          <w:rFonts w:ascii="Times New Roman" w:hAnsi="Times New Roman" w:cs="Times New Roman"/>
          <w:sz w:val="24"/>
          <w:szCs w:val="24"/>
        </w:rPr>
        <w:t xml:space="preserve">; that is why </w:t>
      </w:r>
      <w:r w:rsidR="00D027BF" w:rsidRPr="00113B1A">
        <w:rPr>
          <w:rFonts w:ascii="Times New Roman" w:hAnsi="Times New Roman" w:cs="Times New Roman"/>
          <w:sz w:val="24"/>
          <w:szCs w:val="24"/>
        </w:rPr>
        <w:t xml:space="preserve">moral welfare societies in Victoria mirrored </w:t>
      </w:r>
      <w:r w:rsidR="00CD14FA" w:rsidRPr="00113B1A">
        <w:rPr>
          <w:rFonts w:ascii="Times New Roman" w:hAnsi="Times New Roman" w:cs="Times New Roman"/>
          <w:sz w:val="24"/>
          <w:szCs w:val="24"/>
        </w:rPr>
        <w:t>th</w:t>
      </w:r>
      <w:r w:rsidR="00CD14FA">
        <w:rPr>
          <w:rFonts w:ascii="Times New Roman" w:hAnsi="Times New Roman" w:cs="Times New Roman"/>
          <w:sz w:val="24"/>
          <w:szCs w:val="24"/>
        </w:rPr>
        <w:t>eir</w:t>
      </w:r>
      <w:r w:rsidR="00CD14FA" w:rsidRPr="00113B1A">
        <w:rPr>
          <w:rFonts w:ascii="Times New Roman" w:hAnsi="Times New Roman" w:cs="Times New Roman"/>
          <w:sz w:val="24"/>
          <w:szCs w:val="24"/>
        </w:rPr>
        <w:t xml:space="preserve"> </w:t>
      </w:r>
      <w:r w:rsidR="00D027BF" w:rsidRPr="00113B1A">
        <w:rPr>
          <w:rFonts w:ascii="Times New Roman" w:hAnsi="Times New Roman" w:cs="Times New Roman"/>
          <w:sz w:val="24"/>
          <w:szCs w:val="24"/>
        </w:rPr>
        <w:t>overseas counterparts in advocating the removal of fallen women and delinquent children to rural situations and institutions where they might have t</w:t>
      </w:r>
      <w:r w:rsidR="00D027BF" w:rsidRPr="005973B6">
        <w:rPr>
          <w:rFonts w:ascii="Times New Roman" w:hAnsi="Times New Roman" w:cs="Times New Roman"/>
          <w:sz w:val="24"/>
          <w:szCs w:val="24"/>
        </w:rPr>
        <w:t>he best chance to reform (</w:t>
      </w:r>
      <w:r w:rsidR="008A4928">
        <w:rPr>
          <w:rFonts w:ascii="Times New Roman" w:hAnsi="Times New Roman" w:cs="Times New Roman"/>
          <w:sz w:val="24"/>
          <w:szCs w:val="24"/>
        </w:rPr>
        <w:t>Finnane 1997</w:t>
      </w:r>
      <w:r w:rsidR="0027659E">
        <w:rPr>
          <w:rFonts w:ascii="Times New Roman" w:hAnsi="Times New Roman" w:cs="Times New Roman"/>
          <w:sz w:val="24"/>
          <w:szCs w:val="24"/>
        </w:rPr>
        <w:t xml:space="preserve">: </w:t>
      </w:r>
      <w:r w:rsidR="008A4928">
        <w:rPr>
          <w:rFonts w:ascii="Times New Roman" w:hAnsi="Times New Roman" w:cs="Times New Roman"/>
          <w:sz w:val="24"/>
          <w:szCs w:val="24"/>
        </w:rPr>
        <w:t>76-77</w:t>
      </w:r>
      <w:r w:rsidR="00D027BF" w:rsidRPr="005973B6">
        <w:rPr>
          <w:rFonts w:ascii="Times New Roman" w:hAnsi="Times New Roman" w:cs="Times New Roman"/>
          <w:sz w:val="24"/>
          <w:szCs w:val="24"/>
        </w:rPr>
        <w:t>)</w:t>
      </w:r>
      <w:r w:rsidR="00267F24" w:rsidRPr="005973B6">
        <w:rPr>
          <w:rFonts w:ascii="Times New Roman" w:hAnsi="Times New Roman" w:cs="Times New Roman"/>
          <w:sz w:val="24"/>
          <w:szCs w:val="24"/>
        </w:rPr>
        <w:t>.</w:t>
      </w:r>
      <w:r w:rsidR="00D027BF" w:rsidRPr="005973B6">
        <w:rPr>
          <w:rFonts w:ascii="Times New Roman" w:hAnsi="Times New Roman" w:cs="Times New Roman"/>
          <w:sz w:val="24"/>
          <w:szCs w:val="24"/>
        </w:rPr>
        <w:t xml:space="preserve"> At the same time, the bush was popularly imagined as a harsh and dangerous landscape, especially for women, </w:t>
      </w:r>
      <w:r w:rsidR="00DA49A4">
        <w:rPr>
          <w:rFonts w:ascii="Times New Roman" w:hAnsi="Times New Roman" w:cs="Times New Roman"/>
          <w:sz w:val="24"/>
          <w:szCs w:val="24"/>
        </w:rPr>
        <w:t>although</w:t>
      </w:r>
      <w:r w:rsidR="00D027BF" w:rsidRPr="005973B6">
        <w:rPr>
          <w:rFonts w:ascii="Times New Roman" w:hAnsi="Times New Roman" w:cs="Times New Roman"/>
          <w:sz w:val="24"/>
          <w:szCs w:val="24"/>
        </w:rPr>
        <w:t xml:space="preserve"> </w:t>
      </w:r>
      <w:r w:rsidR="00AA1BC4">
        <w:rPr>
          <w:rFonts w:ascii="Times New Roman" w:hAnsi="Times New Roman" w:cs="Times New Roman"/>
          <w:sz w:val="24"/>
          <w:szCs w:val="24"/>
        </w:rPr>
        <w:t xml:space="preserve">one potentially also </w:t>
      </w:r>
      <w:r w:rsidR="00D027BF" w:rsidRPr="005973B6">
        <w:rPr>
          <w:rFonts w:ascii="Times New Roman" w:hAnsi="Times New Roman" w:cs="Times New Roman"/>
          <w:sz w:val="24"/>
          <w:szCs w:val="24"/>
        </w:rPr>
        <w:t>offer</w:t>
      </w:r>
      <w:r w:rsidR="00DA49A4">
        <w:rPr>
          <w:rFonts w:ascii="Times New Roman" w:hAnsi="Times New Roman" w:cs="Times New Roman"/>
          <w:sz w:val="24"/>
          <w:szCs w:val="24"/>
        </w:rPr>
        <w:t>ing</w:t>
      </w:r>
      <w:r w:rsidR="00D027BF" w:rsidRPr="005973B6">
        <w:rPr>
          <w:rFonts w:ascii="Times New Roman" w:hAnsi="Times New Roman" w:cs="Times New Roman"/>
          <w:sz w:val="24"/>
          <w:szCs w:val="24"/>
        </w:rPr>
        <w:t xml:space="preserve"> greater freedoms (</w:t>
      </w:r>
      <w:r w:rsidR="00BC6EBA">
        <w:rPr>
          <w:rFonts w:ascii="Times New Roman" w:hAnsi="Times New Roman" w:cs="Times New Roman"/>
          <w:sz w:val="24"/>
          <w:szCs w:val="24"/>
        </w:rPr>
        <w:t>Murphy, 2010</w:t>
      </w:r>
      <w:r w:rsidR="00181E08">
        <w:rPr>
          <w:rFonts w:ascii="Times New Roman" w:hAnsi="Times New Roman" w:cs="Times New Roman"/>
          <w:sz w:val="24"/>
          <w:szCs w:val="24"/>
        </w:rPr>
        <w:t>; James, 1989</w:t>
      </w:r>
      <w:r w:rsidR="00D027BF" w:rsidRPr="005973B6">
        <w:rPr>
          <w:rFonts w:ascii="Times New Roman" w:hAnsi="Times New Roman" w:cs="Times New Roman"/>
          <w:sz w:val="24"/>
          <w:szCs w:val="24"/>
        </w:rPr>
        <w:t>).</w:t>
      </w:r>
      <w:r w:rsidR="00267F24" w:rsidRPr="005973B6">
        <w:rPr>
          <w:rFonts w:ascii="Times New Roman" w:hAnsi="Times New Roman" w:cs="Times New Roman"/>
          <w:sz w:val="24"/>
          <w:szCs w:val="24"/>
        </w:rPr>
        <w:t xml:space="preserve"> Australian art, literature and culture has imagined the female bush dweller to be more akin to her rural male counterpart (rugged, egalitarian and independent) than to </w:t>
      </w:r>
      <w:r w:rsidR="00DA49A4">
        <w:rPr>
          <w:rFonts w:ascii="Times New Roman" w:hAnsi="Times New Roman" w:cs="Times New Roman"/>
          <w:sz w:val="24"/>
          <w:szCs w:val="24"/>
        </w:rPr>
        <w:t>urban women</w:t>
      </w:r>
      <w:r w:rsidR="00953A36">
        <w:rPr>
          <w:rFonts w:ascii="Times New Roman" w:hAnsi="Times New Roman" w:cs="Times New Roman"/>
          <w:sz w:val="24"/>
          <w:szCs w:val="24"/>
        </w:rPr>
        <w:t xml:space="preserve">. </w:t>
      </w:r>
      <w:r w:rsidRPr="005973B6">
        <w:rPr>
          <w:rFonts w:ascii="Times New Roman" w:hAnsi="Times New Roman" w:cs="Times New Roman"/>
          <w:sz w:val="24"/>
          <w:szCs w:val="24"/>
        </w:rPr>
        <w:t xml:space="preserve">While the reality of such depictions remains debateable, </w:t>
      </w:r>
      <w:r w:rsidRPr="005973B6">
        <w:rPr>
          <w:rFonts w:ascii="Times New Roman" w:hAnsi="Times New Roman" w:cs="Times New Roman"/>
          <w:sz w:val="24"/>
          <w:szCs w:val="24"/>
        </w:rPr>
        <w:lastRenderedPageBreak/>
        <w:t>colonial women living in rural Victoria were subject to far different conditions and concerns than their counterparts in Melbourne.</w:t>
      </w:r>
    </w:p>
    <w:p w14:paraId="3811E305" w14:textId="11DA62EB" w:rsidR="00345B76" w:rsidRDefault="00483881" w:rsidP="00520937">
      <w:pPr>
        <w:spacing w:line="480" w:lineRule="auto"/>
        <w:rPr>
          <w:rFonts w:ascii="Times New Roman" w:hAnsi="Times New Roman" w:cs="Times New Roman"/>
          <w:b/>
          <w:sz w:val="24"/>
          <w:szCs w:val="24"/>
        </w:rPr>
      </w:pPr>
      <w:r w:rsidRPr="005973B6">
        <w:rPr>
          <w:rFonts w:ascii="Times New Roman" w:hAnsi="Times New Roman" w:cs="Times New Roman"/>
          <w:sz w:val="24"/>
          <w:szCs w:val="24"/>
        </w:rPr>
        <w:t>For a large portion of the nineteenth</w:t>
      </w:r>
      <w:r w:rsidR="007B66E3">
        <w:rPr>
          <w:rFonts w:ascii="Times New Roman" w:hAnsi="Times New Roman" w:cs="Times New Roman"/>
          <w:sz w:val="24"/>
          <w:szCs w:val="24"/>
        </w:rPr>
        <w:t xml:space="preserve"> </w:t>
      </w:r>
      <w:r w:rsidRPr="005973B6">
        <w:rPr>
          <w:rFonts w:ascii="Times New Roman" w:hAnsi="Times New Roman" w:cs="Times New Roman"/>
          <w:sz w:val="24"/>
          <w:szCs w:val="24"/>
        </w:rPr>
        <w:t>century, men outnumbered women in Victoria. In the 1861 census, there were 153.6 men for 100 women</w:t>
      </w:r>
      <w:r w:rsidR="000D38F1" w:rsidRPr="005973B6">
        <w:rPr>
          <w:rFonts w:ascii="Times New Roman" w:hAnsi="Times New Roman" w:cs="Times New Roman"/>
          <w:sz w:val="24"/>
          <w:szCs w:val="24"/>
        </w:rPr>
        <w:t xml:space="preserve"> in </w:t>
      </w:r>
      <w:r w:rsidR="00DA49A4">
        <w:rPr>
          <w:rFonts w:ascii="Times New Roman" w:hAnsi="Times New Roman" w:cs="Times New Roman"/>
          <w:sz w:val="24"/>
          <w:szCs w:val="24"/>
        </w:rPr>
        <w:t>a</w:t>
      </w:r>
      <w:r w:rsidR="00DA49A4" w:rsidRPr="005973B6">
        <w:rPr>
          <w:rFonts w:ascii="Times New Roman" w:hAnsi="Times New Roman" w:cs="Times New Roman"/>
          <w:sz w:val="24"/>
          <w:szCs w:val="24"/>
        </w:rPr>
        <w:t xml:space="preserve"> </w:t>
      </w:r>
      <w:r w:rsidR="000D38F1" w:rsidRPr="005973B6">
        <w:rPr>
          <w:rFonts w:ascii="Times New Roman" w:hAnsi="Times New Roman" w:cs="Times New Roman"/>
          <w:sz w:val="24"/>
          <w:szCs w:val="24"/>
        </w:rPr>
        <w:t>colony that had a population of 540,322 individuals</w:t>
      </w:r>
      <w:r w:rsidR="00491140" w:rsidRPr="005973B6">
        <w:rPr>
          <w:rFonts w:ascii="Times New Roman" w:hAnsi="Times New Roman" w:cs="Times New Roman"/>
          <w:sz w:val="24"/>
          <w:szCs w:val="24"/>
        </w:rPr>
        <w:t xml:space="preserve"> in total</w:t>
      </w:r>
      <w:r w:rsidRPr="005973B6">
        <w:rPr>
          <w:rFonts w:ascii="Times New Roman" w:hAnsi="Times New Roman" w:cs="Times New Roman"/>
          <w:sz w:val="24"/>
          <w:szCs w:val="24"/>
        </w:rPr>
        <w:t xml:space="preserve">. </w:t>
      </w:r>
      <w:r w:rsidR="00D027BF" w:rsidRPr="005973B6">
        <w:rPr>
          <w:rFonts w:ascii="Times New Roman" w:hAnsi="Times New Roman" w:cs="Times New Roman"/>
          <w:sz w:val="24"/>
          <w:szCs w:val="24"/>
        </w:rPr>
        <w:t xml:space="preserve">However, </w:t>
      </w:r>
      <w:r w:rsidR="00C105C7" w:rsidRPr="005973B6">
        <w:rPr>
          <w:rFonts w:ascii="Times New Roman" w:hAnsi="Times New Roman" w:cs="Times New Roman"/>
          <w:sz w:val="24"/>
          <w:szCs w:val="24"/>
        </w:rPr>
        <w:t>Melbourne</w:t>
      </w:r>
      <w:r w:rsidR="00E92DC8">
        <w:rPr>
          <w:rFonts w:ascii="Times New Roman" w:hAnsi="Times New Roman" w:cs="Times New Roman"/>
          <w:sz w:val="24"/>
          <w:szCs w:val="24"/>
        </w:rPr>
        <w:t xml:space="preserve"> </w:t>
      </w:r>
      <w:r w:rsidR="00D027BF" w:rsidRPr="005973B6">
        <w:rPr>
          <w:rFonts w:ascii="Times New Roman" w:hAnsi="Times New Roman" w:cs="Times New Roman"/>
          <w:sz w:val="24"/>
          <w:szCs w:val="24"/>
        </w:rPr>
        <w:t>did not suffer from this disparity,</w:t>
      </w:r>
      <w:r w:rsidR="00C105C7" w:rsidRPr="005973B6">
        <w:rPr>
          <w:rFonts w:ascii="Times New Roman" w:hAnsi="Times New Roman" w:cs="Times New Roman"/>
          <w:sz w:val="24"/>
          <w:szCs w:val="24"/>
        </w:rPr>
        <w:t xml:space="preserve"> with many suburbs or municipalities having a higher female than male population.</w:t>
      </w:r>
      <w:r w:rsidR="000D38F1" w:rsidRPr="005973B6">
        <w:rPr>
          <w:rFonts w:ascii="Times New Roman" w:hAnsi="Times New Roman" w:cs="Times New Roman"/>
          <w:sz w:val="24"/>
          <w:szCs w:val="24"/>
        </w:rPr>
        <w:t xml:space="preserve"> Geelong, Victoria’s second most populous area, </w:t>
      </w:r>
      <w:r w:rsidR="005700D1" w:rsidRPr="005973B6">
        <w:rPr>
          <w:rFonts w:ascii="Times New Roman" w:hAnsi="Times New Roman" w:cs="Times New Roman"/>
          <w:sz w:val="24"/>
          <w:szCs w:val="24"/>
        </w:rPr>
        <w:t xml:space="preserve">likewise </w:t>
      </w:r>
      <w:r w:rsidR="000D38F1" w:rsidRPr="005973B6">
        <w:rPr>
          <w:rFonts w:ascii="Times New Roman" w:hAnsi="Times New Roman" w:cs="Times New Roman"/>
          <w:sz w:val="24"/>
          <w:szCs w:val="24"/>
        </w:rPr>
        <w:t xml:space="preserve">had more women than men listed in the census, although not by a significant margin (11,834 women to 11,125 men). </w:t>
      </w:r>
      <w:r w:rsidR="001C02D6" w:rsidRPr="005973B6">
        <w:rPr>
          <w:rFonts w:ascii="Times New Roman" w:hAnsi="Times New Roman" w:cs="Times New Roman"/>
          <w:sz w:val="24"/>
          <w:szCs w:val="24"/>
        </w:rPr>
        <w:t>I</w:t>
      </w:r>
      <w:r w:rsidR="00D52630" w:rsidRPr="005973B6">
        <w:rPr>
          <w:rFonts w:ascii="Times New Roman" w:hAnsi="Times New Roman" w:cs="Times New Roman"/>
          <w:sz w:val="24"/>
          <w:szCs w:val="24"/>
        </w:rPr>
        <w:t>nstead, i</w:t>
      </w:r>
      <w:r w:rsidR="001C02D6" w:rsidRPr="005973B6">
        <w:rPr>
          <w:rFonts w:ascii="Times New Roman" w:hAnsi="Times New Roman" w:cs="Times New Roman"/>
          <w:sz w:val="24"/>
          <w:szCs w:val="24"/>
        </w:rPr>
        <w:t xml:space="preserve">t was in the mining districts (such as Ballarat and Bendigo) </w:t>
      </w:r>
      <w:r w:rsidR="005700D1" w:rsidRPr="005973B6">
        <w:rPr>
          <w:rFonts w:ascii="Times New Roman" w:hAnsi="Times New Roman" w:cs="Times New Roman"/>
          <w:sz w:val="24"/>
          <w:szCs w:val="24"/>
        </w:rPr>
        <w:t xml:space="preserve">– </w:t>
      </w:r>
      <w:r w:rsidR="001C02D6" w:rsidRPr="005973B6">
        <w:rPr>
          <w:rFonts w:ascii="Times New Roman" w:hAnsi="Times New Roman" w:cs="Times New Roman"/>
          <w:sz w:val="24"/>
          <w:szCs w:val="24"/>
        </w:rPr>
        <w:t xml:space="preserve">where 42 per cent of the colony’s population resided </w:t>
      </w:r>
      <w:r w:rsidR="005700D1" w:rsidRPr="005973B6">
        <w:rPr>
          <w:rFonts w:ascii="Times New Roman" w:hAnsi="Times New Roman" w:cs="Times New Roman"/>
          <w:sz w:val="24"/>
          <w:szCs w:val="24"/>
        </w:rPr>
        <w:t xml:space="preserve">– </w:t>
      </w:r>
      <w:r w:rsidR="000D38F1" w:rsidRPr="005973B6">
        <w:rPr>
          <w:rFonts w:ascii="Times New Roman" w:hAnsi="Times New Roman" w:cs="Times New Roman"/>
          <w:sz w:val="24"/>
          <w:szCs w:val="24"/>
        </w:rPr>
        <w:t>that</w:t>
      </w:r>
      <w:r w:rsidR="001C02D6" w:rsidRPr="005973B6">
        <w:rPr>
          <w:rFonts w:ascii="Times New Roman" w:hAnsi="Times New Roman" w:cs="Times New Roman"/>
          <w:sz w:val="24"/>
          <w:szCs w:val="24"/>
        </w:rPr>
        <w:t xml:space="preserve"> </w:t>
      </w:r>
      <w:r w:rsidR="005700D1" w:rsidRPr="005973B6">
        <w:rPr>
          <w:rFonts w:ascii="Times New Roman" w:hAnsi="Times New Roman" w:cs="Times New Roman"/>
          <w:sz w:val="24"/>
          <w:szCs w:val="24"/>
        </w:rPr>
        <w:t xml:space="preserve">contributed to the sex </w:t>
      </w:r>
      <w:r w:rsidR="001C02D6" w:rsidRPr="005973B6">
        <w:rPr>
          <w:rFonts w:ascii="Times New Roman" w:hAnsi="Times New Roman" w:cs="Times New Roman"/>
          <w:sz w:val="24"/>
          <w:szCs w:val="24"/>
        </w:rPr>
        <w:t>ratio difference</w:t>
      </w:r>
      <w:r w:rsidR="005700D1" w:rsidRPr="005973B6">
        <w:rPr>
          <w:rFonts w:ascii="Times New Roman" w:hAnsi="Times New Roman" w:cs="Times New Roman"/>
          <w:sz w:val="24"/>
          <w:szCs w:val="24"/>
        </w:rPr>
        <w:t xml:space="preserve">, with </w:t>
      </w:r>
      <w:r w:rsidR="000D38F1" w:rsidRPr="005973B6">
        <w:rPr>
          <w:rFonts w:ascii="Times New Roman" w:hAnsi="Times New Roman" w:cs="Times New Roman"/>
          <w:sz w:val="24"/>
          <w:szCs w:val="24"/>
        </w:rPr>
        <w:t xml:space="preserve">154,692 </w:t>
      </w:r>
      <w:r w:rsidR="005700D1" w:rsidRPr="005973B6">
        <w:rPr>
          <w:rFonts w:ascii="Times New Roman" w:hAnsi="Times New Roman" w:cs="Times New Roman"/>
          <w:sz w:val="24"/>
          <w:szCs w:val="24"/>
        </w:rPr>
        <w:t>male inhabitants to</w:t>
      </w:r>
      <w:r w:rsidR="000D38F1" w:rsidRPr="005973B6">
        <w:rPr>
          <w:rFonts w:ascii="Times New Roman" w:hAnsi="Times New Roman" w:cs="Times New Roman"/>
          <w:sz w:val="24"/>
          <w:szCs w:val="24"/>
        </w:rPr>
        <w:t xml:space="preserve"> only 73,489 women. By </w:t>
      </w:r>
      <w:r w:rsidR="00BE616C" w:rsidRPr="005973B6">
        <w:rPr>
          <w:rFonts w:ascii="Times New Roman" w:hAnsi="Times New Roman" w:cs="Times New Roman"/>
          <w:sz w:val="24"/>
          <w:szCs w:val="24"/>
        </w:rPr>
        <w:t xml:space="preserve">the time of the </w:t>
      </w:r>
      <w:r w:rsidR="000D38F1" w:rsidRPr="005973B6">
        <w:rPr>
          <w:rFonts w:ascii="Times New Roman" w:hAnsi="Times New Roman" w:cs="Times New Roman"/>
          <w:sz w:val="24"/>
          <w:szCs w:val="24"/>
        </w:rPr>
        <w:t>1881</w:t>
      </w:r>
      <w:r w:rsidR="00BE616C" w:rsidRPr="005973B6">
        <w:rPr>
          <w:rFonts w:ascii="Times New Roman" w:hAnsi="Times New Roman" w:cs="Times New Roman"/>
          <w:sz w:val="24"/>
          <w:szCs w:val="24"/>
        </w:rPr>
        <w:t xml:space="preserve"> census</w:t>
      </w:r>
      <w:r w:rsidR="000D38F1" w:rsidRPr="005973B6">
        <w:rPr>
          <w:rFonts w:ascii="Times New Roman" w:hAnsi="Times New Roman" w:cs="Times New Roman"/>
          <w:sz w:val="24"/>
          <w:szCs w:val="24"/>
        </w:rPr>
        <w:t xml:space="preserve"> there was more parity between the nu</w:t>
      </w:r>
      <w:r w:rsidR="00BE616C" w:rsidRPr="005973B6">
        <w:rPr>
          <w:rFonts w:ascii="Times New Roman" w:hAnsi="Times New Roman" w:cs="Times New Roman"/>
          <w:sz w:val="24"/>
          <w:szCs w:val="24"/>
        </w:rPr>
        <w:t>mber of women and men being recorded</w:t>
      </w:r>
      <w:r w:rsidR="003F34C0" w:rsidRPr="005973B6">
        <w:rPr>
          <w:rFonts w:ascii="Times New Roman" w:hAnsi="Times New Roman" w:cs="Times New Roman"/>
          <w:sz w:val="24"/>
          <w:szCs w:val="24"/>
        </w:rPr>
        <w:t xml:space="preserve"> around Victoria</w:t>
      </w:r>
      <w:r w:rsidR="00BE616C" w:rsidRPr="005973B6">
        <w:rPr>
          <w:rFonts w:ascii="Times New Roman" w:hAnsi="Times New Roman" w:cs="Times New Roman"/>
          <w:sz w:val="24"/>
          <w:szCs w:val="24"/>
        </w:rPr>
        <w:t>. There were nearly 91 women to 100 men</w:t>
      </w:r>
      <w:r w:rsidR="00435374" w:rsidRPr="005973B6">
        <w:rPr>
          <w:rFonts w:ascii="Times New Roman" w:hAnsi="Times New Roman" w:cs="Times New Roman"/>
          <w:sz w:val="24"/>
          <w:szCs w:val="24"/>
        </w:rPr>
        <w:t xml:space="preserve">, which was </w:t>
      </w:r>
      <w:r w:rsidR="00DA49A4">
        <w:rPr>
          <w:rFonts w:ascii="Times New Roman" w:hAnsi="Times New Roman" w:cs="Times New Roman"/>
          <w:sz w:val="24"/>
          <w:szCs w:val="24"/>
        </w:rPr>
        <w:t>on par with</w:t>
      </w:r>
      <w:r w:rsidR="00435374" w:rsidRPr="005973B6">
        <w:rPr>
          <w:rFonts w:ascii="Times New Roman" w:hAnsi="Times New Roman" w:cs="Times New Roman"/>
          <w:sz w:val="24"/>
          <w:szCs w:val="24"/>
        </w:rPr>
        <w:t xml:space="preserve"> the </w:t>
      </w:r>
      <w:r w:rsidR="00DA49A4">
        <w:rPr>
          <w:rFonts w:ascii="Times New Roman" w:hAnsi="Times New Roman" w:cs="Times New Roman"/>
          <w:sz w:val="24"/>
          <w:szCs w:val="24"/>
        </w:rPr>
        <w:t xml:space="preserve">other </w:t>
      </w:r>
      <w:r w:rsidR="00E92DC8">
        <w:rPr>
          <w:rFonts w:ascii="Times New Roman" w:hAnsi="Times New Roman" w:cs="Times New Roman"/>
          <w:sz w:val="24"/>
          <w:szCs w:val="24"/>
        </w:rPr>
        <w:t xml:space="preserve">Australasian </w:t>
      </w:r>
      <w:r w:rsidR="00435374" w:rsidRPr="005973B6">
        <w:rPr>
          <w:rFonts w:ascii="Times New Roman" w:hAnsi="Times New Roman" w:cs="Times New Roman"/>
          <w:sz w:val="24"/>
          <w:szCs w:val="24"/>
        </w:rPr>
        <w:t xml:space="preserve">colonies. Women outnumbered men in Melbourne and the urban municipalities of Melbourne (220,843 women to 213,624 men), and women were beginning to outnumber men not only in Geelong but also in the central area of Ballarat. </w:t>
      </w:r>
      <w:r w:rsidR="00662C10" w:rsidRPr="005973B6">
        <w:rPr>
          <w:rFonts w:ascii="Times New Roman" w:hAnsi="Times New Roman" w:cs="Times New Roman"/>
          <w:sz w:val="24"/>
          <w:szCs w:val="24"/>
        </w:rPr>
        <w:t>By 1901 there was almost complete parity between the sexes; there were 98.94 women to 100 men</w:t>
      </w:r>
      <w:r w:rsidR="005700D1" w:rsidRPr="005973B6">
        <w:rPr>
          <w:rFonts w:ascii="Times New Roman" w:hAnsi="Times New Roman" w:cs="Times New Roman"/>
          <w:sz w:val="24"/>
          <w:szCs w:val="24"/>
        </w:rPr>
        <w:t>, with women outnumbering men not only in Melbourne but</w:t>
      </w:r>
      <w:r w:rsidR="00C8218B" w:rsidRPr="005973B6">
        <w:rPr>
          <w:rFonts w:ascii="Times New Roman" w:hAnsi="Times New Roman" w:cs="Times New Roman"/>
          <w:sz w:val="24"/>
          <w:szCs w:val="24"/>
        </w:rPr>
        <w:t xml:space="preserve"> </w:t>
      </w:r>
      <w:r w:rsidR="00C44B7E" w:rsidRPr="005973B6">
        <w:rPr>
          <w:rFonts w:ascii="Times New Roman" w:hAnsi="Times New Roman" w:cs="Times New Roman"/>
          <w:sz w:val="24"/>
          <w:szCs w:val="24"/>
        </w:rPr>
        <w:t>almost every larger town in rural Victoria. By 1920 the difference between urban and rural Victoria’s population was negligible; 763,000 called Melbourne home while 764,999 lived in rural Victoria (ABS 2014).</w:t>
      </w:r>
      <w:r w:rsidR="001A05B6">
        <w:rPr>
          <w:rFonts w:ascii="Times New Roman" w:hAnsi="Times New Roman" w:cs="Times New Roman"/>
          <w:sz w:val="24"/>
          <w:szCs w:val="24"/>
        </w:rPr>
        <w:t xml:space="preserve"> The table below outlines the </w:t>
      </w:r>
      <w:r w:rsidR="00E92DC8">
        <w:rPr>
          <w:rFonts w:ascii="Times New Roman" w:hAnsi="Times New Roman" w:cs="Times New Roman"/>
          <w:sz w:val="24"/>
          <w:szCs w:val="24"/>
        </w:rPr>
        <w:t xml:space="preserve">comparative </w:t>
      </w:r>
      <w:r w:rsidR="001A05B6">
        <w:rPr>
          <w:rFonts w:ascii="Times New Roman" w:hAnsi="Times New Roman" w:cs="Times New Roman"/>
          <w:sz w:val="24"/>
          <w:szCs w:val="24"/>
        </w:rPr>
        <w:t>female population</w:t>
      </w:r>
      <w:r w:rsidR="00E92DC8">
        <w:rPr>
          <w:rFonts w:ascii="Times New Roman" w:hAnsi="Times New Roman" w:cs="Times New Roman"/>
          <w:sz w:val="24"/>
          <w:szCs w:val="24"/>
        </w:rPr>
        <w:t>s</w:t>
      </w:r>
      <w:r w:rsidR="001A05B6">
        <w:rPr>
          <w:rFonts w:ascii="Times New Roman" w:hAnsi="Times New Roman" w:cs="Times New Roman"/>
          <w:sz w:val="24"/>
          <w:szCs w:val="24"/>
        </w:rPr>
        <w:t xml:space="preserve"> of Melbourne and rural Victoria.</w:t>
      </w:r>
    </w:p>
    <w:p w14:paraId="018E3517" w14:textId="47483479" w:rsidR="00520937" w:rsidRPr="00240753" w:rsidRDefault="00520937" w:rsidP="00520937">
      <w:pPr>
        <w:spacing w:line="480" w:lineRule="auto"/>
        <w:rPr>
          <w:rFonts w:ascii="Times New Roman" w:hAnsi="Times New Roman" w:cs="Times New Roman"/>
          <w:b/>
          <w:sz w:val="24"/>
          <w:szCs w:val="24"/>
        </w:rPr>
      </w:pPr>
      <w:r w:rsidRPr="00240753">
        <w:rPr>
          <w:rFonts w:ascii="Times New Roman" w:hAnsi="Times New Roman" w:cs="Times New Roman"/>
          <w:b/>
          <w:sz w:val="24"/>
          <w:szCs w:val="24"/>
        </w:rPr>
        <w:t xml:space="preserve">Table </w:t>
      </w:r>
      <w:r w:rsidR="004629A7">
        <w:rPr>
          <w:rFonts w:ascii="Times New Roman" w:hAnsi="Times New Roman" w:cs="Times New Roman"/>
          <w:b/>
          <w:sz w:val="24"/>
          <w:szCs w:val="24"/>
        </w:rPr>
        <w:t>1</w:t>
      </w:r>
      <w:r w:rsidRPr="00240753">
        <w:rPr>
          <w:rFonts w:ascii="Times New Roman" w:hAnsi="Times New Roman" w:cs="Times New Roman"/>
          <w:b/>
          <w:sz w:val="24"/>
          <w:szCs w:val="24"/>
        </w:rPr>
        <w:t>: Urban and rural female population</w:t>
      </w:r>
    </w:p>
    <w:tbl>
      <w:tblPr>
        <w:tblStyle w:val="TableGrid"/>
        <w:tblW w:w="0" w:type="auto"/>
        <w:jc w:val="center"/>
        <w:tblLook w:val="04A0" w:firstRow="1" w:lastRow="0" w:firstColumn="1" w:lastColumn="0" w:noHBand="0" w:noVBand="1"/>
      </w:tblPr>
      <w:tblGrid>
        <w:gridCol w:w="1239"/>
        <w:gridCol w:w="2630"/>
        <w:gridCol w:w="2780"/>
      </w:tblGrid>
      <w:tr w:rsidR="00520937" w14:paraId="3A5BD802" w14:textId="77777777" w:rsidTr="00205F8F">
        <w:trPr>
          <w:trHeight w:val="204"/>
          <w:jc w:val="center"/>
        </w:trPr>
        <w:tc>
          <w:tcPr>
            <w:tcW w:w="1239" w:type="dxa"/>
          </w:tcPr>
          <w:p w14:paraId="55195576" w14:textId="77777777" w:rsidR="00520937" w:rsidRDefault="00520937" w:rsidP="00E069F7">
            <w:pPr>
              <w:spacing w:line="360" w:lineRule="auto"/>
              <w:rPr>
                <w:rFonts w:ascii="Times New Roman" w:hAnsi="Times New Roman" w:cs="Times New Roman"/>
                <w:b/>
                <w:sz w:val="24"/>
                <w:szCs w:val="24"/>
              </w:rPr>
            </w:pPr>
          </w:p>
        </w:tc>
        <w:tc>
          <w:tcPr>
            <w:tcW w:w="2630" w:type="dxa"/>
          </w:tcPr>
          <w:p w14:paraId="47F073F9" w14:textId="77777777" w:rsidR="00520937" w:rsidRPr="002F62E0"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Melbourne and Suburbs Female Population</w:t>
            </w:r>
          </w:p>
        </w:tc>
        <w:tc>
          <w:tcPr>
            <w:tcW w:w="2780" w:type="dxa"/>
          </w:tcPr>
          <w:p w14:paraId="6E9DE4B5" w14:textId="785754E0" w:rsidR="00520937"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Victoria</w:t>
            </w:r>
            <w:r w:rsidR="00DA49A4">
              <w:rPr>
                <w:rFonts w:ascii="Times New Roman" w:hAnsi="Times New Roman" w:cs="Times New Roman"/>
                <w:b/>
                <w:sz w:val="24"/>
                <w:szCs w:val="24"/>
              </w:rPr>
              <w:t>n</w:t>
            </w:r>
            <w:r>
              <w:rPr>
                <w:rFonts w:ascii="Times New Roman" w:hAnsi="Times New Roman" w:cs="Times New Roman"/>
                <w:b/>
                <w:sz w:val="24"/>
                <w:szCs w:val="24"/>
              </w:rPr>
              <w:t xml:space="preserve"> Female Population (exc. </w:t>
            </w:r>
            <w:r>
              <w:rPr>
                <w:rFonts w:ascii="Times New Roman" w:hAnsi="Times New Roman" w:cs="Times New Roman"/>
                <w:b/>
                <w:sz w:val="24"/>
                <w:szCs w:val="24"/>
              </w:rPr>
              <w:lastRenderedPageBreak/>
              <w:t>Melbourne and Suburbs)</w:t>
            </w:r>
          </w:p>
        </w:tc>
      </w:tr>
      <w:tr w:rsidR="00520937" w:rsidRPr="00E766D8" w14:paraId="13F2A03B" w14:textId="77777777" w:rsidTr="00205F8F">
        <w:trPr>
          <w:jc w:val="center"/>
        </w:trPr>
        <w:tc>
          <w:tcPr>
            <w:tcW w:w="1239" w:type="dxa"/>
          </w:tcPr>
          <w:p w14:paraId="707AA010" w14:textId="77777777" w:rsidR="00520937"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1861</w:t>
            </w:r>
          </w:p>
        </w:tc>
        <w:tc>
          <w:tcPr>
            <w:tcW w:w="2630" w:type="dxa"/>
          </w:tcPr>
          <w:p w14:paraId="2B5B6FC3" w14:textId="77777777" w:rsidR="00520937" w:rsidRPr="00E24D6A" w:rsidRDefault="00520937"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30,935</w:t>
            </w:r>
          </w:p>
        </w:tc>
        <w:tc>
          <w:tcPr>
            <w:tcW w:w="2780" w:type="dxa"/>
          </w:tcPr>
          <w:p w14:paraId="6DDB5FAF" w14:textId="4D165FC7" w:rsidR="00520937" w:rsidRPr="00E24D6A" w:rsidRDefault="00AB53F1"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180,736</w:t>
            </w:r>
          </w:p>
        </w:tc>
      </w:tr>
      <w:tr w:rsidR="00520937" w:rsidRPr="00E766D8" w14:paraId="610C96FB" w14:textId="77777777" w:rsidTr="00205F8F">
        <w:trPr>
          <w:jc w:val="center"/>
        </w:trPr>
        <w:tc>
          <w:tcPr>
            <w:tcW w:w="1239" w:type="dxa"/>
          </w:tcPr>
          <w:p w14:paraId="5DF9C163" w14:textId="77777777" w:rsidR="00520937"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1871</w:t>
            </w:r>
          </w:p>
        </w:tc>
        <w:tc>
          <w:tcPr>
            <w:tcW w:w="2630" w:type="dxa"/>
          </w:tcPr>
          <w:p w14:paraId="517CD785" w14:textId="77777777" w:rsidR="00520937" w:rsidRPr="00E24D6A" w:rsidRDefault="00520937"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116,631</w:t>
            </w:r>
          </w:p>
        </w:tc>
        <w:tc>
          <w:tcPr>
            <w:tcW w:w="2780" w:type="dxa"/>
          </w:tcPr>
          <w:p w14:paraId="3D64DA04" w14:textId="77777777" w:rsidR="00520937" w:rsidRPr="00E24D6A" w:rsidRDefault="00520937"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213,847</w:t>
            </w:r>
          </w:p>
        </w:tc>
      </w:tr>
      <w:tr w:rsidR="00520937" w:rsidRPr="00E766D8" w14:paraId="5707BE73" w14:textId="77777777" w:rsidTr="00205F8F">
        <w:trPr>
          <w:jc w:val="center"/>
        </w:trPr>
        <w:tc>
          <w:tcPr>
            <w:tcW w:w="1239" w:type="dxa"/>
          </w:tcPr>
          <w:p w14:paraId="3B08F89F" w14:textId="77777777" w:rsidR="00520937"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1881</w:t>
            </w:r>
          </w:p>
        </w:tc>
        <w:tc>
          <w:tcPr>
            <w:tcW w:w="2630" w:type="dxa"/>
          </w:tcPr>
          <w:p w14:paraId="6236B2A4" w14:textId="7875F5CC" w:rsidR="004659C2" w:rsidRPr="00E24D6A" w:rsidRDefault="004659C2" w:rsidP="00E24D6A">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220,843</w:t>
            </w:r>
          </w:p>
        </w:tc>
        <w:tc>
          <w:tcPr>
            <w:tcW w:w="2780" w:type="dxa"/>
          </w:tcPr>
          <w:p w14:paraId="67703756" w14:textId="69FFD688" w:rsidR="00520937" w:rsidRPr="00E24D6A" w:rsidRDefault="007A2766"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410,263</w:t>
            </w:r>
          </w:p>
        </w:tc>
      </w:tr>
      <w:tr w:rsidR="00520937" w:rsidRPr="00E766D8" w14:paraId="01398D36" w14:textId="77777777" w:rsidTr="00205F8F">
        <w:trPr>
          <w:jc w:val="center"/>
        </w:trPr>
        <w:tc>
          <w:tcPr>
            <w:tcW w:w="1239" w:type="dxa"/>
          </w:tcPr>
          <w:p w14:paraId="5F22244E" w14:textId="77777777" w:rsidR="00520937"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1891</w:t>
            </w:r>
          </w:p>
        </w:tc>
        <w:tc>
          <w:tcPr>
            <w:tcW w:w="2630" w:type="dxa"/>
          </w:tcPr>
          <w:p w14:paraId="3BD7BF12" w14:textId="77777777" w:rsidR="00520937" w:rsidRPr="00E24D6A" w:rsidRDefault="00520937"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242,936</w:t>
            </w:r>
          </w:p>
        </w:tc>
        <w:tc>
          <w:tcPr>
            <w:tcW w:w="2780" w:type="dxa"/>
          </w:tcPr>
          <w:p w14:paraId="5EC9DD3E" w14:textId="77777777" w:rsidR="00520937" w:rsidRPr="00E24D6A" w:rsidRDefault="00520937"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299,055</w:t>
            </w:r>
          </w:p>
        </w:tc>
      </w:tr>
      <w:tr w:rsidR="00520937" w:rsidRPr="00E766D8" w14:paraId="5015CA98" w14:textId="77777777" w:rsidTr="00205F8F">
        <w:trPr>
          <w:jc w:val="center"/>
        </w:trPr>
        <w:tc>
          <w:tcPr>
            <w:tcW w:w="1239" w:type="dxa"/>
          </w:tcPr>
          <w:p w14:paraId="17EB037F" w14:textId="77777777" w:rsidR="00520937"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1901</w:t>
            </w:r>
          </w:p>
        </w:tc>
        <w:tc>
          <w:tcPr>
            <w:tcW w:w="2630" w:type="dxa"/>
          </w:tcPr>
          <w:p w14:paraId="2DF1DF6E" w14:textId="51B9668D" w:rsidR="00520937" w:rsidRPr="00E24D6A" w:rsidRDefault="00AB53F1"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260,876</w:t>
            </w:r>
          </w:p>
        </w:tc>
        <w:tc>
          <w:tcPr>
            <w:tcW w:w="2780" w:type="dxa"/>
          </w:tcPr>
          <w:p w14:paraId="33153818" w14:textId="01DAB014" w:rsidR="00520937" w:rsidRPr="00E24D6A" w:rsidRDefault="00AB53F1" w:rsidP="00E069F7">
            <w:pPr>
              <w:spacing w:line="360" w:lineRule="auto"/>
              <w:jc w:val="center"/>
              <w:rPr>
                <w:rFonts w:ascii="Times New Roman" w:hAnsi="Times New Roman" w:cs="Times New Roman"/>
                <w:sz w:val="24"/>
                <w:szCs w:val="24"/>
              </w:rPr>
            </w:pPr>
            <w:r w:rsidRPr="00E24D6A">
              <w:rPr>
                <w:rFonts w:ascii="Times New Roman" w:hAnsi="Times New Roman" w:cs="Times New Roman"/>
                <w:sz w:val="24"/>
                <w:szCs w:val="24"/>
              </w:rPr>
              <w:t xml:space="preserve"> 336,582</w:t>
            </w:r>
          </w:p>
        </w:tc>
      </w:tr>
      <w:tr w:rsidR="00520937" w:rsidRPr="00E766D8" w14:paraId="027796E5" w14:textId="77777777" w:rsidTr="00205F8F">
        <w:trPr>
          <w:jc w:val="center"/>
        </w:trPr>
        <w:tc>
          <w:tcPr>
            <w:tcW w:w="1239" w:type="dxa"/>
          </w:tcPr>
          <w:p w14:paraId="6F0A118E" w14:textId="77777777" w:rsidR="00520937"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1911</w:t>
            </w:r>
          </w:p>
        </w:tc>
        <w:tc>
          <w:tcPr>
            <w:tcW w:w="2630" w:type="dxa"/>
          </w:tcPr>
          <w:p w14:paraId="70505F22" w14:textId="77777777" w:rsidR="00520937" w:rsidRPr="00E766D8" w:rsidRDefault="00520937" w:rsidP="00E069F7">
            <w:pPr>
              <w:spacing w:line="360" w:lineRule="auto"/>
              <w:jc w:val="center"/>
              <w:rPr>
                <w:rFonts w:ascii="Times New Roman" w:hAnsi="Times New Roman" w:cs="Times New Roman"/>
                <w:sz w:val="24"/>
                <w:szCs w:val="24"/>
              </w:rPr>
            </w:pPr>
            <w:r w:rsidRPr="00E766D8">
              <w:rPr>
                <w:rFonts w:ascii="Times New Roman" w:hAnsi="Times New Roman" w:cs="Times New Roman"/>
                <w:sz w:val="24"/>
                <w:szCs w:val="24"/>
              </w:rPr>
              <w:t>311,015</w:t>
            </w:r>
          </w:p>
        </w:tc>
        <w:tc>
          <w:tcPr>
            <w:tcW w:w="2780" w:type="dxa"/>
          </w:tcPr>
          <w:p w14:paraId="565E8094" w14:textId="6F308BC4" w:rsidR="00520937" w:rsidRPr="00E766D8" w:rsidRDefault="00E24D6A" w:rsidP="00E069F7">
            <w:pPr>
              <w:spacing w:line="360" w:lineRule="auto"/>
              <w:jc w:val="center"/>
              <w:rPr>
                <w:rFonts w:ascii="Times New Roman" w:hAnsi="Times New Roman" w:cs="Times New Roman"/>
                <w:sz w:val="24"/>
                <w:szCs w:val="24"/>
              </w:rPr>
            </w:pPr>
            <w:r>
              <w:rPr>
                <w:rFonts w:ascii="Times New Roman" w:hAnsi="Times New Roman" w:cs="Times New Roman"/>
                <w:sz w:val="24"/>
                <w:szCs w:val="24"/>
              </w:rPr>
              <w:t>348,945</w:t>
            </w:r>
          </w:p>
        </w:tc>
      </w:tr>
      <w:tr w:rsidR="00520937" w14:paraId="4FF778D0" w14:textId="77777777" w:rsidTr="00205F8F">
        <w:trPr>
          <w:jc w:val="center"/>
        </w:trPr>
        <w:tc>
          <w:tcPr>
            <w:tcW w:w="1239" w:type="dxa"/>
          </w:tcPr>
          <w:p w14:paraId="40E47C99" w14:textId="77777777" w:rsidR="00520937" w:rsidRDefault="00520937" w:rsidP="00E069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1921</w:t>
            </w:r>
          </w:p>
        </w:tc>
        <w:tc>
          <w:tcPr>
            <w:tcW w:w="2630" w:type="dxa"/>
          </w:tcPr>
          <w:p w14:paraId="188CD646" w14:textId="0F807BC6" w:rsidR="00520937" w:rsidRPr="00240753" w:rsidRDefault="00240753" w:rsidP="00240753">
            <w:pPr>
              <w:spacing w:line="360" w:lineRule="auto"/>
              <w:jc w:val="center"/>
              <w:rPr>
                <w:rFonts w:ascii="Times New Roman" w:hAnsi="Times New Roman" w:cs="Times New Roman"/>
                <w:sz w:val="24"/>
                <w:szCs w:val="24"/>
              </w:rPr>
            </w:pPr>
            <w:r w:rsidRPr="00240753">
              <w:rPr>
                <w:rFonts w:ascii="Times New Roman" w:hAnsi="Times New Roman" w:cs="Times New Roman"/>
                <w:sz w:val="24"/>
                <w:szCs w:val="24"/>
              </w:rPr>
              <w:t>407,025</w:t>
            </w:r>
          </w:p>
        </w:tc>
        <w:tc>
          <w:tcPr>
            <w:tcW w:w="2780" w:type="dxa"/>
          </w:tcPr>
          <w:p w14:paraId="6E04F9FE" w14:textId="596DA670" w:rsidR="00520937" w:rsidRPr="00240753" w:rsidRDefault="00E24D6A" w:rsidP="00240753">
            <w:pPr>
              <w:spacing w:line="360" w:lineRule="auto"/>
              <w:jc w:val="center"/>
              <w:rPr>
                <w:rFonts w:ascii="Times New Roman" w:hAnsi="Times New Roman" w:cs="Times New Roman"/>
                <w:sz w:val="24"/>
                <w:szCs w:val="24"/>
              </w:rPr>
            </w:pPr>
            <w:r w:rsidRPr="00240753">
              <w:rPr>
                <w:rFonts w:ascii="Times New Roman" w:hAnsi="Times New Roman" w:cs="Times New Roman"/>
                <w:sz w:val="24"/>
                <w:szCs w:val="24"/>
              </w:rPr>
              <w:t>36</w:t>
            </w:r>
            <w:r>
              <w:rPr>
                <w:rFonts w:ascii="Times New Roman" w:hAnsi="Times New Roman" w:cs="Times New Roman"/>
                <w:sz w:val="24"/>
                <w:szCs w:val="24"/>
              </w:rPr>
              <w:t>8</w:t>
            </w:r>
            <w:r w:rsidR="00240753" w:rsidRPr="00240753">
              <w:rPr>
                <w:rFonts w:ascii="Times New Roman" w:hAnsi="Times New Roman" w:cs="Times New Roman"/>
                <w:sz w:val="24"/>
                <w:szCs w:val="24"/>
              </w:rPr>
              <w:t>,</w:t>
            </w:r>
            <w:r>
              <w:rPr>
                <w:rFonts w:ascii="Times New Roman" w:hAnsi="Times New Roman" w:cs="Times New Roman"/>
                <w:sz w:val="24"/>
                <w:szCs w:val="24"/>
              </w:rPr>
              <w:t>790</w:t>
            </w:r>
          </w:p>
        </w:tc>
      </w:tr>
    </w:tbl>
    <w:p w14:paraId="11F8E1A7" w14:textId="77777777" w:rsidR="00520937" w:rsidRDefault="00520937" w:rsidP="00520937">
      <w:pPr>
        <w:spacing w:line="480" w:lineRule="auto"/>
        <w:rPr>
          <w:rFonts w:ascii="Times New Roman" w:hAnsi="Times New Roman" w:cs="Times New Roman"/>
          <w:sz w:val="24"/>
          <w:szCs w:val="24"/>
        </w:rPr>
      </w:pPr>
    </w:p>
    <w:p w14:paraId="59550387" w14:textId="71FA568B" w:rsidR="00E92DC8" w:rsidRDefault="005973B6" w:rsidP="002253B1">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to being distributed differently across the urban and rural environments, women in Victoria faced different socio-economic conditions depend</w:t>
      </w:r>
      <w:r w:rsidR="00DA49A4">
        <w:rPr>
          <w:rFonts w:ascii="Times New Roman" w:hAnsi="Times New Roman" w:cs="Times New Roman"/>
          <w:sz w:val="24"/>
          <w:szCs w:val="24"/>
        </w:rPr>
        <w:t>ent</w:t>
      </w:r>
      <w:r>
        <w:rPr>
          <w:rFonts w:ascii="Times New Roman" w:hAnsi="Times New Roman" w:cs="Times New Roman"/>
          <w:sz w:val="24"/>
          <w:szCs w:val="24"/>
        </w:rPr>
        <w:t xml:space="preserve"> on their location, although some factors were  shared. </w:t>
      </w:r>
      <w:r w:rsidR="004629A7" w:rsidRPr="004629A7">
        <w:rPr>
          <w:rFonts w:ascii="Times New Roman" w:hAnsi="Times New Roman" w:cs="Times New Roman"/>
          <w:sz w:val="24"/>
          <w:szCs w:val="24"/>
        </w:rPr>
        <w:t>Noted in the 1871 census</w:t>
      </w:r>
      <w:r w:rsidR="00DA49A4">
        <w:rPr>
          <w:rFonts w:ascii="Times New Roman" w:hAnsi="Times New Roman" w:cs="Times New Roman"/>
          <w:sz w:val="24"/>
          <w:szCs w:val="24"/>
        </w:rPr>
        <w:t>,</w:t>
      </w:r>
      <w:r w:rsidR="004629A7" w:rsidRPr="004629A7">
        <w:rPr>
          <w:rFonts w:ascii="Times New Roman" w:hAnsi="Times New Roman" w:cs="Times New Roman"/>
          <w:sz w:val="24"/>
          <w:szCs w:val="24"/>
        </w:rPr>
        <w:t xml:space="preserve"> for example</w:t>
      </w:r>
      <w:r w:rsidR="00DA49A4">
        <w:rPr>
          <w:rFonts w:ascii="Times New Roman" w:hAnsi="Times New Roman" w:cs="Times New Roman"/>
          <w:sz w:val="24"/>
          <w:szCs w:val="24"/>
        </w:rPr>
        <w:t>,</w:t>
      </w:r>
      <w:r w:rsidR="004629A7" w:rsidRPr="004629A7">
        <w:rPr>
          <w:rFonts w:ascii="Times New Roman" w:hAnsi="Times New Roman" w:cs="Times New Roman"/>
          <w:sz w:val="24"/>
          <w:szCs w:val="24"/>
        </w:rPr>
        <w:t xml:space="preserve"> was that only 20 per cent of women in Victoria had a form of employment that was not domestic duties associated with being a wife or daughter, </w:t>
      </w:r>
      <w:r w:rsidR="00DA49A4">
        <w:rPr>
          <w:rFonts w:ascii="Times New Roman" w:hAnsi="Times New Roman" w:cs="Times New Roman"/>
          <w:sz w:val="24"/>
          <w:szCs w:val="24"/>
        </w:rPr>
        <w:t xml:space="preserve"> nor</w:t>
      </w:r>
      <w:r w:rsidR="004629A7" w:rsidRPr="004629A7">
        <w:rPr>
          <w:rFonts w:ascii="Times New Roman" w:hAnsi="Times New Roman" w:cs="Times New Roman"/>
          <w:sz w:val="24"/>
          <w:szCs w:val="24"/>
        </w:rPr>
        <w:t xml:space="preserve"> under the care of the state. </w:t>
      </w:r>
      <w:r w:rsidR="00F548EB">
        <w:rPr>
          <w:rFonts w:ascii="Times New Roman" w:hAnsi="Times New Roman" w:cs="Times New Roman"/>
          <w:sz w:val="24"/>
          <w:szCs w:val="24"/>
        </w:rPr>
        <w:t xml:space="preserve">Women as a group had fewer legitimate means of </w:t>
      </w:r>
      <w:r w:rsidR="00D258AE">
        <w:rPr>
          <w:rFonts w:ascii="Times New Roman" w:hAnsi="Times New Roman" w:cs="Times New Roman"/>
          <w:sz w:val="24"/>
          <w:szCs w:val="24"/>
        </w:rPr>
        <w:t xml:space="preserve">wage </w:t>
      </w:r>
      <w:r w:rsidR="00F548EB">
        <w:rPr>
          <w:rFonts w:ascii="Times New Roman" w:hAnsi="Times New Roman" w:cs="Times New Roman"/>
          <w:sz w:val="24"/>
          <w:szCs w:val="24"/>
        </w:rPr>
        <w:t xml:space="preserve">earning than men, but those in rural areas faced even more limited employment prospects, with </w:t>
      </w:r>
      <w:r w:rsidR="00473361">
        <w:rPr>
          <w:rFonts w:ascii="Times New Roman" w:hAnsi="Times New Roman" w:cs="Times New Roman"/>
          <w:sz w:val="24"/>
          <w:szCs w:val="24"/>
        </w:rPr>
        <w:t>scarcer</w:t>
      </w:r>
      <w:r w:rsidR="00F548EB">
        <w:rPr>
          <w:rFonts w:ascii="Times New Roman" w:hAnsi="Times New Roman" w:cs="Times New Roman"/>
          <w:sz w:val="24"/>
          <w:szCs w:val="24"/>
        </w:rPr>
        <w:t xml:space="preserve"> opportunities in the manufacturing and retail industries than in the city</w:t>
      </w:r>
      <w:r w:rsidR="000B4E44">
        <w:rPr>
          <w:rFonts w:ascii="Times New Roman" w:hAnsi="Times New Roman" w:cs="Times New Roman"/>
          <w:sz w:val="24"/>
          <w:szCs w:val="24"/>
        </w:rPr>
        <w:t xml:space="preserve"> (Kingston 1980)</w:t>
      </w:r>
      <w:r w:rsidR="00F548EB">
        <w:rPr>
          <w:rFonts w:ascii="Times New Roman" w:hAnsi="Times New Roman" w:cs="Times New Roman"/>
          <w:sz w:val="24"/>
          <w:szCs w:val="24"/>
        </w:rPr>
        <w:t xml:space="preserve">. </w:t>
      </w:r>
      <w:r w:rsidR="00645014">
        <w:rPr>
          <w:rFonts w:ascii="Times New Roman" w:hAnsi="Times New Roman" w:cs="Times New Roman"/>
          <w:sz w:val="24"/>
          <w:szCs w:val="24"/>
        </w:rPr>
        <w:t>F</w:t>
      </w:r>
      <w:r w:rsidR="009C14D0">
        <w:rPr>
          <w:rFonts w:ascii="Times New Roman" w:hAnsi="Times New Roman" w:cs="Times New Roman"/>
          <w:sz w:val="24"/>
          <w:szCs w:val="24"/>
        </w:rPr>
        <w:t xml:space="preserve">actors affecting the number of such positions being offered – such as the economic depression of the 1890s or the absence of male workers on military service during World War One – may have had </w:t>
      </w:r>
      <w:r w:rsidR="009A5756">
        <w:rPr>
          <w:rFonts w:ascii="Times New Roman" w:hAnsi="Times New Roman" w:cs="Times New Roman"/>
          <w:sz w:val="24"/>
          <w:szCs w:val="24"/>
        </w:rPr>
        <w:t xml:space="preserve">a </w:t>
      </w:r>
      <w:r w:rsidR="009C14D0">
        <w:rPr>
          <w:rFonts w:ascii="Times New Roman" w:hAnsi="Times New Roman" w:cs="Times New Roman"/>
          <w:sz w:val="24"/>
          <w:szCs w:val="24"/>
        </w:rPr>
        <w:t>particular impact on the lives of urban working-class women</w:t>
      </w:r>
      <w:r w:rsidR="006302AC">
        <w:rPr>
          <w:rFonts w:ascii="Times New Roman" w:hAnsi="Times New Roman" w:cs="Times New Roman"/>
          <w:sz w:val="24"/>
          <w:szCs w:val="24"/>
        </w:rPr>
        <w:t xml:space="preserve"> (Frances 1993)</w:t>
      </w:r>
      <w:r w:rsidR="009A5756">
        <w:rPr>
          <w:rFonts w:ascii="Times New Roman" w:hAnsi="Times New Roman" w:cs="Times New Roman"/>
          <w:sz w:val="24"/>
          <w:szCs w:val="24"/>
        </w:rPr>
        <w:t>, and their consequent propensity to commit crimes</w:t>
      </w:r>
      <w:r w:rsidR="009C14D0">
        <w:rPr>
          <w:rFonts w:ascii="Times New Roman" w:hAnsi="Times New Roman" w:cs="Times New Roman"/>
          <w:sz w:val="24"/>
          <w:szCs w:val="24"/>
        </w:rPr>
        <w:t xml:space="preserve">. </w:t>
      </w:r>
    </w:p>
    <w:p w14:paraId="78756BC7" w14:textId="2BD71998" w:rsidR="00483881" w:rsidRPr="005973B6" w:rsidRDefault="00E92DC8" w:rsidP="002253B1">
      <w:pPr>
        <w:spacing w:line="480" w:lineRule="auto"/>
        <w:ind w:firstLine="720"/>
        <w:rPr>
          <w:rFonts w:ascii="Times New Roman" w:hAnsi="Times New Roman" w:cs="Times New Roman"/>
          <w:sz w:val="24"/>
          <w:szCs w:val="24"/>
        </w:rPr>
      </w:pPr>
      <w:r>
        <w:rPr>
          <w:rFonts w:ascii="Times New Roman" w:hAnsi="Times New Roman" w:cs="Times New Roman"/>
          <w:sz w:val="24"/>
          <w:szCs w:val="24"/>
        </w:rPr>
        <w:t>Marriage trends were also likely to affect women’s socio-economic position and resulting criminality. In the 1881 census</w:t>
      </w:r>
      <w:r w:rsidRPr="005973B6">
        <w:rPr>
          <w:rFonts w:ascii="Times New Roman" w:hAnsi="Times New Roman" w:cs="Times New Roman"/>
          <w:sz w:val="24"/>
          <w:szCs w:val="24"/>
        </w:rPr>
        <w:t xml:space="preserve">, </w:t>
      </w:r>
      <w:r w:rsidR="005A4367">
        <w:rPr>
          <w:rFonts w:ascii="Times New Roman" w:hAnsi="Times New Roman" w:cs="Times New Roman"/>
          <w:sz w:val="24"/>
          <w:szCs w:val="24"/>
        </w:rPr>
        <w:t xml:space="preserve">there was </w:t>
      </w:r>
      <w:r w:rsidRPr="005973B6">
        <w:rPr>
          <w:rFonts w:ascii="Times New Roman" w:hAnsi="Times New Roman" w:cs="Times New Roman"/>
          <w:sz w:val="24"/>
          <w:szCs w:val="24"/>
        </w:rPr>
        <w:t xml:space="preserve">a trend that was noted throughout the colony where there were more wives than husbands. Such a disparity would indicate that the missing number of husbands were </w:t>
      </w:r>
      <w:r w:rsidR="00D258AE">
        <w:rPr>
          <w:rFonts w:ascii="Times New Roman" w:hAnsi="Times New Roman" w:cs="Times New Roman"/>
          <w:sz w:val="24"/>
          <w:szCs w:val="24"/>
        </w:rPr>
        <w:t xml:space="preserve">either </w:t>
      </w:r>
      <w:r w:rsidRPr="005973B6">
        <w:rPr>
          <w:rFonts w:ascii="Times New Roman" w:hAnsi="Times New Roman" w:cs="Times New Roman"/>
          <w:sz w:val="24"/>
          <w:szCs w:val="24"/>
        </w:rPr>
        <w:t>residing outside the colony, were claiming they were unmarried</w:t>
      </w:r>
      <w:r w:rsidR="00D258AE">
        <w:rPr>
          <w:rFonts w:ascii="Times New Roman" w:hAnsi="Times New Roman" w:cs="Times New Roman"/>
          <w:sz w:val="24"/>
          <w:szCs w:val="24"/>
        </w:rPr>
        <w:t>,</w:t>
      </w:r>
      <w:r w:rsidRPr="005973B6">
        <w:rPr>
          <w:rFonts w:ascii="Times New Roman" w:hAnsi="Times New Roman" w:cs="Times New Roman"/>
          <w:sz w:val="24"/>
          <w:szCs w:val="24"/>
        </w:rPr>
        <w:t xml:space="preserve"> or were otherwise absent from the lives of many Victorian women. Wife desertion </w:t>
      </w:r>
      <w:r w:rsidRPr="005973B6">
        <w:rPr>
          <w:rFonts w:ascii="Times New Roman" w:hAnsi="Times New Roman" w:cs="Times New Roman"/>
          <w:sz w:val="24"/>
          <w:szCs w:val="24"/>
        </w:rPr>
        <w:lastRenderedPageBreak/>
        <w:t xml:space="preserve">was certainly common, and was lamented by authorities as a cause of female crime and ‘immorality’ (Twomey 2007). </w:t>
      </w:r>
      <w:r>
        <w:rPr>
          <w:rFonts w:ascii="Times New Roman" w:hAnsi="Times New Roman" w:cs="Times New Roman"/>
          <w:sz w:val="24"/>
          <w:szCs w:val="24"/>
        </w:rPr>
        <w:t>Conversely</w:t>
      </w:r>
      <w:r w:rsidR="009C14D0">
        <w:rPr>
          <w:rFonts w:ascii="Times New Roman" w:hAnsi="Times New Roman" w:cs="Times New Roman"/>
          <w:sz w:val="24"/>
          <w:szCs w:val="24"/>
        </w:rPr>
        <w:t>, the high marriage rates among women in rural areas that resulted from the sex imbalance in many of those regions</w:t>
      </w:r>
      <w:r w:rsidR="004A5FE0">
        <w:rPr>
          <w:rFonts w:ascii="Times New Roman" w:hAnsi="Times New Roman" w:cs="Times New Roman"/>
          <w:sz w:val="24"/>
          <w:szCs w:val="24"/>
        </w:rPr>
        <w:t xml:space="preserve"> was liable to have had a reducing</w:t>
      </w:r>
      <w:r w:rsidR="009C14D0">
        <w:rPr>
          <w:rFonts w:ascii="Times New Roman" w:hAnsi="Times New Roman" w:cs="Times New Roman"/>
          <w:sz w:val="24"/>
          <w:szCs w:val="24"/>
        </w:rPr>
        <w:t xml:space="preserve"> effect on female crime within those environments, given the historical correlation between female offending and lack of a male provider (Piper 2015). </w:t>
      </w:r>
    </w:p>
    <w:p w14:paraId="1501AA72" w14:textId="77777777" w:rsidR="00570C0E" w:rsidRDefault="00570C0E" w:rsidP="002253B1">
      <w:pPr>
        <w:spacing w:line="480" w:lineRule="auto"/>
        <w:rPr>
          <w:rFonts w:ascii="Times New Roman" w:hAnsi="Times New Roman" w:cs="Times New Roman"/>
          <w:b/>
          <w:sz w:val="24"/>
          <w:szCs w:val="24"/>
        </w:rPr>
      </w:pPr>
    </w:p>
    <w:p w14:paraId="7CFBDEDC" w14:textId="3F7C0CBE" w:rsidR="00267F24" w:rsidRPr="005973B6" w:rsidRDefault="00267F24" w:rsidP="002253B1">
      <w:pPr>
        <w:spacing w:line="480" w:lineRule="auto"/>
        <w:rPr>
          <w:rFonts w:ascii="Times New Roman" w:hAnsi="Times New Roman" w:cs="Times New Roman"/>
          <w:b/>
          <w:sz w:val="24"/>
          <w:szCs w:val="24"/>
        </w:rPr>
      </w:pPr>
      <w:r w:rsidRPr="005973B6">
        <w:rPr>
          <w:rFonts w:ascii="Times New Roman" w:hAnsi="Times New Roman" w:cs="Times New Roman"/>
          <w:b/>
          <w:sz w:val="24"/>
          <w:szCs w:val="24"/>
        </w:rPr>
        <w:t xml:space="preserve">Method </w:t>
      </w:r>
    </w:p>
    <w:p w14:paraId="65A1938F" w14:textId="1E5E503B" w:rsidR="00267F24" w:rsidRPr="009D582A" w:rsidRDefault="00267F24" w:rsidP="002253B1">
      <w:pPr>
        <w:spacing w:line="480" w:lineRule="auto"/>
        <w:rPr>
          <w:rFonts w:ascii="Times New Roman" w:hAnsi="Times New Roman" w:cs="Times New Roman"/>
          <w:sz w:val="24"/>
          <w:szCs w:val="24"/>
        </w:rPr>
      </w:pPr>
      <w:r w:rsidRPr="00F548EB">
        <w:rPr>
          <w:rFonts w:ascii="Times New Roman" w:hAnsi="Times New Roman" w:cs="Times New Roman"/>
          <w:sz w:val="24"/>
          <w:szCs w:val="24"/>
        </w:rPr>
        <w:t>The data-set used in this analysis is drawn from the Central Register of Female Prisoners, a series of records created by Victoria’s penal department to register prisoners’ names, personal details and convictions. Upon a woman’s first entry to prison a record was created for her that w</w:t>
      </w:r>
      <w:r w:rsidRPr="009C14D0">
        <w:rPr>
          <w:rFonts w:ascii="Times New Roman" w:hAnsi="Times New Roman" w:cs="Times New Roman"/>
          <w:sz w:val="24"/>
          <w:szCs w:val="24"/>
        </w:rPr>
        <w:t xml:space="preserve">ould be added to on any subsequent returns (minor or prior convictions that had not resulted in </w:t>
      </w:r>
      <w:r w:rsidR="00D258AE">
        <w:rPr>
          <w:rFonts w:ascii="Times New Roman" w:hAnsi="Times New Roman" w:cs="Times New Roman"/>
          <w:sz w:val="24"/>
          <w:szCs w:val="24"/>
        </w:rPr>
        <w:t>imprisonment</w:t>
      </w:r>
      <w:r w:rsidRPr="009C14D0">
        <w:rPr>
          <w:rFonts w:ascii="Times New Roman" w:hAnsi="Times New Roman" w:cs="Times New Roman"/>
          <w:sz w:val="24"/>
          <w:szCs w:val="24"/>
        </w:rPr>
        <w:t xml:space="preserve"> were also </w:t>
      </w:r>
      <w:r w:rsidR="002E6556" w:rsidRPr="009C14D0">
        <w:rPr>
          <w:rFonts w:ascii="Times New Roman" w:hAnsi="Times New Roman" w:cs="Times New Roman"/>
          <w:sz w:val="24"/>
          <w:szCs w:val="24"/>
        </w:rPr>
        <w:t xml:space="preserve">usually </w:t>
      </w:r>
      <w:r w:rsidRPr="009C14D0">
        <w:rPr>
          <w:rFonts w:ascii="Times New Roman" w:hAnsi="Times New Roman" w:cs="Times New Roman"/>
          <w:sz w:val="24"/>
          <w:szCs w:val="24"/>
        </w:rPr>
        <w:t>noted). The format of the recordkeeping system remained consistent across several decades, including: biographical details such as birthplace, year of birth, year of arrival in Victoria if a migrant, religion, occupation, literacy and marital status; conviction details including trial date, offence, court and sentence; descriptions of women’s appearances including</w:t>
      </w:r>
      <w:r w:rsidRPr="004A5FE0">
        <w:rPr>
          <w:rFonts w:ascii="Times New Roman" w:hAnsi="Times New Roman" w:cs="Times New Roman"/>
          <w:sz w:val="24"/>
          <w:szCs w:val="24"/>
        </w:rPr>
        <w:t xml:space="preserve"> height, weight, tattoos and physical conditions, as well as mugshots in later years; and occasionally other comments about </w:t>
      </w:r>
      <w:r w:rsidR="00D258AE">
        <w:rPr>
          <w:rFonts w:ascii="Times New Roman" w:hAnsi="Times New Roman" w:cs="Times New Roman"/>
          <w:sz w:val="24"/>
          <w:szCs w:val="24"/>
        </w:rPr>
        <w:t xml:space="preserve">a </w:t>
      </w:r>
      <w:r w:rsidRPr="004A5FE0">
        <w:rPr>
          <w:rFonts w:ascii="Times New Roman" w:hAnsi="Times New Roman" w:cs="Times New Roman"/>
          <w:sz w:val="24"/>
          <w:szCs w:val="24"/>
        </w:rPr>
        <w:t>wom</w:t>
      </w:r>
      <w:r w:rsidR="00D258AE">
        <w:rPr>
          <w:rFonts w:ascii="Times New Roman" w:hAnsi="Times New Roman" w:cs="Times New Roman"/>
          <w:sz w:val="24"/>
          <w:szCs w:val="24"/>
        </w:rPr>
        <w:t>a</w:t>
      </w:r>
      <w:r w:rsidRPr="004A5FE0">
        <w:rPr>
          <w:rFonts w:ascii="Times New Roman" w:hAnsi="Times New Roman" w:cs="Times New Roman"/>
          <w:sz w:val="24"/>
          <w:szCs w:val="24"/>
        </w:rPr>
        <w:t>n’s family history, their behaviour inside prison and details of their release or transfers to other institutions such as charit</w:t>
      </w:r>
      <w:r w:rsidRPr="009D582A">
        <w:rPr>
          <w:rFonts w:ascii="Times New Roman" w:hAnsi="Times New Roman" w:cs="Times New Roman"/>
          <w:sz w:val="24"/>
          <w:szCs w:val="24"/>
        </w:rPr>
        <w:t>y homes or lunatic asylums</w:t>
      </w:r>
      <w:r w:rsidR="00D258AE">
        <w:rPr>
          <w:rFonts w:ascii="Times New Roman" w:hAnsi="Times New Roman" w:cs="Times New Roman"/>
          <w:sz w:val="24"/>
          <w:szCs w:val="24"/>
        </w:rPr>
        <w:t xml:space="preserve"> would also be noted</w:t>
      </w:r>
      <w:r w:rsidRPr="009D582A">
        <w:rPr>
          <w:rFonts w:ascii="Times New Roman" w:hAnsi="Times New Roman" w:cs="Times New Roman"/>
          <w:sz w:val="24"/>
          <w:szCs w:val="24"/>
        </w:rPr>
        <w:t xml:space="preserve">. </w:t>
      </w:r>
    </w:p>
    <w:p w14:paraId="02A6B5B0" w14:textId="2338ADCB" w:rsidR="00267F24" w:rsidRPr="005973B6" w:rsidRDefault="00267F24" w:rsidP="002253B1">
      <w:pPr>
        <w:spacing w:line="480" w:lineRule="auto"/>
        <w:rPr>
          <w:rFonts w:ascii="Times New Roman" w:hAnsi="Times New Roman" w:cs="Times New Roman"/>
          <w:sz w:val="24"/>
          <w:szCs w:val="24"/>
        </w:rPr>
      </w:pPr>
      <w:r w:rsidRPr="00113B1A">
        <w:rPr>
          <w:rFonts w:ascii="Times New Roman" w:hAnsi="Times New Roman" w:cs="Times New Roman"/>
          <w:sz w:val="24"/>
          <w:szCs w:val="24"/>
        </w:rPr>
        <w:tab/>
        <w:t xml:space="preserve">This register provides a sample of 6,042 individual women who first entered the central prison system between 1860 and 1920. It does not </w:t>
      </w:r>
      <w:r w:rsidRPr="005973B6">
        <w:rPr>
          <w:rFonts w:ascii="Times New Roman" w:hAnsi="Times New Roman" w:cs="Times New Roman"/>
          <w:sz w:val="24"/>
          <w:szCs w:val="24"/>
        </w:rPr>
        <w:t xml:space="preserve">include the women incarcerated in Victoria’s prisons during this period who had been imprisoned prior to 1860, as their records exist in earlier registers. However, notations of convictions that had not resulted in imprisonment meant that three women in the sample had convictions that occurred prior to </w:t>
      </w:r>
      <w:r w:rsidRPr="005973B6">
        <w:rPr>
          <w:rFonts w:ascii="Times New Roman" w:hAnsi="Times New Roman" w:cs="Times New Roman"/>
          <w:sz w:val="24"/>
          <w:szCs w:val="24"/>
        </w:rPr>
        <w:lastRenderedPageBreak/>
        <w:t xml:space="preserve">1860, the earliest occurring in 1854. </w:t>
      </w:r>
      <w:r w:rsidR="003A6FB1">
        <w:rPr>
          <w:rFonts w:ascii="Times New Roman" w:hAnsi="Times New Roman" w:cs="Times New Roman"/>
          <w:sz w:val="24"/>
          <w:szCs w:val="24"/>
        </w:rPr>
        <w:t>There were likewise</w:t>
      </w:r>
      <w:r w:rsidRPr="005973B6">
        <w:rPr>
          <w:rFonts w:ascii="Times New Roman" w:hAnsi="Times New Roman" w:cs="Times New Roman"/>
          <w:sz w:val="24"/>
          <w:szCs w:val="24"/>
        </w:rPr>
        <w:t xml:space="preserve"> 124 women in the dataset </w:t>
      </w:r>
      <w:r w:rsidR="003A6FB1">
        <w:rPr>
          <w:rFonts w:ascii="Times New Roman" w:hAnsi="Times New Roman" w:cs="Times New Roman"/>
          <w:sz w:val="24"/>
          <w:szCs w:val="24"/>
        </w:rPr>
        <w:t xml:space="preserve">that </w:t>
      </w:r>
      <w:r w:rsidRPr="005973B6">
        <w:rPr>
          <w:rFonts w:ascii="Times New Roman" w:hAnsi="Times New Roman" w:cs="Times New Roman"/>
          <w:sz w:val="24"/>
          <w:szCs w:val="24"/>
        </w:rPr>
        <w:t xml:space="preserve">continued offending after 1920, the last known conviction being in 1947. While the information contained in this longitudinal data is rich, its limitations should also be noted: biographic information such as occupation and marital status were </w:t>
      </w:r>
      <w:r w:rsidR="00BF3026" w:rsidRPr="005973B6">
        <w:rPr>
          <w:rFonts w:ascii="Times New Roman" w:hAnsi="Times New Roman" w:cs="Times New Roman"/>
          <w:sz w:val="24"/>
          <w:szCs w:val="24"/>
        </w:rPr>
        <w:t xml:space="preserve">recorded </w:t>
      </w:r>
      <w:r w:rsidRPr="005973B6">
        <w:rPr>
          <w:rFonts w:ascii="Times New Roman" w:hAnsi="Times New Roman" w:cs="Times New Roman"/>
          <w:sz w:val="24"/>
          <w:szCs w:val="24"/>
        </w:rPr>
        <w:t>upon women’s first imprisonment but were seldom updated on subsequent returns; and women may have purposively misled officials when asked to supply details about their background. Recidivism levels may also be somewhat underestimated due to officials’ occasionally lax approach to noting details of minor convictions that had not resulted in imprisonment.</w:t>
      </w:r>
      <w:r w:rsidRPr="005973B6" w:rsidDel="00CD3E2E">
        <w:rPr>
          <w:rFonts w:ascii="Times New Roman" w:hAnsi="Times New Roman" w:cs="Times New Roman"/>
          <w:sz w:val="24"/>
          <w:szCs w:val="24"/>
        </w:rPr>
        <w:t xml:space="preserve"> </w:t>
      </w:r>
    </w:p>
    <w:p w14:paraId="7F8D7652" w14:textId="75CB6F42" w:rsidR="001E0902" w:rsidRPr="005973B6" w:rsidRDefault="001E0902" w:rsidP="002253B1">
      <w:pPr>
        <w:spacing w:line="480" w:lineRule="auto"/>
        <w:rPr>
          <w:rFonts w:ascii="Times New Roman" w:hAnsi="Times New Roman" w:cs="Times New Roman"/>
          <w:sz w:val="24"/>
          <w:szCs w:val="24"/>
        </w:rPr>
      </w:pPr>
      <w:r w:rsidRPr="005973B6">
        <w:rPr>
          <w:rFonts w:ascii="Times New Roman" w:hAnsi="Times New Roman" w:cs="Times New Roman"/>
          <w:sz w:val="24"/>
          <w:szCs w:val="24"/>
        </w:rPr>
        <w:tab/>
        <w:t>Information about geographic location ha</w:t>
      </w:r>
      <w:r w:rsidR="000E5105" w:rsidRPr="005973B6">
        <w:rPr>
          <w:rFonts w:ascii="Times New Roman" w:hAnsi="Times New Roman" w:cs="Times New Roman"/>
          <w:sz w:val="24"/>
          <w:szCs w:val="24"/>
        </w:rPr>
        <w:t>s</w:t>
      </w:r>
      <w:r w:rsidRPr="005973B6">
        <w:rPr>
          <w:rFonts w:ascii="Times New Roman" w:hAnsi="Times New Roman" w:cs="Times New Roman"/>
          <w:sz w:val="24"/>
          <w:szCs w:val="24"/>
        </w:rPr>
        <w:t xml:space="preserve"> been obtained from the </w:t>
      </w:r>
      <w:r w:rsidR="00AD4069" w:rsidRPr="005973B6">
        <w:rPr>
          <w:rFonts w:ascii="Times New Roman" w:hAnsi="Times New Roman" w:cs="Times New Roman"/>
          <w:sz w:val="24"/>
          <w:szCs w:val="24"/>
        </w:rPr>
        <w:t xml:space="preserve">prisoner </w:t>
      </w:r>
      <w:r w:rsidRPr="005973B6">
        <w:rPr>
          <w:rFonts w:ascii="Times New Roman" w:hAnsi="Times New Roman" w:cs="Times New Roman"/>
          <w:sz w:val="24"/>
          <w:szCs w:val="24"/>
        </w:rPr>
        <w:t xml:space="preserve">records </w:t>
      </w:r>
      <w:r w:rsidR="00923ABF" w:rsidRPr="005973B6">
        <w:rPr>
          <w:rFonts w:ascii="Times New Roman" w:hAnsi="Times New Roman" w:cs="Times New Roman"/>
          <w:sz w:val="24"/>
          <w:szCs w:val="24"/>
        </w:rPr>
        <w:t>via</w:t>
      </w:r>
      <w:r w:rsidR="00AD4069" w:rsidRPr="005973B6">
        <w:rPr>
          <w:rFonts w:ascii="Times New Roman" w:hAnsi="Times New Roman" w:cs="Times New Roman"/>
          <w:sz w:val="24"/>
          <w:szCs w:val="24"/>
        </w:rPr>
        <w:t xml:space="preserve"> the</w:t>
      </w:r>
      <w:r w:rsidRPr="005973B6">
        <w:rPr>
          <w:rFonts w:ascii="Times New Roman" w:hAnsi="Times New Roman" w:cs="Times New Roman"/>
          <w:sz w:val="24"/>
          <w:szCs w:val="24"/>
        </w:rPr>
        <w:t xml:space="preserve"> </w:t>
      </w:r>
      <w:r w:rsidR="00923ABF" w:rsidRPr="005973B6">
        <w:rPr>
          <w:rFonts w:ascii="Times New Roman" w:hAnsi="Times New Roman" w:cs="Times New Roman"/>
          <w:sz w:val="24"/>
          <w:szCs w:val="24"/>
        </w:rPr>
        <w:t xml:space="preserve">listed </w:t>
      </w:r>
      <w:r w:rsidRPr="005973B6">
        <w:rPr>
          <w:rFonts w:ascii="Times New Roman" w:hAnsi="Times New Roman" w:cs="Times New Roman"/>
          <w:sz w:val="24"/>
          <w:szCs w:val="24"/>
        </w:rPr>
        <w:t xml:space="preserve">courts where they were tried and convicted. </w:t>
      </w:r>
      <w:r w:rsidR="007E4591" w:rsidRPr="005973B6">
        <w:rPr>
          <w:rFonts w:ascii="Times New Roman" w:hAnsi="Times New Roman" w:cs="Times New Roman"/>
          <w:sz w:val="24"/>
          <w:szCs w:val="24"/>
        </w:rPr>
        <w:t>There were</w:t>
      </w:r>
      <w:r w:rsidR="00554562" w:rsidRPr="005973B6">
        <w:rPr>
          <w:rFonts w:ascii="Times New Roman" w:hAnsi="Times New Roman" w:cs="Times New Roman"/>
          <w:sz w:val="24"/>
          <w:szCs w:val="24"/>
        </w:rPr>
        <w:t xml:space="preserve"> </w:t>
      </w:r>
      <w:r w:rsidR="007E4591" w:rsidRPr="005973B6">
        <w:rPr>
          <w:rFonts w:ascii="Times New Roman" w:hAnsi="Times New Roman" w:cs="Times New Roman"/>
          <w:sz w:val="24"/>
          <w:szCs w:val="24"/>
        </w:rPr>
        <w:t>three levels of court that women could find themselves in:</w:t>
      </w:r>
      <w:r w:rsidR="000E5105" w:rsidRPr="005973B6">
        <w:rPr>
          <w:rFonts w:ascii="Times New Roman" w:hAnsi="Times New Roman" w:cs="Times New Roman"/>
          <w:sz w:val="24"/>
          <w:szCs w:val="24"/>
        </w:rPr>
        <w:t xml:space="preserve"> </w:t>
      </w:r>
      <w:r w:rsidR="007E4591" w:rsidRPr="005973B6">
        <w:rPr>
          <w:rFonts w:ascii="Times New Roman" w:hAnsi="Times New Roman" w:cs="Times New Roman"/>
          <w:sz w:val="24"/>
          <w:szCs w:val="24"/>
        </w:rPr>
        <w:t xml:space="preserve">Court of Petty Sessions, Court of General Sessions, and Supreme Court. The Court of Petty Sessions (sometimes also referred to as Police Courts) was the </w:t>
      </w:r>
      <w:r w:rsidR="00FA03CA">
        <w:rPr>
          <w:rFonts w:ascii="Times New Roman" w:hAnsi="Times New Roman" w:cs="Times New Roman"/>
          <w:sz w:val="24"/>
          <w:szCs w:val="24"/>
        </w:rPr>
        <w:t>lowest court  and</w:t>
      </w:r>
      <w:r w:rsidR="007E4591" w:rsidRPr="005973B6">
        <w:rPr>
          <w:rFonts w:ascii="Times New Roman" w:hAnsi="Times New Roman" w:cs="Times New Roman"/>
          <w:sz w:val="24"/>
          <w:szCs w:val="24"/>
        </w:rPr>
        <w:t xml:space="preserve"> initially dealt almost solely with minor criminal matters such as drunkenness, vagrancy </w:t>
      </w:r>
      <w:r w:rsidR="00FA03CA">
        <w:rPr>
          <w:rFonts w:ascii="Times New Roman" w:hAnsi="Times New Roman" w:cs="Times New Roman"/>
          <w:sz w:val="24"/>
          <w:szCs w:val="24"/>
        </w:rPr>
        <w:t>and</w:t>
      </w:r>
      <w:r w:rsidR="00FA03CA" w:rsidRPr="005973B6">
        <w:rPr>
          <w:rFonts w:ascii="Times New Roman" w:hAnsi="Times New Roman" w:cs="Times New Roman"/>
          <w:sz w:val="24"/>
          <w:szCs w:val="24"/>
        </w:rPr>
        <w:t xml:space="preserve"> </w:t>
      </w:r>
      <w:r w:rsidR="00FA03CA">
        <w:rPr>
          <w:rFonts w:ascii="Times New Roman" w:hAnsi="Times New Roman" w:cs="Times New Roman"/>
          <w:sz w:val="24"/>
          <w:szCs w:val="24"/>
        </w:rPr>
        <w:t>the most trivial class of larcenies and assaults</w:t>
      </w:r>
      <w:r w:rsidR="007E4591" w:rsidRPr="005973B6">
        <w:rPr>
          <w:rFonts w:ascii="Times New Roman" w:hAnsi="Times New Roman" w:cs="Times New Roman"/>
          <w:sz w:val="24"/>
          <w:szCs w:val="24"/>
        </w:rPr>
        <w:t xml:space="preserve">. </w:t>
      </w:r>
      <w:r w:rsidR="00FA03CA">
        <w:rPr>
          <w:rFonts w:ascii="Times New Roman" w:hAnsi="Times New Roman" w:cs="Times New Roman"/>
          <w:sz w:val="24"/>
          <w:szCs w:val="24"/>
        </w:rPr>
        <w:t>These small courts</w:t>
      </w:r>
      <w:r w:rsidR="007E4591" w:rsidRPr="005973B6">
        <w:rPr>
          <w:rFonts w:ascii="Times New Roman" w:hAnsi="Times New Roman" w:cs="Times New Roman"/>
          <w:sz w:val="24"/>
          <w:szCs w:val="24"/>
        </w:rPr>
        <w:t xml:space="preserve"> </w:t>
      </w:r>
      <w:r w:rsidR="00FA03CA">
        <w:rPr>
          <w:rFonts w:ascii="Times New Roman" w:hAnsi="Times New Roman" w:cs="Times New Roman"/>
          <w:sz w:val="24"/>
          <w:szCs w:val="24"/>
        </w:rPr>
        <w:t>were</w:t>
      </w:r>
      <w:r w:rsidR="007E4591" w:rsidRPr="005973B6">
        <w:rPr>
          <w:rFonts w:ascii="Times New Roman" w:hAnsi="Times New Roman" w:cs="Times New Roman"/>
          <w:sz w:val="24"/>
          <w:szCs w:val="24"/>
        </w:rPr>
        <w:t xml:space="preserve"> located all over Victoria</w:t>
      </w:r>
      <w:r w:rsidR="00FA03CA">
        <w:rPr>
          <w:rFonts w:ascii="Times New Roman" w:hAnsi="Times New Roman" w:cs="Times New Roman"/>
          <w:sz w:val="24"/>
          <w:szCs w:val="24"/>
        </w:rPr>
        <w:t xml:space="preserve">, meaning that the </w:t>
      </w:r>
      <w:r w:rsidR="00255FB6">
        <w:rPr>
          <w:rFonts w:ascii="Times New Roman" w:hAnsi="Times New Roman" w:cs="Times New Roman"/>
          <w:sz w:val="24"/>
          <w:szCs w:val="24"/>
        </w:rPr>
        <w:t>Petty Sessions C</w:t>
      </w:r>
      <w:r w:rsidR="00FA03CA">
        <w:rPr>
          <w:rFonts w:ascii="Times New Roman" w:hAnsi="Times New Roman" w:cs="Times New Roman"/>
          <w:sz w:val="24"/>
          <w:szCs w:val="24"/>
        </w:rPr>
        <w:t xml:space="preserve">ourt hearing the matter </w:t>
      </w:r>
      <w:r w:rsidR="00255FB6">
        <w:rPr>
          <w:rFonts w:ascii="Times New Roman" w:hAnsi="Times New Roman" w:cs="Times New Roman"/>
          <w:sz w:val="24"/>
          <w:szCs w:val="24"/>
        </w:rPr>
        <w:t>was almost always located very close to where the crime itself occurred</w:t>
      </w:r>
      <w:r w:rsidR="007E4591" w:rsidRPr="005973B6">
        <w:rPr>
          <w:rFonts w:ascii="Times New Roman" w:hAnsi="Times New Roman" w:cs="Times New Roman"/>
          <w:sz w:val="24"/>
          <w:szCs w:val="24"/>
        </w:rPr>
        <w:t>. The Court of General Sessions</w:t>
      </w:r>
      <w:r w:rsidR="00DC6D34" w:rsidRPr="005973B6">
        <w:rPr>
          <w:rFonts w:ascii="Times New Roman" w:hAnsi="Times New Roman" w:cs="Times New Roman"/>
          <w:sz w:val="24"/>
          <w:szCs w:val="24"/>
        </w:rPr>
        <w:t xml:space="preserve"> (established in 1852)</w:t>
      </w:r>
      <w:r w:rsidR="007E4591" w:rsidRPr="005973B6">
        <w:rPr>
          <w:rFonts w:ascii="Times New Roman" w:hAnsi="Times New Roman" w:cs="Times New Roman"/>
          <w:sz w:val="24"/>
          <w:szCs w:val="24"/>
        </w:rPr>
        <w:t xml:space="preserve"> was a mid-point between the Court of Petty Sessions and the Supreme Court</w:t>
      </w:r>
      <w:r w:rsidR="00255FB6">
        <w:rPr>
          <w:rFonts w:ascii="Times New Roman" w:hAnsi="Times New Roman" w:cs="Times New Roman"/>
          <w:sz w:val="24"/>
          <w:szCs w:val="24"/>
        </w:rPr>
        <w:t>, empowered to try cases of non-capital crimes before juries</w:t>
      </w:r>
      <w:r w:rsidR="00DC6D34" w:rsidRPr="005973B6">
        <w:rPr>
          <w:rFonts w:ascii="Times New Roman" w:hAnsi="Times New Roman" w:cs="Times New Roman"/>
          <w:sz w:val="24"/>
          <w:szCs w:val="24"/>
        </w:rPr>
        <w:t>. The Court of General Sessions were initially only established in Melbourne and Geelong although was later introduced to other areas such as Ballarat. The highest level of court in Victoria was the Supreme Court</w:t>
      </w:r>
      <w:r w:rsidR="008B5D47">
        <w:rPr>
          <w:rFonts w:ascii="Times New Roman" w:hAnsi="Times New Roman" w:cs="Times New Roman"/>
          <w:sz w:val="24"/>
          <w:szCs w:val="24"/>
        </w:rPr>
        <w:t>,</w:t>
      </w:r>
      <w:r w:rsidR="00DC6D34" w:rsidRPr="005973B6">
        <w:rPr>
          <w:rFonts w:ascii="Times New Roman" w:hAnsi="Times New Roman" w:cs="Times New Roman"/>
          <w:sz w:val="24"/>
          <w:szCs w:val="24"/>
        </w:rPr>
        <w:t xml:space="preserve"> which heard matters not only in Melbourne but outside of it as well. As with the system in England, Supreme Court judges would attend Circuit Courts in rural locations such as Ballarat, Bendigo, and Geelong, as well as Beechworth, Ararat, Castlemaine, Maryborough and Sale</w:t>
      </w:r>
      <w:r w:rsidR="00554562" w:rsidRPr="005973B6">
        <w:rPr>
          <w:rFonts w:ascii="Times New Roman" w:hAnsi="Times New Roman" w:cs="Times New Roman"/>
          <w:sz w:val="24"/>
          <w:szCs w:val="24"/>
        </w:rPr>
        <w:t xml:space="preserve"> in order to hear cases</w:t>
      </w:r>
      <w:r w:rsidR="00BF3026" w:rsidRPr="005973B6">
        <w:rPr>
          <w:rFonts w:ascii="Times New Roman" w:hAnsi="Times New Roman" w:cs="Times New Roman"/>
          <w:sz w:val="24"/>
          <w:szCs w:val="24"/>
        </w:rPr>
        <w:t xml:space="preserve"> of serious crimes</w:t>
      </w:r>
      <w:r w:rsidR="00DC6D34" w:rsidRPr="005973B6">
        <w:rPr>
          <w:rFonts w:ascii="Times New Roman" w:hAnsi="Times New Roman" w:cs="Times New Roman"/>
          <w:sz w:val="24"/>
          <w:szCs w:val="24"/>
        </w:rPr>
        <w:t xml:space="preserve">. </w:t>
      </w:r>
      <w:r w:rsidR="00255FB6">
        <w:rPr>
          <w:rFonts w:ascii="Times New Roman" w:hAnsi="Times New Roman" w:cs="Times New Roman"/>
          <w:sz w:val="24"/>
          <w:szCs w:val="24"/>
        </w:rPr>
        <w:t xml:space="preserve">Women charged with more serious offences would generally be committed to the General Sessions or Circuit Court </w:t>
      </w:r>
      <w:r w:rsidR="00255FB6">
        <w:rPr>
          <w:rFonts w:ascii="Times New Roman" w:hAnsi="Times New Roman" w:cs="Times New Roman"/>
          <w:sz w:val="24"/>
          <w:szCs w:val="24"/>
        </w:rPr>
        <w:lastRenderedPageBreak/>
        <w:t>Sessions located closest to where their crime took place, although this could be some distance if they were living remotely to any of the major centres. The vast bulk of female offending, however, was heard by the more proximate Petty Sessions</w:t>
      </w:r>
      <w:r w:rsidR="008B5D47">
        <w:rPr>
          <w:rFonts w:ascii="Times New Roman" w:hAnsi="Times New Roman" w:cs="Times New Roman"/>
          <w:sz w:val="24"/>
          <w:szCs w:val="24"/>
        </w:rPr>
        <w:t xml:space="preserve">, with more than 80 per cent of </w:t>
      </w:r>
      <w:r w:rsidR="003A6FB1">
        <w:rPr>
          <w:rFonts w:ascii="Times New Roman" w:hAnsi="Times New Roman" w:cs="Times New Roman"/>
          <w:sz w:val="24"/>
          <w:szCs w:val="24"/>
        </w:rPr>
        <w:t xml:space="preserve">female prisoners </w:t>
      </w:r>
      <w:r w:rsidR="008B5D47">
        <w:rPr>
          <w:rFonts w:ascii="Times New Roman" w:hAnsi="Times New Roman" w:cs="Times New Roman"/>
          <w:sz w:val="24"/>
          <w:szCs w:val="24"/>
        </w:rPr>
        <w:t>only ever tried in this jurisdiction over the course of their criminal careers</w:t>
      </w:r>
      <w:r w:rsidR="00255FB6">
        <w:rPr>
          <w:rFonts w:ascii="Times New Roman" w:hAnsi="Times New Roman" w:cs="Times New Roman"/>
          <w:sz w:val="24"/>
          <w:szCs w:val="24"/>
        </w:rPr>
        <w:t xml:space="preserve"> (Piper &amp; Nagy 2017).</w:t>
      </w:r>
    </w:p>
    <w:p w14:paraId="0DC2E750" w14:textId="09CCF535" w:rsidR="005A4367" w:rsidRDefault="00267F24" w:rsidP="002253B1">
      <w:pPr>
        <w:spacing w:line="480" w:lineRule="auto"/>
        <w:rPr>
          <w:rFonts w:ascii="Times New Roman" w:hAnsi="Times New Roman" w:cs="Times New Roman"/>
          <w:b/>
          <w:sz w:val="24"/>
          <w:szCs w:val="24"/>
        </w:rPr>
      </w:pPr>
      <w:r w:rsidRPr="00F548EB">
        <w:rPr>
          <w:rFonts w:ascii="Times New Roman" w:hAnsi="Times New Roman" w:cs="Times New Roman"/>
          <w:sz w:val="24"/>
          <w:szCs w:val="24"/>
        </w:rPr>
        <w:tab/>
        <w:t xml:space="preserve"> </w:t>
      </w:r>
    </w:p>
    <w:p w14:paraId="7F865011" w14:textId="110BD3A4" w:rsidR="00FB3618" w:rsidRPr="00876E22" w:rsidRDefault="00FB3618" w:rsidP="002253B1">
      <w:pPr>
        <w:spacing w:line="480" w:lineRule="auto"/>
        <w:rPr>
          <w:rFonts w:ascii="Times New Roman" w:hAnsi="Times New Roman" w:cs="Times New Roman"/>
          <w:b/>
          <w:sz w:val="24"/>
          <w:szCs w:val="24"/>
        </w:rPr>
      </w:pPr>
      <w:r w:rsidRPr="00876E22">
        <w:rPr>
          <w:rFonts w:ascii="Times New Roman" w:hAnsi="Times New Roman" w:cs="Times New Roman"/>
          <w:b/>
          <w:sz w:val="24"/>
          <w:szCs w:val="24"/>
        </w:rPr>
        <w:t>Offence profiles of female prisoners in urban and rural Victoria</w:t>
      </w:r>
    </w:p>
    <w:p w14:paraId="5EBAA897" w14:textId="64316FA4" w:rsidR="00FB3618" w:rsidRPr="00876E22" w:rsidRDefault="00FB3618" w:rsidP="002253B1">
      <w:pPr>
        <w:spacing w:line="480" w:lineRule="auto"/>
        <w:rPr>
          <w:rFonts w:ascii="Times New Roman" w:hAnsi="Times New Roman" w:cs="Times New Roman"/>
          <w:sz w:val="24"/>
          <w:szCs w:val="24"/>
        </w:rPr>
      </w:pPr>
      <w:r w:rsidRPr="00876E22">
        <w:rPr>
          <w:rFonts w:ascii="Times New Roman" w:hAnsi="Times New Roman" w:cs="Times New Roman"/>
          <w:sz w:val="24"/>
          <w:szCs w:val="24"/>
        </w:rPr>
        <w:t xml:space="preserve">Overall, the offence profiles of female prisoners in Victoria between 1860 and 1920 was similar to results from other research in Australia and abroad for roughly the same period (Allen 1990; Zedner 1991). The bulk of female offending was weighted towards minor public order offences such as vagrancy and disorderly conduct, </w:t>
      </w:r>
      <w:r w:rsidR="00A15B73">
        <w:rPr>
          <w:rFonts w:ascii="Times New Roman" w:hAnsi="Times New Roman" w:cs="Times New Roman"/>
          <w:sz w:val="24"/>
          <w:szCs w:val="24"/>
        </w:rPr>
        <w:t>while</w:t>
      </w:r>
      <w:r w:rsidRPr="00876E22">
        <w:rPr>
          <w:rFonts w:ascii="Times New Roman" w:hAnsi="Times New Roman" w:cs="Times New Roman"/>
          <w:sz w:val="24"/>
          <w:szCs w:val="24"/>
        </w:rPr>
        <w:t xml:space="preserve"> theft offences greatly </w:t>
      </w:r>
      <w:r w:rsidR="00E14163" w:rsidRPr="00876E22">
        <w:rPr>
          <w:rFonts w:ascii="Times New Roman" w:hAnsi="Times New Roman" w:cs="Times New Roman"/>
          <w:sz w:val="24"/>
          <w:szCs w:val="24"/>
        </w:rPr>
        <w:t>predominat</w:t>
      </w:r>
      <w:r w:rsidR="00E14163">
        <w:rPr>
          <w:rFonts w:ascii="Times New Roman" w:hAnsi="Times New Roman" w:cs="Times New Roman"/>
          <w:sz w:val="24"/>
          <w:szCs w:val="24"/>
        </w:rPr>
        <w:t xml:space="preserve">ed </w:t>
      </w:r>
      <w:r w:rsidRPr="00876E22">
        <w:rPr>
          <w:rFonts w:ascii="Times New Roman" w:hAnsi="Times New Roman" w:cs="Times New Roman"/>
          <w:sz w:val="24"/>
          <w:szCs w:val="24"/>
        </w:rPr>
        <w:t>over violent crimes when it came to more serious criminal activity (Piper and Nagy 2017). This pattern is broadly evident across women imprisoned by both urban and rural courts. However, when more specific offence types are examined some interesting divergences become apparent.</w:t>
      </w:r>
    </w:p>
    <w:p w14:paraId="10F2C07F" w14:textId="10F49456" w:rsidR="00345B76" w:rsidRDefault="00FB3618" w:rsidP="002253B1">
      <w:pPr>
        <w:spacing w:line="480" w:lineRule="auto"/>
        <w:ind w:firstLine="720"/>
        <w:rPr>
          <w:rFonts w:ascii="Times New Roman" w:hAnsi="Times New Roman" w:cs="Times New Roman"/>
          <w:sz w:val="24"/>
          <w:szCs w:val="24"/>
        </w:rPr>
      </w:pPr>
      <w:r w:rsidRPr="00876E22">
        <w:rPr>
          <w:rFonts w:ascii="Times New Roman" w:hAnsi="Times New Roman" w:cs="Times New Roman"/>
          <w:sz w:val="24"/>
          <w:szCs w:val="24"/>
        </w:rPr>
        <w:t>The prison registers identify 6,042 unique female offenders in the period of 1860 to 1920, of whom 6,</w:t>
      </w:r>
      <w:r w:rsidR="009A74B7" w:rsidRPr="00876E22">
        <w:rPr>
          <w:rFonts w:ascii="Times New Roman" w:hAnsi="Times New Roman" w:cs="Times New Roman"/>
          <w:sz w:val="24"/>
          <w:szCs w:val="24"/>
        </w:rPr>
        <w:t>02</w:t>
      </w:r>
      <w:r w:rsidR="009A74B7">
        <w:rPr>
          <w:rFonts w:ascii="Times New Roman" w:hAnsi="Times New Roman" w:cs="Times New Roman"/>
          <w:sz w:val="24"/>
          <w:szCs w:val="24"/>
        </w:rPr>
        <w:t>7</w:t>
      </w:r>
      <w:r w:rsidR="009A74B7" w:rsidRPr="00876E22">
        <w:rPr>
          <w:rFonts w:ascii="Times New Roman" w:hAnsi="Times New Roman" w:cs="Times New Roman"/>
          <w:sz w:val="24"/>
          <w:szCs w:val="24"/>
        </w:rPr>
        <w:t xml:space="preserve"> </w:t>
      </w:r>
      <w:r w:rsidRPr="00876E22">
        <w:rPr>
          <w:rFonts w:ascii="Times New Roman" w:hAnsi="Times New Roman" w:cs="Times New Roman"/>
          <w:sz w:val="24"/>
          <w:szCs w:val="24"/>
        </w:rPr>
        <w:t>have location data recorded for the court that had first sentenced them to imprisonment. The data suggests that for around three-quarters of female prisoners this was also their first conviction overall, an indication of a lack of sentencing alternatives in this period beyond the use of fines that some women found themselves unable to pay</w:t>
      </w:r>
      <w:r w:rsidR="0067498B">
        <w:rPr>
          <w:rFonts w:ascii="Times New Roman" w:hAnsi="Times New Roman" w:cs="Times New Roman"/>
          <w:sz w:val="24"/>
          <w:szCs w:val="24"/>
        </w:rPr>
        <w:t xml:space="preserve"> (Finnane 1997</w:t>
      </w:r>
      <w:r w:rsidR="003A6148">
        <w:rPr>
          <w:rFonts w:ascii="Times New Roman" w:hAnsi="Times New Roman" w:cs="Times New Roman"/>
          <w:sz w:val="24"/>
          <w:szCs w:val="24"/>
        </w:rPr>
        <w:t xml:space="preserve">: </w:t>
      </w:r>
      <w:r w:rsidR="0067498B">
        <w:rPr>
          <w:rFonts w:ascii="Times New Roman" w:hAnsi="Times New Roman" w:cs="Times New Roman"/>
          <w:sz w:val="24"/>
          <w:szCs w:val="24"/>
        </w:rPr>
        <w:t>33-35)</w:t>
      </w:r>
      <w:r w:rsidRPr="00876E22">
        <w:rPr>
          <w:rFonts w:ascii="Times New Roman" w:hAnsi="Times New Roman" w:cs="Times New Roman"/>
          <w:sz w:val="24"/>
          <w:szCs w:val="24"/>
        </w:rPr>
        <w:t>. Of these 6,02</w:t>
      </w:r>
      <w:r w:rsidR="009A74B7">
        <w:rPr>
          <w:rFonts w:ascii="Times New Roman" w:hAnsi="Times New Roman" w:cs="Times New Roman"/>
          <w:sz w:val="24"/>
          <w:szCs w:val="24"/>
        </w:rPr>
        <w:t>7</w:t>
      </w:r>
      <w:r w:rsidRPr="00876E22">
        <w:rPr>
          <w:rFonts w:ascii="Times New Roman" w:hAnsi="Times New Roman" w:cs="Times New Roman"/>
          <w:sz w:val="24"/>
          <w:szCs w:val="24"/>
        </w:rPr>
        <w:t xml:space="preserve"> women, 73.3 per cent were sentenced from a court located in the greater Melbourne area</w:t>
      </w:r>
      <w:r w:rsidR="00703FF4">
        <w:rPr>
          <w:rFonts w:ascii="Times New Roman" w:hAnsi="Times New Roman" w:cs="Times New Roman"/>
          <w:sz w:val="24"/>
          <w:szCs w:val="24"/>
        </w:rPr>
        <w:t xml:space="preserve">. </w:t>
      </w:r>
      <w:r w:rsidRPr="00876E22">
        <w:rPr>
          <w:rFonts w:ascii="Times New Roman" w:hAnsi="Times New Roman" w:cs="Times New Roman"/>
          <w:sz w:val="24"/>
          <w:szCs w:val="24"/>
        </w:rPr>
        <w:t xml:space="preserve">Even allowing for the disproportionate concentration of Victoria’s female population in the capital during the colonial period, this figure suggests that urban women were overrepresented in the prisoner population. </w:t>
      </w:r>
      <w:r w:rsidR="001018A4">
        <w:rPr>
          <w:rFonts w:ascii="Times New Roman" w:hAnsi="Times New Roman" w:cs="Times New Roman"/>
          <w:sz w:val="24"/>
          <w:szCs w:val="24"/>
        </w:rPr>
        <w:t xml:space="preserve"> Although Melbourne’s </w:t>
      </w:r>
      <w:r w:rsidR="001018A4">
        <w:rPr>
          <w:rFonts w:ascii="Times New Roman" w:hAnsi="Times New Roman" w:cs="Times New Roman"/>
          <w:sz w:val="24"/>
          <w:szCs w:val="24"/>
        </w:rPr>
        <w:lastRenderedPageBreak/>
        <w:t xml:space="preserve">female population accounted for only 44.8 per cent of the female population of Victoria in 1881, Melbourne courts contributed over 78 per cent of female prisoners. </w:t>
      </w:r>
      <w:r w:rsidRPr="00876E22">
        <w:rPr>
          <w:rFonts w:ascii="Times New Roman" w:hAnsi="Times New Roman" w:cs="Times New Roman"/>
          <w:sz w:val="24"/>
          <w:szCs w:val="24"/>
        </w:rPr>
        <w:t>This supports both contemporary research about the criminogenic properties of cities</w:t>
      </w:r>
      <w:r w:rsidR="00653FAC" w:rsidRPr="00876E22">
        <w:rPr>
          <w:rFonts w:ascii="Times New Roman" w:hAnsi="Times New Roman" w:cs="Times New Roman"/>
          <w:sz w:val="24"/>
          <w:szCs w:val="24"/>
        </w:rPr>
        <w:t xml:space="preserve"> and the effect that urban disadvantage </w:t>
      </w:r>
      <w:r w:rsidR="00653FAC">
        <w:rPr>
          <w:rFonts w:ascii="Times New Roman" w:hAnsi="Times New Roman" w:cs="Times New Roman"/>
          <w:sz w:val="24"/>
          <w:szCs w:val="24"/>
        </w:rPr>
        <w:t>and poor living conditions have on the creation of illicit economies and behaviours</w:t>
      </w:r>
      <w:r w:rsidRPr="00876E22">
        <w:rPr>
          <w:rFonts w:ascii="Times New Roman" w:hAnsi="Times New Roman" w:cs="Times New Roman"/>
          <w:sz w:val="24"/>
          <w:szCs w:val="24"/>
        </w:rPr>
        <w:t xml:space="preserve"> (</w:t>
      </w:r>
      <w:r w:rsidR="00653FAC">
        <w:rPr>
          <w:rFonts w:ascii="Times New Roman" w:hAnsi="Times New Roman" w:cs="Times New Roman"/>
          <w:sz w:val="24"/>
          <w:szCs w:val="24"/>
        </w:rPr>
        <w:t>Schwartz and Gertseva 2010</w:t>
      </w:r>
      <w:r w:rsidRPr="00876E22">
        <w:rPr>
          <w:rFonts w:ascii="Times New Roman" w:hAnsi="Times New Roman" w:cs="Times New Roman"/>
          <w:sz w:val="24"/>
          <w:szCs w:val="24"/>
        </w:rPr>
        <w:t>), and characterisations of Melbourne as a cesspool of crime</w:t>
      </w:r>
      <w:r w:rsidR="00852223">
        <w:rPr>
          <w:rFonts w:ascii="Times New Roman" w:hAnsi="Times New Roman" w:cs="Times New Roman"/>
          <w:sz w:val="24"/>
          <w:szCs w:val="24"/>
        </w:rPr>
        <w:t xml:space="preserve"> by nineteenth-century commentators</w:t>
      </w:r>
      <w:r w:rsidRPr="00876E22">
        <w:rPr>
          <w:rFonts w:ascii="Times New Roman" w:hAnsi="Times New Roman" w:cs="Times New Roman"/>
          <w:sz w:val="24"/>
          <w:szCs w:val="24"/>
        </w:rPr>
        <w:t xml:space="preserve"> (</w:t>
      </w:r>
      <w:r w:rsidR="00281694">
        <w:rPr>
          <w:rFonts w:ascii="Times New Roman" w:hAnsi="Times New Roman" w:cs="Times New Roman"/>
          <w:sz w:val="24"/>
          <w:szCs w:val="24"/>
        </w:rPr>
        <w:t>Davison &amp; Dunstan 1985</w:t>
      </w:r>
      <w:r w:rsidRPr="00876E22">
        <w:rPr>
          <w:rFonts w:ascii="Times New Roman" w:hAnsi="Times New Roman" w:cs="Times New Roman"/>
          <w:sz w:val="24"/>
          <w:szCs w:val="24"/>
        </w:rPr>
        <w:t>).</w:t>
      </w:r>
    </w:p>
    <w:p w14:paraId="44071DF4" w14:textId="16293ABB" w:rsidR="00FB3618" w:rsidRPr="00623FBA" w:rsidRDefault="004629A7" w:rsidP="00C713E7">
      <w:pPr>
        <w:spacing w:line="480" w:lineRule="auto"/>
        <w:rPr>
          <w:rFonts w:ascii="Times New Roman" w:hAnsi="Times New Roman" w:cs="Times New Roman"/>
          <w:b/>
          <w:sz w:val="24"/>
          <w:szCs w:val="24"/>
        </w:rPr>
      </w:pPr>
      <w:r w:rsidRPr="00623FBA">
        <w:rPr>
          <w:rFonts w:ascii="Times New Roman" w:hAnsi="Times New Roman" w:cs="Times New Roman"/>
          <w:b/>
          <w:sz w:val="24"/>
          <w:szCs w:val="24"/>
        </w:rPr>
        <w:t>Table 2. Type of offence for which women first imprisoned against location of court where the conviction occurred</w:t>
      </w:r>
    </w:p>
    <w:tbl>
      <w:tblPr>
        <w:tblStyle w:val="TableGrid"/>
        <w:tblW w:w="0" w:type="auto"/>
        <w:tblLayout w:type="fixed"/>
        <w:tblLook w:val="04A0" w:firstRow="1" w:lastRow="0" w:firstColumn="1" w:lastColumn="0" w:noHBand="0" w:noVBand="1"/>
      </w:tblPr>
      <w:tblGrid>
        <w:gridCol w:w="4077"/>
        <w:gridCol w:w="1134"/>
        <w:gridCol w:w="1701"/>
        <w:gridCol w:w="1604"/>
      </w:tblGrid>
      <w:tr w:rsidR="00FB3618" w:rsidRPr="005973B6" w14:paraId="5BAE4520" w14:textId="77777777" w:rsidTr="005973B6">
        <w:tc>
          <w:tcPr>
            <w:tcW w:w="4077" w:type="dxa"/>
            <w:vAlign w:val="center"/>
          </w:tcPr>
          <w:p w14:paraId="2C423F4B" w14:textId="77777777" w:rsidR="00FB3618" w:rsidRPr="00876E22" w:rsidRDefault="00FB3618" w:rsidP="00876E22">
            <w:pPr>
              <w:spacing w:line="480" w:lineRule="auto"/>
              <w:jc w:val="center"/>
              <w:rPr>
                <w:rFonts w:ascii="Times New Roman" w:hAnsi="Times New Roman" w:cs="Times New Roman"/>
                <w:i/>
              </w:rPr>
            </w:pPr>
            <w:r w:rsidRPr="00876E22">
              <w:rPr>
                <w:rFonts w:ascii="Times New Roman" w:hAnsi="Times New Roman" w:cs="Times New Roman"/>
                <w:i/>
              </w:rPr>
              <w:t>Offence</w:t>
            </w:r>
          </w:p>
        </w:tc>
        <w:tc>
          <w:tcPr>
            <w:tcW w:w="1134" w:type="dxa"/>
            <w:vAlign w:val="center"/>
          </w:tcPr>
          <w:p w14:paraId="0482FCB6" w14:textId="77777777" w:rsidR="00FB3618" w:rsidRPr="00876E22" w:rsidRDefault="00FB3618" w:rsidP="00876E22">
            <w:pPr>
              <w:spacing w:line="480" w:lineRule="auto"/>
              <w:jc w:val="center"/>
              <w:rPr>
                <w:rFonts w:ascii="Times New Roman" w:hAnsi="Times New Roman" w:cs="Times New Roman"/>
                <w:i/>
              </w:rPr>
            </w:pPr>
            <w:r w:rsidRPr="00876E22">
              <w:rPr>
                <w:rFonts w:ascii="Times New Roman" w:hAnsi="Times New Roman" w:cs="Times New Roman"/>
                <w:i/>
              </w:rPr>
              <w:t>Number</w:t>
            </w:r>
          </w:p>
        </w:tc>
        <w:tc>
          <w:tcPr>
            <w:tcW w:w="1701" w:type="dxa"/>
            <w:vAlign w:val="center"/>
          </w:tcPr>
          <w:p w14:paraId="30258B24" w14:textId="77777777" w:rsidR="00FB3618" w:rsidRPr="00876E22" w:rsidRDefault="00FB3618" w:rsidP="00876E22">
            <w:pPr>
              <w:spacing w:line="480" w:lineRule="auto"/>
              <w:jc w:val="center"/>
              <w:rPr>
                <w:rFonts w:ascii="Times New Roman" w:hAnsi="Times New Roman" w:cs="Times New Roman"/>
                <w:i/>
              </w:rPr>
            </w:pPr>
            <w:r w:rsidRPr="00876E22">
              <w:rPr>
                <w:rFonts w:ascii="Times New Roman" w:hAnsi="Times New Roman" w:cs="Times New Roman"/>
                <w:i/>
              </w:rPr>
              <w:t>Urban court %</w:t>
            </w:r>
          </w:p>
        </w:tc>
        <w:tc>
          <w:tcPr>
            <w:tcW w:w="1604" w:type="dxa"/>
            <w:vAlign w:val="center"/>
          </w:tcPr>
          <w:p w14:paraId="2B57A052" w14:textId="77777777" w:rsidR="00FB3618" w:rsidRPr="00876E22" w:rsidRDefault="00FB3618" w:rsidP="00876E22">
            <w:pPr>
              <w:spacing w:line="480" w:lineRule="auto"/>
              <w:jc w:val="center"/>
              <w:rPr>
                <w:rFonts w:ascii="Times New Roman" w:hAnsi="Times New Roman" w:cs="Times New Roman"/>
                <w:i/>
              </w:rPr>
            </w:pPr>
            <w:r w:rsidRPr="00876E22">
              <w:rPr>
                <w:rFonts w:ascii="Times New Roman" w:hAnsi="Times New Roman" w:cs="Times New Roman"/>
                <w:i/>
              </w:rPr>
              <w:t>Rural court %</w:t>
            </w:r>
          </w:p>
        </w:tc>
      </w:tr>
      <w:tr w:rsidR="00FB3618" w:rsidRPr="005973B6" w14:paraId="37C6072F" w14:textId="77777777" w:rsidTr="005973B6">
        <w:tc>
          <w:tcPr>
            <w:tcW w:w="4077" w:type="dxa"/>
          </w:tcPr>
          <w:p w14:paraId="479EC693"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Larceny offences</w:t>
            </w:r>
          </w:p>
        </w:tc>
        <w:tc>
          <w:tcPr>
            <w:tcW w:w="1134" w:type="dxa"/>
            <w:vAlign w:val="center"/>
          </w:tcPr>
          <w:p w14:paraId="3134C919"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822</w:t>
            </w:r>
          </w:p>
        </w:tc>
        <w:tc>
          <w:tcPr>
            <w:tcW w:w="1701" w:type="dxa"/>
            <w:vAlign w:val="center"/>
          </w:tcPr>
          <w:p w14:paraId="511399CD"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71.4</w:t>
            </w:r>
          </w:p>
        </w:tc>
        <w:tc>
          <w:tcPr>
            <w:tcW w:w="1604" w:type="dxa"/>
            <w:vAlign w:val="center"/>
          </w:tcPr>
          <w:p w14:paraId="78001F84"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28.6</w:t>
            </w:r>
          </w:p>
        </w:tc>
      </w:tr>
      <w:tr w:rsidR="00FB3618" w:rsidRPr="005973B6" w14:paraId="3D2B7DBC" w14:textId="77777777" w:rsidTr="005973B6">
        <w:tc>
          <w:tcPr>
            <w:tcW w:w="4077" w:type="dxa"/>
          </w:tcPr>
          <w:p w14:paraId="430E7635"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Receiving stolen goods</w:t>
            </w:r>
          </w:p>
        </w:tc>
        <w:tc>
          <w:tcPr>
            <w:tcW w:w="1134" w:type="dxa"/>
            <w:vAlign w:val="center"/>
          </w:tcPr>
          <w:p w14:paraId="1CD9AAD2"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116</w:t>
            </w:r>
          </w:p>
        </w:tc>
        <w:tc>
          <w:tcPr>
            <w:tcW w:w="1701" w:type="dxa"/>
            <w:vAlign w:val="center"/>
          </w:tcPr>
          <w:p w14:paraId="657AEC6A"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76.7</w:t>
            </w:r>
          </w:p>
        </w:tc>
        <w:tc>
          <w:tcPr>
            <w:tcW w:w="1604" w:type="dxa"/>
            <w:vAlign w:val="center"/>
          </w:tcPr>
          <w:p w14:paraId="37CC8C34"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23.3</w:t>
            </w:r>
          </w:p>
        </w:tc>
      </w:tr>
      <w:tr w:rsidR="00FB3618" w:rsidRPr="005973B6" w14:paraId="1B4B01DF" w14:textId="77777777" w:rsidTr="005973B6">
        <w:tc>
          <w:tcPr>
            <w:tcW w:w="4077" w:type="dxa"/>
          </w:tcPr>
          <w:p w14:paraId="48835CC7"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Larceny from the person</w:t>
            </w:r>
          </w:p>
        </w:tc>
        <w:tc>
          <w:tcPr>
            <w:tcW w:w="1134" w:type="dxa"/>
            <w:vAlign w:val="center"/>
          </w:tcPr>
          <w:p w14:paraId="728B2312"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105</w:t>
            </w:r>
          </w:p>
        </w:tc>
        <w:tc>
          <w:tcPr>
            <w:tcW w:w="1701" w:type="dxa"/>
            <w:vAlign w:val="center"/>
          </w:tcPr>
          <w:p w14:paraId="5ECD4F24"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82.9</w:t>
            </w:r>
          </w:p>
        </w:tc>
        <w:tc>
          <w:tcPr>
            <w:tcW w:w="1604" w:type="dxa"/>
            <w:vAlign w:val="center"/>
          </w:tcPr>
          <w:p w14:paraId="0561FD9C"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17.1</w:t>
            </w:r>
          </w:p>
        </w:tc>
      </w:tr>
      <w:tr w:rsidR="00FB3618" w:rsidRPr="005973B6" w14:paraId="3AAEB04A" w14:textId="77777777" w:rsidTr="005973B6">
        <w:tc>
          <w:tcPr>
            <w:tcW w:w="4077" w:type="dxa"/>
          </w:tcPr>
          <w:p w14:paraId="27938455"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Fraud offences</w:t>
            </w:r>
          </w:p>
        </w:tc>
        <w:tc>
          <w:tcPr>
            <w:tcW w:w="1134" w:type="dxa"/>
            <w:vAlign w:val="center"/>
          </w:tcPr>
          <w:p w14:paraId="61486CD2"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98</w:t>
            </w:r>
          </w:p>
        </w:tc>
        <w:tc>
          <w:tcPr>
            <w:tcW w:w="1701" w:type="dxa"/>
            <w:vAlign w:val="center"/>
          </w:tcPr>
          <w:p w14:paraId="32839A1E"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64.3</w:t>
            </w:r>
          </w:p>
        </w:tc>
        <w:tc>
          <w:tcPr>
            <w:tcW w:w="1604" w:type="dxa"/>
            <w:vAlign w:val="center"/>
          </w:tcPr>
          <w:p w14:paraId="7DBC44F7"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35.7</w:t>
            </w:r>
          </w:p>
        </w:tc>
      </w:tr>
      <w:tr w:rsidR="00FB3618" w:rsidRPr="005973B6" w14:paraId="6183F02D" w14:textId="77777777" w:rsidTr="005973B6">
        <w:tc>
          <w:tcPr>
            <w:tcW w:w="4077" w:type="dxa"/>
          </w:tcPr>
          <w:p w14:paraId="5AADEAC3"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Robbery</w:t>
            </w:r>
          </w:p>
        </w:tc>
        <w:tc>
          <w:tcPr>
            <w:tcW w:w="1134" w:type="dxa"/>
            <w:vAlign w:val="center"/>
          </w:tcPr>
          <w:p w14:paraId="5D14198C"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34</w:t>
            </w:r>
          </w:p>
        </w:tc>
        <w:tc>
          <w:tcPr>
            <w:tcW w:w="1701" w:type="dxa"/>
            <w:vAlign w:val="center"/>
          </w:tcPr>
          <w:p w14:paraId="67250079"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85.3</w:t>
            </w:r>
          </w:p>
        </w:tc>
        <w:tc>
          <w:tcPr>
            <w:tcW w:w="1604" w:type="dxa"/>
            <w:vAlign w:val="center"/>
          </w:tcPr>
          <w:p w14:paraId="11902263" w14:textId="77777777" w:rsidR="00FB3618" w:rsidRPr="00876E22" w:rsidRDefault="00FB3618" w:rsidP="00876E22">
            <w:pPr>
              <w:spacing w:line="480" w:lineRule="auto"/>
              <w:jc w:val="center"/>
              <w:rPr>
                <w:rFonts w:ascii="Times New Roman" w:hAnsi="Times New Roman" w:cs="Times New Roman"/>
              </w:rPr>
            </w:pPr>
            <w:r w:rsidRPr="00876E22">
              <w:rPr>
                <w:rFonts w:ascii="Times New Roman" w:hAnsi="Times New Roman" w:cs="Times New Roman"/>
              </w:rPr>
              <w:t>14.7</w:t>
            </w:r>
          </w:p>
        </w:tc>
      </w:tr>
      <w:tr w:rsidR="00FB3618" w:rsidRPr="005973B6" w14:paraId="5B32EEB6" w14:textId="77777777" w:rsidTr="005973B6">
        <w:tc>
          <w:tcPr>
            <w:tcW w:w="4077" w:type="dxa"/>
          </w:tcPr>
          <w:p w14:paraId="1DA1E1BD" w14:textId="77777777" w:rsidR="00FB3618" w:rsidRPr="00876E22" w:rsidRDefault="00FB3618" w:rsidP="00CF3089">
            <w:pPr>
              <w:spacing w:line="480" w:lineRule="auto"/>
              <w:jc w:val="center"/>
              <w:rPr>
                <w:rFonts w:ascii="Times New Roman" w:hAnsi="Times New Roman" w:cs="Times New Roman"/>
              </w:rPr>
            </w:pPr>
            <w:r w:rsidRPr="00876E22">
              <w:rPr>
                <w:rFonts w:ascii="Times New Roman" w:hAnsi="Times New Roman" w:cs="Times New Roman"/>
              </w:rPr>
              <w:t>Burglary</w:t>
            </w:r>
          </w:p>
        </w:tc>
        <w:tc>
          <w:tcPr>
            <w:tcW w:w="1134" w:type="dxa"/>
            <w:vAlign w:val="center"/>
          </w:tcPr>
          <w:p w14:paraId="665DDF02" w14:textId="77777777" w:rsidR="00FB3618" w:rsidRPr="00876E22" w:rsidRDefault="00FB3618" w:rsidP="00CF3089">
            <w:pPr>
              <w:spacing w:line="480" w:lineRule="auto"/>
              <w:jc w:val="center"/>
              <w:rPr>
                <w:rFonts w:ascii="Times New Roman" w:hAnsi="Times New Roman" w:cs="Times New Roman"/>
              </w:rPr>
            </w:pPr>
            <w:r w:rsidRPr="00876E22">
              <w:rPr>
                <w:rFonts w:ascii="Times New Roman" w:hAnsi="Times New Roman" w:cs="Times New Roman"/>
              </w:rPr>
              <w:t>22</w:t>
            </w:r>
          </w:p>
        </w:tc>
        <w:tc>
          <w:tcPr>
            <w:tcW w:w="1701" w:type="dxa"/>
            <w:vAlign w:val="center"/>
          </w:tcPr>
          <w:p w14:paraId="3A413747" w14:textId="77777777" w:rsidR="00FB3618" w:rsidRPr="00876E22" w:rsidRDefault="00FB3618" w:rsidP="00CF3089">
            <w:pPr>
              <w:spacing w:line="480" w:lineRule="auto"/>
              <w:jc w:val="center"/>
              <w:rPr>
                <w:rFonts w:ascii="Times New Roman" w:hAnsi="Times New Roman" w:cs="Times New Roman"/>
              </w:rPr>
            </w:pPr>
            <w:r w:rsidRPr="00876E22">
              <w:rPr>
                <w:rFonts w:ascii="Times New Roman" w:hAnsi="Times New Roman" w:cs="Times New Roman"/>
              </w:rPr>
              <w:t>77.3</w:t>
            </w:r>
          </w:p>
        </w:tc>
        <w:tc>
          <w:tcPr>
            <w:tcW w:w="1604" w:type="dxa"/>
            <w:vAlign w:val="center"/>
          </w:tcPr>
          <w:p w14:paraId="72F279AE" w14:textId="77777777" w:rsidR="00FB3618" w:rsidRPr="00876E22" w:rsidRDefault="00FB3618" w:rsidP="00CF3089">
            <w:pPr>
              <w:spacing w:line="480" w:lineRule="auto"/>
              <w:jc w:val="center"/>
              <w:rPr>
                <w:rFonts w:ascii="Times New Roman" w:hAnsi="Times New Roman" w:cs="Times New Roman"/>
              </w:rPr>
            </w:pPr>
            <w:r w:rsidRPr="00876E22">
              <w:rPr>
                <w:rFonts w:ascii="Times New Roman" w:hAnsi="Times New Roman" w:cs="Times New Roman"/>
              </w:rPr>
              <w:t>22.7</w:t>
            </w:r>
          </w:p>
        </w:tc>
      </w:tr>
      <w:tr w:rsidR="00FB3618" w:rsidRPr="005973B6" w14:paraId="66D0F23A" w14:textId="77777777" w:rsidTr="005973B6">
        <w:tc>
          <w:tcPr>
            <w:tcW w:w="4077" w:type="dxa"/>
          </w:tcPr>
          <w:p w14:paraId="4BFCA88A"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Stock offences</w:t>
            </w:r>
          </w:p>
        </w:tc>
        <w:tc>
          <w:tcPr>
            <w:tcW w:w="1134" w:type="dxa"/>
            <w:vAlign w:val="center"/>
          </w:tcPr>
          <w:p w14:paraId="36DA899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13</w:t>
            </w:r>
          </w:p>
        </w:tc>
        <w:tc>
          <w:tcPr>
            <w:tcW w:w="1701" w:type="dxa"/>
            <w:vAlign w:val="center"/>
          </w:tcPr>
          <w:p w14:paraId="78DDC01E"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46.2</w:t>
            </w:r>
          </w:p>
        </w:tc>
        <w:tc>
          <w:tcPr>
            <w:tcW w:w="1604" w:type="dxa"/>
            <w:vAlign w:val="center"/>
          </w:tcPr>
          <w:p w14:paraId="6E2043A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53.8</w:t>
            </w:r>
          </w:p>
        </w:tc>
      </w:tr>
      <w:tr w:rsidR="00FB3618" w:rsidRPr="005973B6" w14:paraId="57DFC65B" w14:textId="77777777" w:rsidTr="005973B6">
        <w:tc>
          <w:tcPr>
            <w:tcW w:w="4077" w:type="dxa"/>
          </w:tcPr>
          <w:p w14:paraId="78E985B1"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Threatening life or to cause harm</w:t>
            </w:r>
          </w:p>
        </w:tc>
        <w:tc>
          <w:tcPr>
            <w:tcW w:w="1134" w:type="dxa"/>
            <w:vAlign w:val="center"/>
          </w:tcPr>
          <w:p w14:paraId="31BAC359"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262</w:t>
            </w:r>
          </w:p>
        </w:tc>
        <w:tc>
          <w:tcPr>
            <w:tcW w:w="1701" w:type="dxa"/>
            <w:vAlign w:val="center"/>
          </w:tcPr>
          <w:p w14:paraId="64E50479"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84.7</w:t>
            </w:r>
          </w:p>
        </w:tc>
        <w:tc>
          <w:tcPr>
            <w:tcW w:w="1604" w:type="dxa"/>
            <w:vAlign w:val="center"/>
          </w:tcPr>
          <w:p w14:paraId="40E97950"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15.3</w:t>
            </w:r>
          </w:p>
        </w:tc>
      </w:tr>
      <w:tr w:rsidR="00FB3618" w:rsidRPr="005973B6" w14:paraId="61BC06C8" w14:textId="77777777" w:rsidTr="005973B6">
        <w:tc>
          <w:tcPr>
            <w:tcW w:w="4077" w:type="dxa"/>
            <w:vAlign w:val="center"/>
          </w:tcPr>
          <w:p w14:paraId="3EC97829"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Assault or wounding</w:t>
            </w:r>
          </w:p>
        </w:tc>
        <w:tc>
          <w:tcPr>
            <w:tcW w:w="1134" w:type="dxa"/>
            <w:vAlign w:val="center"/>
          </w:tcPr>
          <w:p w14:paraId="52139456"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176</w:t>
            </w:r>
          </w:p>
        </w:tc>
        <w:tc>
          <w:tcPr>
            <w:tcW w:w="1701" w:type="dxa"/>
            <w:vAlign w:val="center"/>
          </w:tcPr>
          <w:p w14:paraId="542E801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69.9</w:t>
            </w:r>
          </w:p>
        </w:tc>
        <w:tc>
          <w:tcPr>
            <w:tcW w:w="1604" w:type="dxa"/>
            <w:vAlign w:val="center"/>
          </w:tcPr>
          <w:p w14:paraId="16F575FC"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30.1</w:t>
            </w:r>
          </w:p>
        </w:tc>
      </w:tr>
      <w:tr w:rsidR="00FB3618" w:rsidRPr="005973B6" w14:paraId="334A7721" w14:textId="77777777" w:rsidTr="005973B6">
        <w:tc>
          <w:tcPr>
            <w:tcW w:w="4077" w:type="dxa"/>
          </w:tcPr>
          <w:p w14:paraId="055D1661"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Murder or manslaughter</w:t>
            </w:r>
          </w:p>
        </w:tc>
        <w:tc>
          <w:tcPr>
            <w:tcW w:w="1134" w:type="dxa"/>
            <w:vAlign w:val="center"/>
          </w:tcPr>
          <w:p w14:paraId="5F30340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80</w:t>
            </w:r>
          </w:p>
        </w:tc>
        <w:tc>
          <w:tcPr>
            <w:tcW w:w="1701" w:type="dxa"/>
            <w:vAlign w:val="center"/>
          </w:tcPr>
          <w:p w14:paraId="57497BA9"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68.8</w:t>
            </w:r>
          </w:p>
        </w:tc>
        <w:tc>
          <w:tcPr>
            <w:tcW w:w="1604" w:type="dxa"/>
            <w:vAlign w:val="center"/>
          </w:tcPr>
          <w:p w14:paraId="3919F14A"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31.3</w:t>
            </w:r>
          </w:p>
        </w:tc>
      </w:tr>
      <w:tr w:rsidR="00FB3618" w:rsidRPr="005973B6" w14:paraId="173D3583" w14:textId="77777777" w:rsidTr="005973B6">
        <w:tc>
          <w:tcPr>
            <w:tcW w:w="4077" w:type="dxa"/>
          </w:tcPr>
          <w:p w14:paraId="4AC8FF42"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Vagrancy, begging or lacking lawful means of support</w:t>
            </w:r>
          </w:p>
        </w:tc>
        <w:tc>
          <w:tcPr>
            <w:tcW w:w="1134" w:type="dxa"/>
            <w:vAlign w:val="center"/>
          </w:tcPr>
          <w:p w14:paraId="1BF571C0"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2072</w:t>
            </w:r>
          </w:p>
        </w:tc>
        <w:tc>
          <w:tcPr>
            <w:tcW w:w="1701" w:type="dxa"/>
            <w:vAlign w:val="center"/>
          </w:tcPr>
          <w:p w14:paraId="3219A65F"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77.2</w:t>
            </w:r>
          </w:p>
        </w:tc>
        <w:tc>
          <w:tcPr>
            <w:tcW w:w="1604" w:type="dxa"/>
            <w:vAlign w:val="center"/>
          </w:tcPr>
          <w:p w14:paraId="1D105944"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22.8</w:t>
            </w:r>
          </w:p>
        </w:tc>
      </w:tr>
      <w:tr w:rsidR="00FB3618" w:rsidRPr="005973B6" w14:paraId="06B8DE2E" w14:textId="77777777" w:rsidTr="005973B6">
        <w:tc>
          <w:tcPr>
            <w:tcW w:w="4077" w:type="dxa"/>
          </w:tcPr>
          <w:p w14:paraId="223A91B9"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Disorderly, indecent or riotous conduct</w:t>
            </w:r>
          </w:p>
        </w:tc>
        <w:tc>
          <w:tcPr>
            <w:tcW w:w="1134" w:type="dxa"/>
            <w:vAlign w:val="center"/>
          </w:tcPr>
          <w:p w14:paraId="3BF52359"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1220</w:t>
            </w:r>
          </w:p>
        </w:tc>
        <w:tc>
          <w:tcPr>
            <w:tcW w:w="1701" w:type="dxa"/>
            <w:vAlign w:val="center"/>
          </w:tcPr>
          <w:p w14:paraId="4659EF90"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77</w:t>
            </w:r>
          </w:p>
        </w:tc>
        <w:tc>
          <w:tcPr>
            <w:tcW w:w="1604" w:type="dxa"/>
            <w:vAlign w:val="center"/>
          </w:tcPr>
          <w:p w14:paraId="0348462D"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23</w:t>
            </w:r>
          </w:p>
        </w:tc>
      </w:tr>
      <w:tr w:rsidR="00FB3618" w:rsidRPr="005973B6" w14:paraId="2DCF6FB4" w14:textId="77777777" w:rsidTr="005973B6">
        <w:tc>
          <w:tcPr>
            <w:tcW w:w="4077" w:type="dxa"/>
          </w:tcPr>
          <w:p w14:paraId="7D30362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Drunkenness offences</w:t>
            </w:r>
          </w:p>
        </w:tc>
        <w:tc>
          <w:tcPr>
            <w:tcW w:w="1134" w:type="dxa"/>
            <w:vAlign w:val="center"/>
          </w:tcPr>
          <w:p w14:paraId="3D9B0DF1"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311</w:t>
            </w:r>
          </w:p>
        </w:tc>
        <w:tc>
          <w:tcPr>
            <w:tcW w:w="1701" w:type="dxa"/>
            <w:vAlign w:val="center"/>
          </w:tcPr>
          <w:p w14:paraId="0072AAB3"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61.4</w:t>
            </w:r>
          </w:p>
        </w:tc>
        <w:tc>
          <w:tcPr>
            <w:tcW w:w="1604" w:type="dxa"/>
            <w:vAlign w:val="center"/>
          </w:tcPr>
          <w:p w14:paraId="4A0B47D4"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38.6</w:t>
            </w:r>
          </w:p>
        </w:tc>
      </w:tr>
      <w:tr w:rsidR="00FB3618" w:rsidRPr="005973B6" w14:paraId="2B40E2E9" w14:textId="77777777" w:rsidTr="005973B6">
        <w:tc>
          <w:tcPr>
            <w:tcW w:w="4077" w:type="dxa"/>
          </w:tcPr>
          <w:p w14:paraId="09FD099C" w14:textId="18783D40" w:rsidR="00FB3618" w:rsidRPr="00CF3089" w:rsidRDefault="00A73584" w:rsidP="00CF3089">
            <w:pPr>
              <w:spacing w:line="480" w:lineRule="auto"/>
              <w:jc w:val="center"/>
              <w:rPr>
                <w:rFonts w:ascii="Times New Roman" w:hAnsi="Times New Roman" w:cs="Times New Roman"/>
              </w:rPr>
            </w:pPr>
            <w:r>
              <w:rPr>
                <w:rFonts w:ascii="Times New Roman" w:hAnsi="Times New Roman" w:cs="Times New Roman"/>
              </w:rPr>
              <w:t xml:space="preserve">Sex work related </w:t>
            </w:r>
            <w:r w:rsidR="00FB3618" w:rsidRPr="00CF3089">
              <w:rPr>
                <w:rFonts w:ascii="Times New Roman" w:hAnsi="Times New Roman" w:cs="Times New Roman"/>
              </w:rPr>
              <w:t xml:space="preserve"> offences</w:t>
            </w:r>
          </w:p>
        </w:tc>
        <w:tc>
          <w:tcPr>
            <w:tcW w:w="1134" w:type="dxa"/>
            <w:vAlign w:val="center"/>
          </w:tcPr>
          <w:p w14:paraId="4B666882"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168</w:t>
            </w:r>
          </w:p>
        </w:tc>
        <w:tc>
          <w:tcPr>
            <w:tcW w:w="1701" w:type="dxa"/>
            <w:vAlign w:val="center"/>
          </w:tcPr>
          <w:p w14:paraId="32C41DF7"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61.3</w:t>
            </w:r>
          </w:p>
        </w:tc>
        <w:tc>
          <w:tcPr>
            <w:tcW w:w="1604" w:type="dxa"/>
            <w:vAlign w:val="center"/>
          </w:tcPr>
          <w:p w14:paraId="28BE654C"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38.7</w:t>
            </w:r>
          </w:p>
        </w:tc>
      </w:tr>
      <w:tr w:rsidR="00FB3618" w:rsidRPr="005973B6" w14:paraId="3D8153C5" w14:textId="77777777" w:rsidTr="005973B6">
        <w:tc>
          <w:tcPr>
            <w:tcW w:w="4077" w:type="dxa"/>
          </w:tcPr>
          <w:p w14:paraId="734DD75D"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Obscene, indecent or abusive Language</w:t>
            </w:r>
          </w:p>
        </w:tc>
        <w:tc>
          <w:tcPr>
            <w:tcW w:w="1134" w:type="dxa"/>
            <w:vAlign w:val="center"/>
          </w:tcPr>
          <w:p w14:paraId="0C4BF902"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139</w:t>
            </w:r>
          </w:p>
        </w:tc>
        <w:tc>
          <w:tcPr>
            <w:tcW w:w="1701" w:type="dxa"/>
            <w:vAlign w:val="center"/>
          </w:tcPr>
          <w:p w14:paraId="599C7CB2"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50.4</w:t>
            </w:r>
          </w:p>
        </w:tc>
        <w:tc>
          <w:tcPr>
            <w:tcW w:w="1604" w:type="dxa"/>
            <w:vAlign w:val="center"/>
          </w:tcPr>
          <w:p w14:paraId="636890A1"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49.6</w:t>
            </w:r>
          </w:p>
        </w:tc>
      </w:tr>
      <w:tr w:rsidR="00FB3618" w:rsidRPr="005973B6" w14:paraId="3C1622B9" w14:textId="77777777" w:rsidTr="005973B6">
        <w:tc>
          <w:tcPr>
            <w:tcW w:w="4077" w:type="dxa"/>
          </w:tcPr>
          <w:p w14:paraId="257779E5"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lastRenderedPageBreak/>
              <w:t>Consorting with, being or keeping a house frequented by thieves or suspected persons</w:t>
            </w:r>
          </w:p>
        </w:tc>
        <w:tc>
          <w:tcPr>
            <w:tcW w:w="1134" w:type="dxa"/>
            <w:vAlign w:val="center"/>
          </w:tcPr>
          <w:p w14:paraId="738C0B0C"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71</w:t>
            </w:r>
          </w:p>
        </w:tc>
        <w:tc>
          <w:tcPr>
            <w:tcW w:w="1701" w:type="dxa"/>
            <w:vAlign w:val="center"/>
          </w:tcPr>
          <w:p w14:paraId="5E90C8CA"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56.3</w:t>
            </w:r>
          </w:p>
        </w:tc>
        <w:tc>
          <w:tcPr>
            <w:tcW w:w="1604" w:type="dxa"/>
            <w:vAlign w:val="center"/>
          </w:tcPr>
          <w:p w14:paraId="7373C9E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43.7</w:t>
            </w:r>
          </w:p>
        </w:tc>
      </w:tr>
      <w:tr w:rsidR="00FB3618" w:rsidRPr="005973B6" w14:paraId="4CC9811C" w14:textId="77777777" w:rsidTr="005973B6">
        <w:tc>
          <w:tcPr>
            <w:tcW w:w="4077" w:type="dxa"/>
          </w:tcPr>
          <w:p w14:paraId="383EF1D8"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Offences against justice or courts</w:t>
            </w:r>
          </w:p>
        </w:tc>
        <w:tc>
          <w:tcPr>
            <w:tcW w:w="1134" w:type="dxa"/>
            <w:vAlign w:val="center"/>
          </w:tcPr>
          <w:p w14:paraId="61D0AEC1"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43</w:t>
            </w:r>
          </w:p>
        </w:tc>
        <w:tc>
          <w:tcPr>
            <w:tcW w:w="1701" w:type="dxa"/>
            <w:vAlign w:val="center"/>
          </w:tcPr>
          <w:p w14:paraId="1DCD004D"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60.5</w:t>
            </w:r>
          </w:p>
        </w:tc>
        <w:tc>
          <w:tcPr>
            <w:tcW w:w="1604" w:type="dxa"/>
            <w:vAlign w:val="center"/>
          </w:tcPr>
          <w:p w14:paraId="5C9149CF"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39.5</w:t>
            </w:r>
          </w:p>
        </w:tc>
      </w:tr>
      <w:tr w:rsidR="00FB3618" w:rsidRPr="005973B6" w14:paraId="1D0E51F7" w14:textId="77777777" w:rsidTr="005973B6">
        <w:tc>
          <w:tcPr>
            <w:tcW w:w="4077" w:type="dxa"/>
          </w:tcPr>
          <w:p w14:paraId="696AF320"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Damaging property</w:t>
            </w:r>
          </w:p>
        </w:tc>
        <w:tc>
          <w:tcPr>
            <w:tcW w:w="1134" w:type="dxa"/>
            <w:vAlign w:val="center"/>
          </w:tcPr>
          <w:p w14:paraId="46FDF84D"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40</w:t>
            </w:r>
          </w:p>
        </w:tc>
        <w:tc>
          <w:tcPr>
            <w:tcW w:w="1701" w:type="dxa"/>
            <w:vAlign w:val="center"/>
          </w:tcPr>
          <w:p w14:paraId="182B8E79"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70</w:t>
            </w:r>
          </w:p>
        </w:tc>
        <w:tc>
          <w:tcPr>
            <w:tcW w:w="1604" w:type="dxa"/>
            <w:vAlign w:val="center"/>
          </w:tcPr>
          <w:p w14:paraId="5A056C08"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30</w:t>
            </w:r>
          </w:p>
        </w:tc>
      </w:tr>
      <w:tr w:rsidR="00FB3618" w:rsidRPr="005973B6" w14:paraId="7AF5B751" w14:textId="77777777" w:rsidTr="005973B6">
        <w:tc>
          <w:tcPr>
            <w:tcW w:w="4077" w:type="dxa"/>
          </w:tcPr>
          <w:p w14:paraId="496B2927"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Offences involving care of children</w:t>
            </w:r>
          </w:p>
        </w:tc>
        <w:tc>
          <w:tcPr>
            <w:tcW w:w="1134" w:type="dxa"/>
            <w:vAlign w:val="center"/>
          </w:tcPr>
          <w:p w14:paraId="2F168E64"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36</w:t>
            </w:r>
          </w:p>
        </w:tc>
        <w:tc>
          <w:tcPr>
            <w:tcW w:w="1701" w:type="dxa"/>
            <w:vAlign w:val="center"/>
          </w:tcPr>
          <w:p w14:paraId="0F616846"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75</w:t>
            </w:r>
          </w:p>
        </w:tc>
        <w:tc>
          <w:tcPr>
            <w:tcW w:w="1604" w:type="dxa"/>
            <w:vAlign w:val="center"/>
          </w:tcPr>
          <w:p w14:paraId="26EA0605"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25</w:t>
            </w:r>
          </w:p>
        </w:tc>
      </w:tr>
      <w:tr w:rsidR="00FB3618" w:rsidRPr="005973B6" w14:paraId="66A031EE" w14:textId="77777777" w:rsidTr="005973B6">
        <w:tc>
          <w:tcPr>
            <w:tcW w:w="4077" w:type="dxa"/>
            <w:vAlign w:val="center"/>
          </w:tcPr>
          <w:p w14:paraId="3F86A5E5"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Concealment of birth</w:t>
            </w:r>
          </w:p>
        </w:tc>
        <w:tc>
          <w:tcPr>
            <w:tcW w:w="1134" w:type="dxa"/>
            <w:vAlign w:val="center"/>
          </w:tcPr>
          <w:p w14:paraId="2B972B9E"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35</w:t>
            </w:r>
          </w:p>
        </w:tc>
        <w:tc>
          <w:tcPr>
            <w:tcW w:w="1701" w:type="dxa"/>
            <w:vAlign w:val="center"/>
          </w:tcPr>
          <w:p w14:paraId="617115AD"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37.1</w:t>
            </w:r>
          </w:p>
        </w:tc>
        <w:tc>
          <w:tcPr>
            <w:tcW w:w="1604" w:type="dxa"/>
            <w:vAlign w:val="center"/>
          </w:tcPr>
          <w:p w14:paraId="4A59806A"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62.9</w:t>
            </w:r>
          </w:p>
        </w:tc>
      </w:tr>
      <w:tr w:rsidR="00FB3618" w:rsidRPr="005973B6" w14:paraId="59FCDB67" w14:textId="77777777" w:rsidTr="005973B6">
        <w:tc>
          <w:tcPr>
            <w:tcW w:w="4077" w:type="dxa"/>
            <w:vAlign w:val="center"/>
          </w:tcPr>
          <w:p w14:paraId="2AA865F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Arson</w:t>
            </w:r>
          </w:p>
        </w:tc>
        <w:tc>
          <w:tcPr>
            <w:tcW w:w="1134" w:type="dxa"/>
            <w:vAlign w:val="center"/>
          </w:tcPr>
          <w:p w14:paraId="195D24F4"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33</w:t>
            </w:r>
          </w:p>
        </w:tc>
        <w:tc>
          <w:tcPr>
            <w:tcW w:w="1701" w:type="dxa"/>
            <w:vAlign w:val="center"/>
          </w:tcPr>
          <w:p w14:paraId="255F6528"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45.5</w:t>
            </w:r>
          </w:p>
        </w:tc>
        <w:tc>
          <w:tcPr>
            <w:tcW w:w="1604" w:type="dxa"/>
            <w:vAlign w:val="center"/>
          </w:tcPr>
          <w:p w14:paraId="57B87211"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54.5</w:t>
            </w:r>
          </w:p>
        </w:tc>
      </w:tr>
      <w:tr w:rsidR="00FB3618" w:rsidRPr="005973B6" w14:paraId="389B327D" w14:textId="77777777" w:rsidTr="005973B6">
        <w:tc>
          <w:tcPr>
            <w:tcW w:w="4077" w:type="dxa"/>
          </w:tcPr>
          <w:p w14:paraId="5479E777"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Intent to commit or aiding and abetting felony</w:t>
            </w:r>
          </w:p>
        </w:tc>
        <w:tc>
          <w:tcPr>
            <w:tcW w:w="1134" w:type="dxa"/>
            <w:vAlign w:val="center"/>
          </w:tcPr>
          <w:p w14:paraId="63B1B365"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22</w:t>
            </w:r>
          </w:p>
        </w:tc>
        <w:tc>
          <w:tcPr>
            <w:tcW w:w="1701" w:type="dxa"/>
            <w:vAlign w:val="center"/>
          </w:tcPr>
          <w:p w14:paraId="333C0A80"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81.8</w:t>
            </w:r>
          </w:p>
        </w:tc>
        <w:tc>
          <w:tcPr>
            <w:tcW w:w="1604" w:type="dxa"/>
            <w:vAlign w:val="center"/>
          </w:tcPr>
          <w:p w14:paraId="216B9E0E"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18.2</w:t>
            </w:r>
          </w:p>
        </w:tc>
      </w:tr>
      <w:tr w:rsidR="00FB3618" w:rsidRPr="005973B6" w14:paraId="63A82148" w14:textId="77777777" w:rsidTr="005973B6">
        <w:tc>
          <w:tcPr>
            <w:tcW w:w="4077" w:type="dxa"/>
          </w:tcPr>
          <w:p w14:paraId="34ECB01D"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Suicide threatened or attempted</w:t>
            </w:r>
          </w:p>
        </w:tc>
        <w:tc>
          <w:tcPr>
            <w:tcW w:w="1134" w:type="dxa"/>
            <w:vAlign w:val="center"/>
          </w:tcPr>
          <w:p w14:paraId="772D260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19</w:t>
            </w:r>
          </w:p>
        </w:tc>
        <w:tc>
          <w:tcPr>
            <w:tcW w:w="1701" w:type="dxa"/>
            <w:vAlign w:val="center"/>
          </w:tcPr>
          <w:p w14:paraId="1A196836"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68.4</w:t>
            </w:r>
          </w:p>
        </w:tc>
        <w:tc>
          <w:tcPr>
            <w:tcW w:w="1604" w:type="dxa"/>
            <w:vAlign w:val="center"/>
          </w:tcPr>
          <w:p w14:paraId="5BBFAEF7"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31.6</w:t>
            </w:r>
          </w:p>
        </w:tc>
      </w:tr>
      <w:tr w:rsidR="00FB3618" w:rsidRPr="005973B6" w14:paraId="2EADFEFF" w14:textId="77777777" w:rsidTr="005973B6">
        <w:tc>
          <w:tcPr>
            <w:tcW w:w="4077" w:type="dxa"/>
          </w:tcPr>
          <w:p w14:paraId="4411A20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Illegally selling liquor</w:t>
            </w:r>
          </w:p>
        </w:tc>
        <w:tc>
          <w:tcPr>
            <w:tcW w:w="1134" w:type="dxa"/>
            <w:vAlign w:val="center"/>
          </w:tcPr>
          <w:p w14:paraId="7382667F"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17</w:t>
            </w:r>
          </w:p>
        </w:tc>
        <w:tc>
          <w:tcPr>
            <w:tcW w:w="1701" w:type="dxa"/>
            <w:vAlign w:val="center"/>
          </w:tcPr>
          <w:p w14:paraId="6CA3028E"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35.3</w:t>
            </w:r>
          </w:p>
        </w:tc>
        <w:tc>
          <w:tcPr>
            <w:tcW w:w="1604" w:type="dxa"/>
            <w:vAlign w:val="center"/>
          </w:tcPr>
          <w:p w14:paraId="44A5FB7F"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64.7</w:t>
            </w:r>
          </w:p>
        </w:tc>
      </w:tr>
      <w:tr w:rsidR="00FB3618" w:rsidRPr="005973B6" w14:paraId="0D068AE8" w14:textId="77777777" w:rsidTr="005973B6">
        <w:tc>
          <w:tcPr>
            <w:tcW w:w="4077" w:type="dxa"/>
            <w:vAlign w:val="center"/>
          </w:tcPr>
          <w:p w14:paraId="641C3787"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Abortion</w:t>
            </w:r>
          </w:p>
        </w:tc>
        <w:tc>
          <w:tcPr>
            <w:tcW w:w="1134" w:type="dxa"/>
            <w:vAlign w:val="center"/>
          </w:tcPr>
          <w:p w14:paraId="298B2D68"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11</w:t>
            </w:r>
          </w:p>
        </w:tc>
        <w:tc>
          <w:tcPr>
            <w:tcW w:w="1701" w:type="dxa"/>
            <w:vAlign w:val="center"/>
          </w:tcPr>
          <w:p w14:paraId="5B59AFD1"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81.8</w:t>
            </w:r>
          </w:p>
        </w:tc>
        <w:tc>
          <w:tcPr>
            <w:tcW w:w="1604" w:type="dxa"/>
            <w:vAlign w:val="center"/>
          </w:tcPr>
          <w:p w14:paraId="1ABAD83E"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18.2</w:t>
            </w:r>
          </w:p>
        </w:tc>
      </w:tr>
      <w:tr w:rsidR="00FB3618" w:rsidRPr="005973B6" w14:paraId="46721E0D" w14:textId="77777777" w:rsidTr="005973B6">
        <w:tc>
          <w:tcPr>
            <w:tcW w:w="4077" w:type="dxa"/>
            <w:vAlign w:val="center"/>
          </w:tcPr>
          <w:p w14:paraId="4F0BAB97"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Bigamy</w:t>
            </w:r>
          </w:p>
        </w:tc>
        <w:tc>
          <w:tcPr>
            <w:tcW w:w="1134" w:type="dxa"/>
            <w:vAlign w:val="center"/>
          </w:tcPr>
          <w:p w14:paraId="0DC29A5F"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9</w:t>
            </w:r>
          </w:p>
        </w:tc>
        <w:tc>
          <w:tcPr>
            <w:tcW w:w="1701" w:type="dxa"/>
            <w:vAlign w:val="center"/>
          </w:tcPr>
          <w:p w14:paraId="7DA8F22B"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77.8</w:t>
            </w:r>
          </w:p>
        </w:tc>
        <w:tc>
          <w:tcPr>
            <w:tcW w:w="1604" w:type="dxa"/>
            <w:vAlign w:val="center"/>
          </w:tcPr>
          <w:p w14:paraId="555F5CA6"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22.2</w:t>
            </w:r>
          </w:p>
        </w:tc>
      </w:tr>
      <w:tr w:rsidR="00FB3618" w:rsidRPr="005973B6" w14:paraId="300E375D" w14:textId="77777777" w:rsidTr="005973B6">
        <w:tc>
          <w:tcPr>
            <w:tcW w:w="4077" w:type="dxa"/>
          </w:tcPr>
          <w:p w14:paraId="22F7B915"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Miscellaneous offences</w:t>
            </w:r>
          </w:p>
        </w:tc>
        <w:tc>
          <w:tcPr>
            <w:tcW w:w="1134" w:type="dxa"/>
            <w:vAlign w:val="center"/>
          </w:tcPr>
          <w:p w14:paraId="148424BC"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44</w:t>
            </w:r>
          </w:p>
        </w:tc>
        <w:tc>
          <w:tcPr>
            <w:tcW w:w="1701" w:type="dxa"/>
            <w:vAlign w:val="center"/>
          </w:tcPr>
          <w:p w14:paraId="2C820C6D"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61.4</w:t>
            </w:r>
          </w:p>
        </w:tc>
        <w:tc>
          <w:tcPr>
            <w:tcW w:w="1604" w:type="dxa"/>
            <w:vAlign w:val="center"/>
          </w:tcPr>
          <w:p w14:paraId="14237A0E"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38.6</w:t>
            </w:r>
          </w:p>
        </w:tc>
      </w:tr>
      <w:tr w:rsidR="00FB3618" w:rsidRPr="005973B6" w14:paraId="2AF8825A" w14:textId="77777777" w:rsidTr="005973B6">
        <w:tc>
          <w:tcPr>
            <w:tcW w:w="4077" w:type="dxa"/>
          </w:tcPr>
          <w:p w14:paraId="2C6EC12E" w14:textId="77777777" w:rsidR="00FB3618" w:rsidRPr="00CF3089" w:rsidRDefault="00FB3618" w:rsidP="00CF3089">
            <w:pPr>
              <w:spacing w:line="480" w:lineRule="auto"/>
              <w:jc w:val="center"/>
              <w:rPr>
                <w:rFonts w:ascii="Times New Roman" w:hAnsi="Times New Roman" w:cs="Times New Roman"/>
              </w:rPr>
            </w:pPr>
            <w:r w:rsidRPr="00CF3089">
              <w:rPr>
                <w:rFonts w:ascii="Times New Roman" w:hAnsi="Times New Roman" w:cs="Times New Roman"/>
              </w:rPr>
              <w:t>Unknown</w:t>
            </w:r>
          </w:p>
        </w:tc>
        <w:tc>
          <w:tcPr>
            <w:tcW w:w="1134" w:type="dxa"/>
            <w:vAlign w:val="center"/>
          </w:tcPr>
          <w:p w14:paraId="2FF5C5BF" w14:textId="4FE0BF22" w:rsidR="00FB3618" w:rsidRPr="00CF3089" w:rsidRDefault="006F3041" w:rsidP="00CF3089">
            <w:pPr>
              <w:spacing w:line="480" w:lineRule="auto"/>
              <w:jc w:val="center"/>
              <w:rPr>
                <w:rFonts w:ascii="Times New Roman" w:hAnsi="Times New Roman" w:cs="Times New Roman"/>
              </w:rPr>
            </w:pPr>
            <w:r>
              <w:rPr>
                <w:rFonts w:ascii="Times New Roman" w:hAnsi="Times New Roman" w:cs="Times New Roman"/>
              </w:rPr>
              <w:t>9</w:t>
            </w:r>
          </w:p>
        </w:tc>
        <w:tc>
          <w:tcPr>
            <w:tcW w:w="1701" w:type="dxa"/>
            <w:vAlign w:val="center"/>
          </w:tcPr>
          <w:p w14:paraId="02B00788" w14:textId="6A60E3A2" w:rsidR="00FB3618" w:rsidRPr="00CF3089" w:rsidRDefault="006F3041" w:rsidP="00CF3089">
            <w:pPr>
              <w:spacing w:line="480" w:lineRule="auto"/>
              <w:jc w:val="center"/>
              <w:rPr>
                <w:rFonts w:ascii="Times New Roman" w:hAnsi="Times New Roman" w:cs="Times New Roman"/>
              </w:rPr>
            </w:pPr>
            <w:r>
              <w:rPr>
                <w:rFonts w:ascii="Times New Roman" w:hAnsi="Times New Roman" w:cs="Times New Roman"/>
              </w:rPr>
              <w:t>77.8</w:t>
            </w:r>
          </w:p>
        </w:tc>
        <w:tc>
          <w:tcPr>
            <w:tcW w:w="1604" w:type="dxa"/>
            <w:vAlign w:val="center"/>
          </w:tcPr>
          <w:p w14:paraId="361DA966" w14:textId="201AD796" w:rsidR="00FB3618" w:rsidRPr="00CF3089" w:rsidRDefault="006F3041" w:rsidP="00CF3089">
            <w:pPr>
              <w:spacing w:line="480" w:lineRule="auto"/>
              <w:jc w:val="center"/>
              <w:rPr>
                <w:rFonts w:ascii="Times New Roman" w:hAnsi="Times New Roman" w:cs="Times New Roman"/>
              </w:rPr>
            </w:pPr>
            <w:r>
              <w:rPr>
                <w:rFonts w:ascii="Times New Roman" w:hAnsi="Times New Roman" w:cs="Times New Roman"/>
              </w:rPr>
              <w:t>22.2</w:t>
            </w:r>
          </w:p>
        </w:tc>
      </w:tr>
      <w:tr w:rsidR="00FB3618" w:rsidRPr="005973B6" w14:paraId="3136DF37" w14:textId="77777777" w:rsidTr="005973B6">
        <w:tc>
          <w:tcPr>
            <w:tcW w:w="4077" w:type="dxa"/>
          </w:tcPr>
          <w:p w14:paraId="1AAD8E70" w14:textId="77777777" w:rsidR="00FB3618" w:rsidRPr="00CF3089" w:rsidRDefault="00FB3618" w:rsidP="00CF3089">
            <w:pPr>
              <w:spacing w:line="480" w:lineRule="auto"/>
              <w:jc w:val="center"/>
              <w:rPr>
                <w:rFonts w:ascii="Times New Roman" w:hAnsi="Times New Roman" w:cs="Times New Roman"/>
                <w:b/>
                <w:i/>
              </w:rPr>
            </w:pPr>
            <w:r w:rsidRPr="00CF3089">
              <w:rPr>
                <w:rFonts w:ascii="Times New Roman" w:hAnsi="Times New Roman" w:cs="Times New Roman"/>
                <w:b/>
                <w:i/>
              </w:rPr>
              <w:t>Total</w:t>
            </w:r>
          </w:p>
        </w:tc>
        <w:tc>
          <w:tcPr>
            <w:tcW w:w="1134" w:type="dxa"/>
            <w:vAlign w:val="center"/>
          </w:tcPr>
          <w:p w14:paraId="0F3E2D11" w14:textId="69DF381B" w:rsidR="00FB3618" w:rsidRPr="00CF3089" w:rsidRDefault="006F3041" w:rsidP="006F3041">
            <w:pPr>
              <w:spacing w:line="480" w:lineRule="auto"/>
              <w:jc w:val="center"/>
              <w:rPr>
                <w:rFonts w:ascii="Times New Roman" w:hAnsi="Times New Roman" w:cs="Times New Roman"/>
                <w:b/>
                <w:i/>
              </w:rPr>
            </w:pPr>
            <w:r w:rsidRPr="00CF3089">
              <w:rPr>
                <w:rFonts w:ascii="Times New Roman" w:hAnsi="Times New Roman" w:cs="Times New Roman"/>
                <w:b/>
                <w:i/>
              </w:rPr>
              <w:t>602</w:t>
            </w:r>
            <w:r>
              <w:rPr>
                <w:rFonts w:ascii="Times New Roman" w:hAnsi="Times New Roman" w:cs="Times New Roman"/>
                <w:b/>
                <w:i/>
              </w:rPr>
              <w:t>7</w:t>
            </w:r>
          </w:p>
        </w:tc>
        <w:tc>
          <w:tcPr>
            <w:tcW w:w="1701" w:type="dxa"/>
            <w:vAlign w:val="center"/>
          </w:tcPr>
          <w:p w14:paraId="5F539880" w14:textId="77777777" w:rsidR="00FB3618" w:rsidRPr="00CF3089" w:rsidRDefault="00FB3618" w:rsidP="00CF3089">
            <w:pPr>
              <w:spacing w:line="480" w:lineRule="auto"/>
              <w:jc w:val="center"/>
              <w:rPr>
                <w:rFonts w:ascii="Times New Roman" w:hAnsi="Times New Roman" w:cs="Times New Roman"/>
                <w:b/>
                <w:i/>
              </w:rPr>
            </w:pPr>
            <w:r w:rsidRPr="00CF3089">
              <w:rPr>
                <w:rFonts w:ascii="Times New Roman" w:hAnsi="Times New Roman" w:cs="Times New Roman"/>
                <w:b/>
                <w:i/>
              </w:rPr>
              <w:t>73.3</w:t>
            </w:r>
          </w:p>
        </w:tc>
        <w:tc>
          <w:tcPr>
            <w:tcW w:w="1604" w:type="dxa"/>
            <w:vAlign w:val="center"/>
          </w:tcPr>
          <w:p w14:paraId="250E509A" w14:textId="77777777" w:rsidR="00FB3618" w:rsidRPr="00CF3089" w:rsidRDefault="00FB3618" w:rsidP="00CF3089">
            <w:pPr>
              <w:spacing w:line="480" w:lineRule="auto"/>
              <w:jc w:val="center"/>
              <w:rPr>
                <w:rFonts w:ascii="Times New Roman" w:hAnsi="Times New Roman" w:cs="Times New Roman"/>
                <w:b/>
                <w:i/>
              </w:rPr>
            </w:pPr>
            <w:r w:rsidRPr="00CF3089">
              <w:rPr>
                <w:rFonts w:ascii="Times New Roman" w:hAnsi="Times New Roman" w:cs="Times New Roman"/>
                <w:b/>
                <w:i/>
              </w:rPr>
              <w:t>26.7</w:t>
            </w:r>
          </w:p>
        </w:tc>
      </w:tr>
      <w:tr w:rsidR="00FB3618" w:rsidRPr="005973B6" w14:paraId="199065CD" w14:textId="77777777" w:rsidTr="005973B6">
        <w:tc>
          <w:tcPr>
            <w:tcW w:w="8516" w:type="dxa"/>
            <w:gridSpan w:val="4"/>
          </w:tcPr>
          <w:p w14:paraId="191D714D" w14:textId="3A9D2458" w:rsidR="00FB3618" w:rsidRPr="00CF3089" w:rsidRDefault="006F3041" w:rsidP="00CF3089">
            <w:pPr>
              <w:spacing w:line="480" w:lineRule="auto"/>
              <w:rPr>
                <w:rFonts w:ascii="Times New Roman" w:hAnsi="Times New Roman" w:cs="Times New Roman"/>
              </w:rPr>
            </w:pPr>
            <w:r>
              <w:rPr>
                <w:rFonts w:ascii="Times New Roman" w:hAnsi="Times New Roman" w:cs="Times New Roman"/>
              </w:rPr>
              <w:t>5</w:t>
            </w:r>
            <w:r w:rsidRPr="00CF3089">
              <w:rPr>
                <w:rFonts w:ascii="Times New Roman" w:hAnsi="Times New Roman" w:cs="Times New Roman"/>
              </w:rPr>
              <w:t xml:space="preserve"> </w:t>
            </w:r>
            <w:r w:rsidR="00FB3618" w:rsidRPr="00CF3089">
              <w:rPr>
                <w:rFonts w:ascii="Times New Roman" w:hAnsi="Times New Roman" w:cs="Times New Roman"/>
              </w:rPr>
              <w:t>cells (</w:t>
            </w:r>
            <w:r>
              <w:rPr>
                <w:rFonts w:ascii="Times New Roman" w:hAnsi="Times New Roman" w:cs="Times New Roman"/>
              </w:rPr>
              <w:t>8.9</w:t>
            </w:r>
            <w:r w:rsidR="00FB3618" w:rsidRPr="00CF3089">
              <w:rPr>
                <w:rFonts w:ascii="Times New Roman" w:hAnsi="Times New Roman" w:cs="Times New Roman"/>
              </w:rPr>
              <w:t>%) have expected count less than 5.</w:t>
            </w:r>
            <w:r>
              <w:rPr>
                <w:rFonts w:ascii="Times New Roman" w:hAnsi="Times New Roman" w:cs="Times New Roman"/>
                <w:sz w:val="20"/>
                <w:szCs w:val="20"/>
              </w:rPr>
              <w:t xml:space="preserve"> </w:t>
            </w:r>
            <w:r w:rsidR="00FB3618" w:rsidRPr="00CF3089">
              <w:rPr>
                <w:rFonts w:ascii="Times New Roman" w:hAnsi="Times New Roman" w:cs="Times New Roman"/>
                <w:sz w:val="20"/>
                <w:szCs w:val="20"/>
              </w:rPr>
              <w:sym w:font="Symbol" w:char="F063"/>
            </w:r>
            <w:r w:rsidR="00FB3618" w:rsidRPr="00CF3089">
              <w:rPr>
                <w:rFonts w:ascii="Times New Roman" w:hAnsi="Times New Roman" w:cs="Times New Roman"/>
                <w:sz w:val="20"/>
                <w:szCs w:val="20"/>
                <w:vertAlign w:val="superscript"/>
              </w:rPr>
              <w:t>2</w:t>
            </w:r>
            <w:r w:rsidR="00FB3618" w:rsidRPr="00CF3089">
              <w:rPr>
                <w:rFonts w:ascii="Times New Roman" w:hAnsi="Times New Roman" w:cs="Times New Roman"/>
                <w:sz w:val="20"/>
                <w:szCs w:val="20"/>
              </w:rPr>
              <w:t xml:space="preserve"> (27) = 203, </w:t>
            </w:r>
            <w:r w:rsidR="00FB3618" w:rsidRPr="00CF3089">
              <w:rPr>
                <w:rFonts w:ascii="Times New Roman" w:hAnsi="Times New Roman" w:cs="Times New Roman"/>
                <w:i/>
                <w:sz w:val="20"/>
                <w:szCs w:val="20"/>
              </w:rPr>
              <w:t xml:space="preserve">p </w:t>
            </w:r>
            <w:r w:rsidR="00FB3618" w:rsidRPr="00CF3089">
              <w:rPr>
                <w:rFonts w:ascii="Times New Roman" w:hAnsi="Times New Roman" w:cs="Times New Roman"/>
                <w:sz w:val="20"/>
                <w:szCs w:val="20"/>
              </w:rPr>
              <w:t>&lt; .001</w:t>
            </w:r>
          </w:p>
        </w:tc>
      </w:tr>
    </w:tbl>
    <w:p w14:paraId="7447E242" w14:textId="77777777" w:rsidR="00FB3618" w:rsidRPr="00CF3089" w:rsidRDefault="00FB3618" w:rsidP="00CF3089">
      <w:pPr>
        <w:spacing w:line="480" w:lineRule="auto"/>
        <w:rPr>
          <w:rFonts w:ascii="Times New Roman" w:hAnsi="Times New Roman" w:cs="Times New Roman"/>
        </w:rPr>
      </w:pPr>
    </w:p>
    <w:p w14:paraId="30795D9F" w14:textId="69B19FEC" w:rsidR="00CF3089" w:rsidRDefault="00FB3618"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F3089">
        <w:rPr>
          <w:rFonts w:ascii="Times New Roman" w:hAnsi="Times New Roman" w:cs="Times New Roman"/>
          <w:sz w:val="24"/>
          <w:szCs w:val="24"/>
        </w:rPr>
        <w:t>Many of the offences where urban women were</w:t>
      </w:r>
      <w:r w:rsidR="00BB0925">
        <w:rPr>
          <w:rFonts w:ascii="Times New Roman" w:hAnsi="Times New Roman" w:cs="Times New Roman"/>
          <w:sz w:val="24"/>
          <w:szCs w:val="24"/>
        </w:rPr>
        <w:t xml:space="preserve"> particularly</w:t>
      </w:r>
      <w:r w:rsidRPr="00CF3089">
        <w:rPr>
          <w:rFonts w:ascii="Times New Roman" w:hAnsi="Times New Roman" w:cs="Times New Roman"/>
          <w:sz w:val="24"/>
          <w:szCs w:val="24"/>
        </w:rPr>
        <w:t xml:space="preserve"> overrepresented seem to confirm Melbourne’s possession of an underworld economy (see Table </w:t>
      </w:r>
      <w:r w:rsidR="00703FF4">
        <w:rPr>
          <w:rFonts w:ascii="Times New Roman" w:hAnsi="Times New Roman" w:cs="Times New Roman"/>
          <w:sz w:val="24"/>
          <w:szCs w:val="24"/>
        </w:rPr>
        <w:t>2</w:t>
      </w:r>
      <w:r w:rsidRPr="00CF3089">
        <w:rPr>
          <w:rFonts w:ascii="Times New Roman" w:hAnsi="Times New Roman" w:cs="Times New Roman"/>
          <w:sz w:val="24"/>
          <w:szCs w:val="24"/>
        </w:rPr>
        <w:t xml:space="preserve">). While urban courts accounted for 73.3 per cent of first-time female prisoners overall, this proportion rose higher when it came to many theft offences including robbery (85.3 per cent), larceny from the person (82.9 per cent), burglary (77.3 per cent) and receiving stolen goods (76.7 per cent). </w:t>
      </w:r>
      <w:r w:rsidR="006230B9">
        <w:rPr>
          <w:rFonts w:ascii="Times New Roman" w:hAnsi="Times New Roman" w:cs="Times New Roman"/>
          <w:sz w:val="24"/>
          <w:szCs w:val="24"/>
        </w:rPr>
        <w:t xml:space="preserve">Urban rather than rural women would also find themselves imprisoned at higher rates for aiding and abetting or intent to commit a felony (81.8% to the rural 18.2%). </w:t>
      </w:r>
      <w:r w:rsidRPr="00CF3089">
        <w:rPr>
          <w:rFonts w:ascii="Times New Roman" w:hAnsi="Times New Roman" w:cs="Times New Roman"/>
          <w:sz w:val="24"/>
          <w:szCs w:val="24"/>
        </w:rPr>
        <w:t xml:space="preserve">This is in line with contemporary findings that it is property crime that most ‘closely approximates the </w:t>
      </w:r>
      <w:r w:rsidRPr="00CF3089">
        <w:rPr>
          <w:rFonts w:ascii="Times New Roman" w:hAnsi="Times New Roman" w:cs="Times New Roman"/>
          <w:sz w:val="24"/>
          <w:szCs w:val="24"/>
        </w:rPr>
        <w:lastRenderedPageBreak/>
        <w:t>conventional wisdom that crime rates tend to increase with population size and concentration’ (</w:t>
      </w:r>
      <w:r w:rsidR="00AF521E">
        <w:rPr>
          <w:rFonts w:ascii="Times New Roman" w:hAnsi="Times New Roman" w:cs="Times New Roman"/>
          <w:sz w:val="24"/>
          <w:szCs w:val="24"/>
        </w:rPr>
        <w:t xml:space="preserve">Carrington </w:t>
      </w:r>
      <w:r w:rsidR="00AF521E" w:rsidRPr="00CF3089">
        <w:rPr>
          <w:rFonts w:ascii="Times New Roman" w:hAnsi="Times New Roman" w:cs="Times New Roman"/>
          <w:sz w:val="24"/>
          <w:szCs w:val="24"/>
        </w:rPr>
        <w:t>200</w:t>
      </w:r>
      <w:r w:rsidR="00AF521E">
        <w:rPr>
          <w:rFonts w:ascii="Times New Roman" w:hAnsi="Times New Roman" w:cs="Times New Roman"/>
          <w:sz w:val="24"/>
          <w:szCs w:val="24"/>
        </w:rPr>
        <w:t>7</w:t>
      </w:r>
      <w:r w:rsidR="003A6148">
        <w:rPr>
          <w:rFonts w:ascii="Times New Roman" w:hAnsi="Times New Roman" w:cs="Times New Roman"/>
          <w:sz w:val="24"/>
          <w:szCs w:val="24"/>
        </w:rPr>
        <w:t xml:space="preserve">: </w:t>
      </w:r>
      <w:r w:rsidR="00AF521E">
        <w:rPr>
          <w:rFonts w:ascii="Times New Roman" w:hAnsi="Times New Roman" w:cs="Times New Roman"/>
          <w:sz w:val="24"/>
          <w:szCs w:val="24"/>
        </w:rPr>
        <w:t>33</w:t>
      </w:r>
      <w:r w:rsidRPr="00CF3089">
        <w:rPr>
          <w:rFonts w:ascii="Times New Roman" w:hAnsi="Times New Roman" w:cs="Times New Roman"/>
          <w:sz w:val="24"/>
          <w:szCs w:val="24"/>
        </w:rPr>
        <w:t xml:space="preserve">). The colonial city probably provided greater criminal opportunities for certain types of theft than rural areas. Robbery and larceny from the person by female offenders, for instance, was predominantly committed within the context of </w:t>
      </w:r>
      <w:r w:rsidR="00A73584">
        <w:rPr>
          <w:rFonts w:ascii="Times New Roman" w:hAnsi="Times New Roman" w:cs="Times New Roman"/>
          <w:sz w:val="24"/>
          <w:szCs w:val="24"/>
        </w:rPr>
        <w:t xml:space="preserve">sex work </w:t>
      </w:r>
      <w:r w:rsidRPr="00CF3089">
        <w:rPr>
          <w:rFonts w:ascii="Times New Roman" w:hAnsi="Times New Roman" w:cs="Times New Roman"/>
          <w:sz w:val="24"/>
          <w:szCs w:val="24"/>
        </w:rPr>
        <w:t xml:space="preserve"> (Piper 2017), which while not confined to the capital was particularly prevalent there (Frances 2007). It is possible too that – as Hogg and Carrington discovered in the modern context (2006</w:t>
      </w:r>
      <w:r w:rsidR="003A6148">
        <w:rPr>
          <w:rFonts w:ascii="Times New Roman" w:hAnsi="Times New Roman" w:cs="Times New Roman"/>
          <w:sz w:val="24"/>
          <w:szCs w:val="24"/>
        </w:rPr>
        <w:t>:</w:t>
      </w:r>
      <w:r w:rsidR="003A6148" w:rsidRPr="00CF3089">
        <w:rPr>
          <w:rFonts w:ascii="Times New Roman" w:hAnsi="Times New Roman" w:cs="Times New Roman"/>
          <w:sz w:val="24"/>
          <w:szCs w:val="24"/>
        </w:rPr>
        <w:t xml:space="preserve"> </w:t>
      </w:r>
      <w:r w:rsidRPr="00CF3089">
        <w:rPr>
          <w:rFonts w:ascii="Times New Roman" w:hAnsi="Times New Roman" w:cs="Times New Roman"/>
          <w:sz w:val="24"/>
          <w:szCs w:val="24"/>
        </w:rPr>
        <w:t>120-121) – there was a lower detection (and consequently imprisonment) rate for property offences in rural locations, especially for crimes like break-ins where police were often reliant in this period on eye-witness accounts by neighbours or passing foot traffic.</w:t>
      </w:r>
      <w:r w:rsidR="00CF3089">
        <w:rPr>
          <w:rFonts w:ascii="Times New Roman" w:hAnsi="Times New Roman" w:cs="Times New Roman"/>
          <w:sz w:val="24"/>
          <w:szCs w:val="24"/>
        </w:rPr>
        <w:t xml:space="preserve"> </w:t>
      </w:r>
      <w:r w:rsidRPr="00CF3089">
        <w:rPr>
          <w:rFonts w:ascii="Times New Roman" w:hAnsi="Times New Roman" w:cs="Times New Roman"/>
          <w:sz w:val="24"/>
          <w:szCs w:val="24"/>
        </w:rPr>
        <w:t xml:space="preserve">Closer proximity to neighbours in urban areas may have also led to higher reporting levels of other types of offences, such as threatening life or to cause harm, </w:t>
      </w:r>
      <w:r w:rsidR="00E97C00">
        <w:rPr>
          <w:rFonts w:ascii="Times New Roman" w:hAnsi="Times New Roman" w:cs="Times New Roman"/>
          <w:sz w:val="24"/>
          <w:szCs w:val="24"/>
        </w:rPr>
        <w:t>with 84.7 per cent of women imprisoned for this offence</w:t>
      </w:r>
      <w:r w:rsidRPr="004629A7">
        <w:rPr>
          <w:rFonts w:ascii="Times New Roman" w:hAnsi="Times New Roman" w:cs="Times New Roman"/>
          <w:sz w:val="24"/>
          <w:szCs w:val="24"/>
        </w:rPr>
        <w:t xml:space="preserve"> </w:t>
      </w:r>
      <w:r w:rsidR="00E97C00">
        <w:rPr>
          <w:rFonts w:ascii="Times New Roman" w:hAnsi="Times New Roman" w:cs="Times New Roman"/>
          <w:sz w:val="24"/>
          <w:szCs w:val="24"/>
        </w:rPr>
        <w:t>tried by Melbourne courts</w:t>
      </w:r>
      <w:r w:rsidRPr="00CF3089">
        <w:rPr>
          <w:rFonts w:ascii="Times New Roman" w:hAnsi="Times New Roman" w:cs="Times New Roman"/>
          <w:sz w:val="24"/>
          <w:szCs w:val="24"/>
        </w:rPr>
        <w:t xml:space="preserve">. </w:t>
      </w:r>
      <w:r w:rsidR="000449E3">
        <w:rPr>
          <w:rFonts w:ascii="Times New Roman" w:hAnsi="Times New Roman" w:cs="Times New Roman"/>
          <w:sz w:val="24"/>
          <w:szCs w:val="24"/>
        </w:rPr>
        <w:t xml:space="preserve">Large differences in rates between urban and rural offenders for some </w:t>
      </w:r>
      <w:r w:rsidR="00A11189">
        <w:rPr>
          <w:rFonts w:ascii="Times New Roman" w:hAnsi="Times New Roman" w:cs="Times New Roman"/>
          <w:sz w:val="24"/>
          <w:szCs w:val="24"/>
        </w:rPr>
        <w:t xml:space="preserve">other </w:t>
      </w:r>
      <w:r w:rsidR="000449E3">
        <w:rPr>
          <w:rFonts w:ascii="Times New Roman" w:hAnsi="Times New Roman" w:cs="Times New Roman"/>
          <w:sz w:val="24"/>
          <w:szCs w:val="24"/>
        </w:rPr>
        <w:t>offences, such as suicide (threatened or attempted) might also have been due to closer proximity to neighbours who were</w:t>
      </w:r>
      <w:r w:rsidR="00A948B4">
        <w:rPr>
          <w:rFonts w:ascii="Times New Roman" w:hAnsi="Times New Roman" w:cs="Times New Roman"/>
          <w:sz w:val="24"/>
          <w:szCs w:val="24"/>
        </w:rPr>
        <w:t xml:space="preserve"> </w:t>
      </w:r>
      <w:r w:rsidR="000D7BEB">
        <w:rPr>
          <w:rFonts w:ascii="Times New Roman" w:hAnsi="Times New Roman" w:cs="Times New Roman"/>
          <w:sz w:val="24"/>
          <w:szCs w:val="24"/>
        </w:rPr>
        <w:t>in a position</w:t>
      </w:r>
      <w:r w:rsidR="000449E3">
        <w:rPr>
          <w:rFonts w:ascii="Times New Roman" w:hAnsi="Times New Roman" w:cs="Times New Roman"/>
          <w:sz w:val="24"/>
          <w:szCs w:val="24"/>
        </w:rPr>
        <w:t xml:space="preserve"> to </w:t>
      </w:r>
      <w:r w:rsidR="000D7BEB">
        <w:rPr>
          <w:rFonts w:ascii="Times New Roman" w:hAnsi="Times New Roman" w:cs="Times New Roman"/>
          <w:sz w:val="24"/>
          <w:szCs w:val="24"/>
        </w:rPr>
        <w:t xml:space="preserve">intervene in and </w:t>
      </w:r>
      <w:r w:rsidR="000449E3">
        <w:rPr>
          <w:rFonts w:ascii="Times New Roman" w:hAnsi="Times New Roman" w:cs="Times New Roman"/>
          <w:sz w:val="24"/>
          <w:szCs w:val="24"/>
        </w:rPr>
        <w:t xml:space="preserve">report attempts at suicide in Melbourne versus in rural communities. </w:t>
      </w:r>
    </w:p>
    <w:p w14:paraId="62C0C342" w14:textId="00DC9841" w:rsidR="00FB3618" w:rsidRPr="00CF3089" w:rsidRDefault="00CF3089"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FB3618" w:rsidRPr="00CF3089">
        <w:rPr>
          <w:rFonts w:ascii="Times New Roman" w:hAnsi="Times New Roman" w:cs="Times New Roman"/>
          <w:sz w:val="24"/>
          <w:szCs w:val="24"/>
        </w:rPr>
        <w:t xml:space="preserve">The public nature of working-class life in colonial Melbourne and its possession of a street subculture may have likewise influenced the slightly elevated proportions of urban women first imprisoned for vagrancy (77.2 per cent) or disorderly conduct offences (77 per cent). These were offences routinely used to police </w:t>
      </w:r>
      <w:r w:rsidR="00A73584">
        <w:rPr>
          <w:rFonts w:ascii="Times New Roman" w:hAnsi="Times New Roman" w:cs="Times New Roman"/>
          <w:sz w:val="24"/>
          <w:szCs w:val="24"/>
        </w:rPr>
        <w:t xml:space="preserve">female sex workers </w:t>
      </w:r>
      <w:r w:rsidR="00FB3618" w:rsidRPr="00CF3089">
        <w:rPr>
          <w:rFonts w:ascii="Times New Roman" w:hAnsi="Times New Roman" w:cs="Times New Roman"/>
          <w:sz w:val="24"/>
          <w:szCs w:val="24"/>
        </w:rPr>
        <w:t xml:space="preserve"> (Frances 2007), </w:t>
      </w:r>
      <w:r w:rsidR="00E97C00">
        <w:rPr>
          <w:rFonts w:ascii="Times New Roman" w:hAnsi="Times New Roman" w:cs="Times New Roman"/>
          <w:sz w:val="24"/>
          <w:szCs w:val="24"/>
        </w:rPr>
        <w:t>and appear to have been deployed in this capacity far more often</w:t>
      </w:r>
      <w:r w:rsidR="00FB3618" w:rsidRPr="00CF3089">
        <w:rPr>
          <w:rFonts w:ascii="Times New Roman" w:hAnsi="Times New Roman" w:cs="Times New Roman"/>
          <w:sz w:val="24"/>
          <w:szCs w:val="24"/>
        </w:rPr>
        <w:t xml:space="preserve"> than </w:t>
      </w:r>
      <w:r w:rsidR="00E97C00">
        <w:rPr>
          <w:rFonts w:ascii="Times New Roman" w:hAnsi="Times New Roman" w:cs="Times New Roman"/>
          <w:sz w:val="24"/>
          <w:szCs w:val="24"/>
        </w:rPr>
        <w:t>specific</w:t>
      </w:r>
      <w:r w:rsidR="00FB3618" w:rsidRPr="00CF3089">
        <w:rPr>
          <w:rFonts w:ascii="Times New Roman" w:hAnsi="Times New Roman" w:cs="Times New Roman"/>
          <w:sz w:val="24"/>
          <w:szCs w:val="24"/>
        </w:rPr>
        <w:t xml:space="preserve"> </w:t>
      </w:r>
      <w:r w:rsidR="00A73584">
        <w:rPr>
          <w:rFonts w:ascii="Times New Roman" w:hAnsi="Times New Roman" w:cs="Times New Roman"/>
          <w:sz w:val="24"/>
          <w:szCs w:val="24"/>
        </w:rPr>
        <w:t xml:space="preserve">sex work related </w:t>
      </w:r>
      <w:r w:rsidR="00FB3618" w:rsidRPr="00CF3089">
        <w:rPr>
          <w:rFonts w:ascii="Times New Roman" w:hAnsi="Times New Roman" w:cs="Times New Roman"/>
          <w:sz w:val="24"/>
          <w:szCs w:val="24"/>
        </w:rPr>
        <w:t xml:space="preserve"> offences</w:t>
      </w:r>
      <w:r w:rsidR="00E97C00">
        <w:rPr>
          <w:rFonts w:ascii="Times New Roman" w:hAnsi="Times New Roman" w:cs="Times New Roman"/>
          <w:sz w:val="24"/>
          <w:szCs w:val="24"/>
        </w:rPr>
        <w:t xml:space="preserve"> </w:t>
      </w:r>
      <w:r w:rsidR="00FB3618" w:rsidRPr="00CF3089">
        <w:rPr>
          <w:rFonts w:ascii="Times New Roman" w:hAnsi="Times New Roman" w:cs="Times New Roman"/>
          <w:sz w:val="24"/>
          <w:szCs w:val="24"/>
        </w:rPr>
        <w:t xml:space="preserve">– such as soliciting or brothel-keeping – </w:t>
      </w:r>
      <w:r w:rsidR="00E97C00">
        <w:rPr>
          <w:rFonts w:ascii="Times New Roman" w:hAnsi="Times New Roman" w:cs="Times New Roman"/>
          <w:sz w:val="24"/>
          <w:szCs w:val="24"/>
        </w:rPr>
        <w:t>for which</w:t>
      </w:r>
      <w:r w:rsidR="00E97C00" w:rsidRPr="004629A7">
        <w:rPr>
          <w:rFonts w:ascii="Times New Roman" w:hAnsi="Times New Roman" w:cs="Times New Roman"/>
          <w:sz w:val="24"/>
          <w:szCs w:val="24"/>
        </w:rPr>
        <w:t xml:space="preserve"> </w:t>
      </w:r>
      <w:r w:rsidR="00FB3618" w:rsidRPr="004629A7">
        <w:rPr>
          <w:rFonts w:ascii="Times New Roman" w:hAnsi="Times New Roman" w:cs="Times New Roman"/>
          <w:sz w:val="24"/>
          <w:szCs w:val="24"/>
        </w:rPr>
        <w:t xml:space="preserve">urban women were </w:t>
      </w:r>
      <w:r w:rsidR="00E97C00">
        <w:rPr>
          <w:rFonts w:ascii="Times New Roman" w:hAnsi="Times New Roman" w:cs="Times New Roman"/>
          <w:sz w:val="24"/>
          <w:szCs w:val="24"/>
        </w:rPr>
        <w:t>less</w:t>
      </w:r>
      <w:r w:rsidR="0035010E">
        <w:rPr>
          <w:rFonts w:ascii="Times New Roman" w:hAnsi="Times New Roman" w:cs="Times New Roman"/>
          <w:sz w:val="24"/>
          <w:szCs w:val="24"/>
        </w:rPr>
        <w:t xml:space="preserve"> strongly represented</w:t>
      </w:r>
      <w:r w:rsidR="00E97C00">
        <w:rPr>
          <w:rFonts w:ascii="Times New Roman" w:hAnsi="Times New Roman" w:cs="Times New Roman"/>
          <w:sz w:val="24"/>
          <w:szCs w:val="24"/>
        </w:rPr>
        <w:t xml:space="preserve"> in the dataset</w:t>
      </w:r>
      <w:r w:rsidR="00FB3618" w:rsidRPr="00CF3089">
        <w:rPr>
          <w:rFonts w:ascii="Times New Roman" w:hAnsi="Times New Roman" w:cs="Times New Roman"/>
          <w:sz w:val="24"/>
          <w:szCs w:val="24"/>
        </w:rPr>
        <w:t xml:space="preserve">. On the other hand, historically as today </w:t>
      </w:r>
      <w:r w:rsidR="00671ABB">
        <w:rPr>
          <w:rFonts w:ascii="Times New Roman" w:hAnsi="Times New Roman" w:cs="Times New Roman"/>
          <w:sz w:val="24"/>
          <w:szCs w:val="24"/>
        </w:rPr>
        <w:t>homelessness was also a genuine problem</w:t>
      </w:r>
      <w:r w:rsidR="00FB3618" w:rsidRPr="00CF3089">
        <w:rPr>
          <w:rFonts w:ascii="Times New Roman" w:hAnsi="Times New Roman" w:cs="Times New Roman"/>
          <w:sz w:val="24"/>
          <w:szCs w:val="24"/>
        </w:rPr>
        <w:t xml:space="preserve">, with colonial commentators observing that Melbourne was inhabited by high numbers of female beggars, most of whom were concentrated among the very young </w:t>
      </w:r>
      <w:r w:rsidR="00FB3618" w:rsidRPr="00CF3089">
        <w:rPr>
          <w:rFonts w:ascii="Times New Roman" w:hAnsi="Times New Roman" w:cs="Times New Roman"/>
          <w:sz w:val="24"/>
          <w:szCs w:val="24"/>
        </w:rPr>
        <w:lastRenderedPageBreak/>
        <w:t xml:space="preserve">and very old, but who could be found resident in the city year after year (Freeman 1888, 133). Conversely, Julie Kimber has suggested that in rural towns in Australia vagrancy charges were historically used as a means of moving ‘problem’ women – </w:t>
      </w:r>
      <w:r w:rsidR="00A73584">
        <w:rPr>
          <w:rFonts w:ascii="Times New Roman" w:hAnsi="Times New Roman" w:cs="Times New Roman"/>
          <w:sz w:val="24"/>
          <w:szCs w:val="24"/>
        </w:rPr>
        <w:t xml:space="preserve">namely, </w:t>
      </w:r>
      <w:r w:rsidR="00FB3618" w:rsidRPr="00CF3089">
        <w:rPr>
          <w:rFonts w:ascii="Times New Roman" w:hAnsi="Times New Roman" w:cs="Times New Roman"/>
          <w:sz w:val="24"/>
          <w:szCs w:val="24"/>
        </w:rPr>
        <w:t xml:space="preserve">drunkards or </w:t>
      </w:r>
      <w:r w:rsidR="00A73584">
        <w:rPr>
          <w:rFonts w:ascii="Times New Roman" w:hAnsi="Times New Roman" w:cs="Times New Roman"/>
          <w:sz w:val="24"/>
          <w:szCs w:val="24"/>
        </w:rPr>
        <w:t>sex worker</w:t>
      </w:r>
      <w:r w:rsidR="00FB3618" w:rsidRPr="00CF3089">
        <w:rPr>
          <w:rFonts w:ascii="Times New Roman" w:hAnsi="Times New Roman" w:cs="Times New Roman"/>
          <w:sz w:val="24"/>
          <w:szCs w:val="24"/>
        </w:rPr>
        <w:t>s – on to other areas (2010).</w:t>
      </w:r>
    </w:p>
    <w:p w14:paraId="180FA467" w14:textId="599A5425" w:rsidR="00FB3618" w:rsidRPr="00CF3089" w:rsidRDefault="00FB3618"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F3089">
        <w:rPr>
          <w:rFonts w:ascii="Times New Roman" w:hAnsi="Times New Roman" w:cs="Times New Roman"/>
          <w:sz w:val="24"/>
          <w:szCs w:val="24"/>
        </w:rPr>
        <w:tab/>
      </w:r>
      <w:r w:rsidRPr="004629A7">
        <w:rPr>
          <w:rFonts w:ascii="Times New Roman" w:hAnsi="Times New Roman" w:cs="Times New Roman"/>
          <w:sz w:val="24"/>
          <w:szCs w:val="24"/>
        </w:rPr>
        <w:t>Yet while women of Melbourne’s criminal underclass contributed disproportionately to</w:t>
      </w:r>
      <w:r w:rsidR="00130A22" w:rsidRPr="004629A7">
        <w:rPr>
          <w:rFonts w:ascii="Times New Roman" w:hAnsi="Times New Roman" w:cs="Times New Roman"/>
          <w:sz w:val="24"/>
          <w:szCs w:val="24"/>
        </w:rPr>
        <w:t xml:space="preserve"> </w:t>
      </w:r>
      <w:r w:rsidR="007E70AA" w:rsidRPr="004629A7">
        <w:rPr>
          <w:rFonts w:ascii="Times New Roman" w:hAnsi="Times New Roman" w:cs="Times New Roman"/>
          <w:sz w:val="24"/>
          <w:szCs w:val="24"/>
        </w:rPr>
        <w:t>offending overall</w:t>
      </w:r>
      <w:r w:rsidRPr="004629A7">
        <w:rPr>
          <w:rFonts w:ascii="Times New Roman" w:hAnsi="Times New Roman" w:cs="Times New Roman"/>
          <w:sz w:val="24"/>
          <w:szCs w:val="24"/>
        </w:rPr>
        <w:t xml:space="preserve">, there were also </w:t>
      </w:r>
      <w:r w:rsidR="007E70AA" w:rsidRPr="004629A7">
        <w:rPr>
          <w:rFonts w:ascii="Times New Roman" w:hAnsi="Times New Roman" w:cs="Times New Roman"/>
          <w:sz w:val="24"/>
          <w:szCs w:val="24"/>
        </w:rPr>
        <w:t xml:space="preserve">particular </w:t>
      </w:r>
      <w:r w:rsidRPr="004629A7">
        <w:rPr>
          <w:rFonts w:ascii="Times New Roman" w:hAnsi="Times New Roman" w:cs="Times New Roman"/>
          <w:sz w:val="24"/>
          <w:szCs w:val="24"/>
        </w:rPr>
        <w:t>offences where elevated proportions of female prisoners had been sentenced by rural courts</w:t>
      </w:r>
      <w:r w:rsidRPr="00130A22">
        <w:rPr>
          <w:rFonts w:ascii="Times New Roman" w:hAnsi="Times New Roman" w:cs="Times New Roman"/>
          <w:sz w:val="24"/>
          <w:szCs w:val="24"/>
        </w:rPr>
        <w:t>.</w:t>
      </w:r>
      <w:r w:rsidRPr="00CF3089">
        <w:rPr>
          <w:rFonts w:ascii="Times New Roman" w:hAnsi="Times New Roman" w:cs="Times New Roman"/>
          <w:sz w:val="24"/>
          <w:szCs w:val="24"/>
        </w:rPr>
        <w:t xml:space="preserve"> Whereas only 26.7 per cent of the total female prisoner sample had first been sentenced by courts outside Melbourne, </w:t>
      </w:r>
      <w:r w:rsidR="00790505">
        <w:rPr>
          <w:rFonts w:ascii="Times New Roman" w:hAnsi="Times New Roman" w:cs="Times New Roman"/>
          <w:sz w:val="24"/>
          <w:szCs w:val="24"/>
        </w:rPr>
        <w:t>their numbers</w:t>
      </w:r>
      <w:r w:rsidR="00790505" w:rsidRPr="00CF3089">
        <w:rPr>
          <w:rFonts w:ascii="Times New Roman" w:hAnsi="Times New Roman" w:cs="Times New Roman"/>
          <w:sz w:val="24"/>
          <w:szCs w:val="24"/>
        </w:rPr>
        <w:t xml:space="preserve"> </w:t>
      </w:r>
      <w:r w:rsidRPr="00CF3089">
        <w:rPr>
          <w:rFonts w:ascii="Times New Roman" w:hAnsi="Times New Roman" w:cs="Times New Roman"/>
          <w:sz w:val="24"/>
          <w:szCs w:val="24"/>
        </w:rPr>
        <w:t xml:space="preserve">rose significantly for those entering prison for the following crimes: illegally selling liquor (64.7 per cent); concealment of birth (62.9 per cent); stock offences (53.8 per cent); arson (54.5 per cent); obscene, indecent or abusive language (49.6 per cent); consorting, being or keeping house frequented by thieves or suspected persons (43.7 per cent); offences against justice (39.5 per cent); </w:t>
      </w:r>
      <w:r w:rsidR="00A73584">
        <w:rPr>
          <w:rFonts w:ascii="Times New Roman" w:hAnsi="Times New Roman" w:cs="Times New Roman"/>
          <w:sz w:val="24"/>
          <w:szCs w:val="24"/>
        </w:rPr>
        <w:t xml:space="preserve">sex work related </w:t>
      </w:r>
      <w:r w:rsidRPr="00CF3089">
        <w:rPr>
          <w:rFonts w:ascii="Times New Roman" w:hAnsi="Times New Roman" w:cs="Times New Roman"/>
          <w:sz w:val="24"/>
          <w:szCs w:val="24"/>
        </w:rPr>
        <w:t xml:space="preserve"> offences (38.7 per cent); drunkenness (38.6 per cent); fraud offences (35.7 per</w:t>
      </w:r>
      <w:r w:rsidR="00130A22">
        <w:rPr>
          <w:rFonts w:ascii="Times New Roman" w:hAnsi="Times New Roman" w:cs="Times New Roman"/>
          <w:sz w:val="24"/>
          <w:szCs w:val="24"/>
        </w:rPr>
        <w:t xml:space="preserve"> </w:t>
      </w:r>
      <w:r w:rsidRPr="00CF3089">
        <w:rPr>
          <w:rFonts w:ascii="Times New Roman" w:hAnsi="Times New Roman" w:cs="Times New Roman"/>
          <w:sz w:val="24"/>
          <w:szCs w:val="24"/>
        </w:rPr>
        <w:t>cent); suicide (31.6 per cent); murder or manslaughter (31.3 per cent); assault/wounding (30.1 per cent); and damaging property (30 per cent).</w:t>
      </w:r>
    </w:p>
    <w:p w14:paraId="2B22CCB3" w14:textId="2928CE89" w:rsidR="00FB3618" w:rsidRPr="00CF3089" w:rsidRDefault="00FB3618"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F3089">
        <w:rPr>
          <w:rFonts w:ascii="Times New Roman" w:hAnsi="Times New Roman" w:cs="Times New Roman"/>
          <w:sz w:val="24"/>
          <w:szCs w:val="24"/>
        </w:rPr>
        <w:tab/>
        <w:t xml:space="preserve">Some of these offences speak to the particular criminal opportunities of rural environments. For instance, the crime with the highest proportion of rural offenders – selling illegal liquor – was an understandable occurrence in remote areas with fewer established hotels. Perceptions of hospitality and food preparation as being feminine qualities and pursuits meant many women in colonial Victoria were able to find employment in either legitimate hotel-keeping (Wright </w:t>
      </w:r>
      <w:r w:rsidR="00C929B4">
        <w:rPr>
          <w:rFonts w:ascii="Times New Roman" w:hAnsi="Times New Roman" w:cs="Times New Roman"/>
          <w:sz w:val="24"/>
          <w:szCs w:val="24"/>
        </w:rPr>
        <w:t>2003</w:t>
      </w:r>
      <w:r w:rsidRPr="00CF3089">
        <w:rPr>
          <w:rFonts w:ascii="Times New Roman" w:hAnsi="Times New Roman" w:cs="Times New Roman"/>
          <w:sz w:val="24"/>
          <w:szCs w:val="24"/>
        </w:rPr>
        <w:t>), or, like bushranger Ned Kelly’s mother Ellen, in more illicit sly-grog-selling (</w:t>
      </w:r>
      <w:r w:rsidR="00C929B4">
        <w:rPr>
          <w:rFonts w:ascii="Times New Roman" w:hAnsi="Times New Roman" w:cs="Times New Roman"/>
          <w:sz w:val="24"/>
          <w:szCs w:val="24"/>
        </w:rPr>
        <w:t>Lake 1985</w:t>
      </w:r>
      <w:r w:rsidRPr="00CF3089">
        <w:rPr>
          <w:rFonts w:ascii="Times New Roman" w:hAnsi="Times New Roman" w:cs="Times New Roman"/>
          <w:sz w:val="24"/>
          <w:szCs w:val="24"/>
        </w:rPr>
        <w:t>). Sly grog shanties were particularly common on the goldfields, with diarist Samuel Curtis Candler recounting an anecdote in the late 1860s about a particularly colourful character who used to go around the diggings with a two-gallon tin rum tank disguised under her dress as a pregnancy belly (1867</w:t>
      </w:r>
      <w:r w:rsidR="003A6148">
        <w:rPr>
          <w:rFonts w:ascii="Times New Roman" w:hAnsi="Times New Roman" w:cs="Times New Roman"/>
          <w:sz w:val="24"/>
          <w:szCs w:val="24"/>
        </w:rPr>
        <w:t>:</w:t>
      </w:r>
      <w:r w:rsidR="003A6148" w:rsidRPr="00CF3089">
        <w:rPr>
          <w:rFonts w:ascii="Times New Roman" w:hAnsi="Times New Roman" w:cs="Times New Roman"/>
          <w:sz w:val="24"/>
          <w:szCs w:val="24"/>
        </w:rPr>
        <w:t xml:space="preserve"> </w:t>
      </w:r>
      <w:r w:rsidRPr="00CF3089">
        <w:rPr>
          <w:rFonts w:ascii="Times New Roman" w:hAnsi="Times New Roman" w:cs="Times New Roman"/>
          <w:sz w:val="24"/>
          <w:szCs w:val="24"/>
        </w:rPr>
        <w:t xml:space="preserve">126). </w:t>
      </w:r>
    </w:p>
    <w:p w14:paraId="7113BB3A" w14:textId="5491B7AA" w:rsidR="00FB3618" w:rsidRPr="00CF3089" w:rsidRDefault="00FB3618"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F3089">
        <w:rPr>
          <w:rFonts w:ascii="Times New Roman" w:hAnsi="Times New Roman" w:cs="Times New Roman"/>
          <w:sz w:val="24"/>
          <w:szCs w:val="24"/>
        </w:rPr>
        <w:lastRenderedPageBreak/>
        <w:tab/>
        <w:t>Likewise, while many forms of theft were linked to the urban centre, it makes sense that stock offences would be concentrated more in rural locations where there was more cattle, sheep, horses and other animals to steal</w:t>
      </w:r>
      <w:r w:rsidR="00085CDF">
        <w:rPr>
          <w:rFonts w:ascii="Times New Roman" w:hAnsi="Times New Roman" w:cs="Times New Roman"/>
          <w:sz w:val="24"/>
          <w:szCs w:val="24"/>
        </w:rPr>
        <w:t xml:space="preserve"> (although the low number of women convicted overall of this predominantly male-perpetrated offence means that from </w:t>
      </w:r>
      <w:r w:rsidR="00B27508">
        <w:rPr>
          <w:rFonts w:ascii="Times New Roman" w:hAnsi="Times New Roman" w:cs="Times New Roman"/>
          <w:sz w:val="24"/>
          <w:szCs w:val="24"/>
        </w:rPr>
        <w:t>a frequency</w:t>
      </w:r>
      <w:r w:rsidR="00085CDF">
        <w:rPr>
          <w:rFonts w:ascii="Times New Roman" w:hAnsi="Times New Roman" w:cs="Times New Roman"/>
          <w:sz w:val="24"/>
          <w:szCs w:val="24"/>
        </w:rPr>
        <w:t xml:space="preserve"> rather than a </w:t>
      </w:r>
      <w:r w:rsidR="00B27508">
        <w:rPr>
          <w:rFonts w:ascii="Times New Roman" w:hAnsi="Times New Roman" w:cs="Times New Roman"/>
          <w:sz w:val="24"/>
          <w:szCs w:val="24"/>
        </w:rPr>
        <w:t xml:space="preserve">proportional </w:t>
      </w:r>
      <w:r w:rsidR="00085CDF">
        <w:rPr>
          <w:rFonts w:ascii="Times New Roman" w:hAnsi="Times New Roman" w:cs="Times New Roman"/>
          <w:sz w:val="24"/>
          <w:szCs w:val="24"/>
        </w:rPr>
        <w:t xml:space="preserve">perspective there was little difference </w:t>
      </w:r>
      <w:r w:rsidR="007A0E4C">
        <w:rPr>
          <w:rFonts w:ascii="Times New Roman" w:hAnsi="Times New Roman" w:cs="Times New Roman"/>
          <w:sz w:val="24"/>
          <w:szCs w:val="24"/>
        </w:rPr>
        <w:t>between urban and rural offending rates amongst women</w:t>
      </w:r>
      <w:r w:rsidR="00085CDF">
        <w:rPr>
          <w:rFonts w:ascii="Times New Roman" w:hAnsi="Times New Roman" w:cs="Times New Roman"/>
          <w:sz w:val="24"/>
          <w:szCs w:val="24"/>
        </w:rPr>
        <w:t>)</w:t>
      </w:r>
      <w:r w:rsidRPr="00CF3089">
        <w:rPr>
          <w:rFonts w:ascii="Times New Roman" w:hAnsi="Times New Roman" w:cs="Times New Roman"/>
          <w:sz w:val="24"/>
          <w:szCs w:val="24"/>
        </w:rPr>
        <w:t xml:space="preserve">. The increased proportion of rural women among those imprisoned for fraud offences presents more of a puzzle. Possibly this was connected to a greater willingness among rural business-owners to cash cheques or provide goods on credit, inevitably creating opportunities for some individuals to present forgeries or obtain items under false </w:t>
      </w:r>
      <w:r w:rsidR="00BE0DBA" w:rsidRPr="00CF3089">
        <w:rPr>
          <w:rFonts w:ascii="Times New Roman" w:hAnsi="Times New Roman" w:cs="Times New Roman"/>
          <w:sz w:val="24"/>
          <w:szCs w:val="24"/>
        </w:rPr>
        <w:t>pretences</w:t>
      </w:r>
      <w:r w:rsidRPr="00CF3089">
        <w:rPr>
          <w:rFonts w:ascii="Times New Roman" w:hAnsi="Times New Roman" w:cs="Times New Roman"/>
          <w:sz w:val="24"/>
          <w:szCs w:val="24"/>
        </w:rPr>
        <w:t xml:space="preserve">. On the other hand, the less anonymous nature of smaller towns perhaps meant people who practised such deceptions simply found it less easy to evade detection.   </w:t>
      </w:r>
    </w:p>
    <w:p w14:paraId="1D0295DC" w14:textId="57F9D609" w:rsidR="00FB3618" w:rsidRPr="00CF3089" w:rsidRDefault="00FB3618"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F3089">
        <w:rPr>
          <w:rFonts w:ascii="Times New Roman" w:hAnsi="Times New Roman" w:cs="Times New Roman"/>
          <w:sz w:val="24"/>
          <w:szCs w:val="24"/>
        </w:rPr>
        <w:tab/>
        <w:t xml:space="preserve"> Lack of anonymity in rural areas also likely increased both the reputational threat posed by deviant behaviour, and the likelihood such behaviour would ultimately be uncovered. This would explain why rural women accounted for the majority of those imprisoned for concealment of birth, a charge usually brought against women who had failed to register the births of illegitimate children</w:t>
      </w:r>
      <w:r w:rsidR="00AC6EB9">
        <w:rPr>
          <w:rFonts w:ascii="Times New Roman" w:hAnsi="Times New Roman" w:cs="Times New Roman"/>
          <w:sz w:val="24"/>
          <w:szCs w:val="24"/>
        </w:rPr>
        <w:t xml:space="preserve"> (Goc 2013</w:t>
      </w:r>
      <w:r w:rsidR="003A6148">
        <w:rPr>
          <w:rFonts w:ascii="Times New Roman" w:hAnsi="Times New Roman" w:cs="Times New Roman"/>
          <w:sz w:val="24"/>
          <w:szCs w:val="24"/>
        </w:rPr>
        <w:t xml:space="preserve">: </w:t>
      </w:r>
      <w:r w:rsidR="00AC6EB9">
        <w:rPr>
          <w:rFonts w:ascii="Times New Roman" w:hAnsi="Times New Roman" w:cs="Times New Roman"/>
          <w:sz w:val="24"/>
          <w:szCs w:val="24"/>
        </w:rPr>
        <w:t>3)</w:t>
      </w:r>
      <w:r w:rsidRPr="00CF3089">
        <w:rPr>
          <w:rFonts w:ascii="Times New Roman" w:hAnsi="Times New Roman" w:cs="Times New Roman"/>
          <w:sz w:val="24"/>
          <w:szCs w:val="24"/>
        </w:rPr>
        <w:t>. It often acted as an alternative charge to infanticide where women alleged a child had been stillborn. Other forms of female deviance, such as drunkenness and obscene language, may likewise have been less tolerated in close-knit regional centres, which were structured around institutions and symbols of civil and moral authority in an effort to curb the ‘loose’ behaviour associated with the rough-and-tumble settlements on the colonial margins</w:t>
      </w:r>
      <w:r w:rsidR="00703FF4">
        <w:rPr>
          <w:rFonts w:ascii="Times New Roman" w:hAnsi="Times New Roman" w:cs="Times New Roman"/>
          <w:sz w:val="24"/>
          <w:szCs w:val="24"/>
        </w:rPr>
        <w:t xml:space="preserve">. </w:t>
      </w:r>
      <w:r w:rsidRPr="00CF3089">
        <w:rPr>
          <w:rFonts w:ascii="Times New Roman" w:hAnsi="Times New Roman" w:cs="Times New Roman"/>
          <w:sz w:val="24"/>
          <w:szCs w:val="24"/>
        </w:rPr>
        <w:t>Women within rural communities may have also been less able to pay the fines usually offered as alternatives to imprisonment in relation to such offences, either because their support networks were not as extensive as urban women or because there were less independent economic opportunities.</w:t>
      </w:r>
    </w:p>
    <w:p w14:paraId="09E8BBD5" w14:textId="3DAA3EFB" w:rsidR="005A1869" w:rsidRDefault="00FB3618"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F3089">
        <w:rPr>
          <w:rFonts w:ascii="Times New Roman" w:hAnsi="Times New Roman" w:cs="Times New Roman"/>
          <w:sz w:val="24"/>
          <w:szCs w:val="24"/>
        </w:rPr>
        <w:tab/>
        <w:t xml:space="preserve">The need to enforce order onto the chaos of the frontier potentially also influenced the </w:t>
      </w:r>
      <w:r w:rsidRPr="00CF3089">
        <w:rPr>
          <w:rFonts w:ascii="Times New Roman" w:hAnsi="Times New Roman" w:cs="Times New Roman"/>
          <w:sz w:val="24"/>
          <w:szCs w:val="24"/>
        </w:rPr>
        <w:lastRenderedPageBreak/>
        <w:t>policing of interpersonal violence, at least around non-fatal assaults.</w:t>
      </w:r>
      <w:r w:rsidR="00BE0DBA">
        <w:rPr>
          <w:rFonts w:ascii="Times New Roman" w:hAnsi="Times New Roman" w:cs="Times New Roman"/>
          <w:sz w:val="24"/>
          <w:szCs w:val="24"/>
        </w:rPr>
        <w:t xml:space="preserve"> Police in rural Victoria were different to their urban counterparts, with a more paramilitary model being employed outside  Melbourne. The law was also upheld in a very selective fashion by rural Victorian police (McQuilton 1990). </w:t>
      </w:r>
      <w:r w:rsidR="005A1869">
        <w:rPr>
          <w:rFonts w:ascii="Times New Roman" w:hAnsi="Times New Roman" w:cs="Times New Roman"/>
          <w:sz w:val="24"/>
          <w:szCs w:val="24"/>
        </w:rPr>
        <w:t>T</w:t>
      </w:r>
      <w:r w:rsidR="00C359B9">
        <w:rPr>
          <w:rFonts w:ascii="Times New Roman" w:hAnsi="Times New Roman" w:cs="Times New Roman"/>
          <w:sz w:val="24"/>
          <w:szCs w:val="24"/>
        </w:rPr>
        <w:t xml:space="preserve">his did not translate </w:t>
      </w:r>
      <w:r w:rsidR="00813AEA">
        <w:rPr>
          <w:rFonts w:ascii="Times New Roman" w:hAnsi="Times New Roman" w:cs="Times New Roman"/>
          <w:sz w:val="24"/>
          <w:szCs w:val="24"/>
        </w:rPr>
        <w:t>in</w:t>
      </w:r>
      <w:r w:rsidR="00C359B9">
        <w:rPr>
          <w:rFonts w:ascii="Times New Roman" w:hAnsi="Times New Roman" w:cs="Times New Roman"/>
          <w:sz w:val="24"/>
          <w:szCs w:val="24"/>
        </w:rPr>
        <w:t xml:space="preserve">to an increased imprisonment of non-white women </w:t>
      </w:r>
      <w:r w:rsidR="00813AEA">
        <w:rPr>
          <w:rFonts w:ascii="Times New Roman" w:hAnsi="Times New Roman" w:cs="Times New Roman"/>
          <w:sz w:val="24"/>
          <w:szCs w:val="24"/>
        </w:rPr>
        <w:t>in the way that it sometimes did for non-white men</w:t>
      </w:r>
      <w:r w:rsidR="00C359B9">
        <w:rPr>
          <w:rFonts w:ascii="Times New Roman" w:hAnsi="Times New Roman" w:cs="Times New Roman"/>
          <w:sz w:val="24"/>
          <w:szCs w:val="24"/>
        </w:rPr>
        <w:t xml:space="preserve">. </w:t>
      </w:r>
      <w:r w:rsidR="005A1869">
        <w:rPr>
          <w:rFonts w:ascii="Times New Roman" w:hAnsi="Times New Roman" w:cs="Times New Roman"/>
          <w:sz w:val="24"/>
          <w:szCs w:val="24"/>
        </w:rPr>
        <w:t xml:space="preserve">Only four female prisoners in the sample were identified as Indigenous, although some others </w:t>
      </w:r>
      <w:r w:rsidR="00F309FA">
        <w:rPr>
          <w:rFonts w:ascii="Times New Roman" w:hAnsi="Times New Roman" w:cs="Times New Roman"/>
          <w:sz w:val="24"/>
          <w:szCs w:val="24"/>
        </w:rPr>
        <w:t>may also have had Aboriginal heritage</w:t>
      </w:r>
      <w:r w:rsidR="00813AEA">
        <w:rPr>
          <w:rFonts w:ascii="Times New Roman" w:hAnsi="Times New Roman" w:cs="Times New Roman"/>
          <w:sz w:val="24"/>
          <w:szCs w:val="24"/>
        </w:rPr>
        <w:t xml:space="preserve"> (Piper and Nagy, forthcoming 2018)</w:t>
      </w:r>
      <w:r w:rsidR="00C359B9">
        <w:rPr>
          <w:rFonts w:ascii="Times New Roman" w:hAnsi="Times New Roman" w:cs="Times New Roman"/>
          <w:sz w:val="24"/>
          <w:szCs w:val="24"/>
        </w:rPr>
        <w:t>. As Grant (2014)</w:t>
      </w:r>
      <w:r w:rsidR="005A1869">
        <w:rPr>
          <w:rFonts w:ascii="Times New Roman" w:hAnsi="Times New Roman" w:cs="Times New Roman"/>
          <w:sz w:val="24"/>
          <w:szCs w:val="24"/>
        </w:rPr>
        <w:t xml:space="preserve"> has explored,</w:t>
      </w:r>
      <w:r w:rsidR="00C359B9">
        <w:rPr>
          <w:rFonts w:ascii="Times New Roman" w:hAnsi="Times New Roman" w:cs="Times New Roman"/>
          <w:sz w:val="24"/>
          <w:szCs w:val="24"/>
        </w:rPr>
        <w:t xml:space="preserve"> few Aboriginal women were jailed during this period, unlike Indigenous men.</w:t>
      </w:r>
      <w:r w:rsidR="00B716F7">
        <w:rPr>
          <w:rFonts w:ascii="Times New Roman" w:hAnsi="Times New Roman" w:cs="Times New Roman"/>
          <w:sz w:val="24"/>
          <w:szCs w:val="24"/>
        </w:rPr>
        <w:t xml:space="preserve">. </w:t>
      </w:r>
    </w:p>
    <w:p w14:paraId="1F369309" w14:textId="473EE665" w:rsidR="00FB3618" w:rsidRDefault="005A1869"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FB3618" w:rsidRPr="00CF3089">
        <w:rPr>
          <w:rFonts w:ascii="Times New Roman" w:hAnsi="Times New Roman" w:cs="Times New Roman"/>
          <w:sz w:val="24"/>
          <w:szCs w:val="24"/>
        </w:rPr>
        <w:t xml:space="preserve">However, </w:t>
      </w:r>
      <w:r w:rsidR="00DD5462">
        <w:rPr>
          <w:rFonts w:ascii="Times New Roman" w:hAnsi="Times New Roman" w:cs="Times New Roman"/>
          <w:sz w:val="24"/>
          <w:szCs w:val="24"/>
        </w:rPr>
        <w:t>it is noticeable that the imprisonment rate of rural women for both assaults and</w:t>
      </w:r>
      <w:r w:rsidR="00FB3618" w:rsidRPr="00CF3089">
        <w:rPr>
          <w:rFonts w:ascii="Times New Roman" w:hAnsi="Times New Roman" w:cs="Times New Roman"/>
          <w:sz w:val="24"/>
          <w:szCs w:val="24"/>
        </w:rPr>
        <w:t xml:space="preserve"> homicide – a crime unlikely to be subject to selective policing – </w:t>
      </w:r>
      <w:r w:rsidR="00DD5462">
        <w:rPr>
          <w:rFonts w:ascii="Times New Roman" w:hAnsi="Times New Roman" w:cs="Times New Roman"/>
          <w:sz w:val="24"/>
          <w:szCs w:val="24"/>
        </w:rPr>
        <w:t xml:space="preserve">was higher than the general imprisonment of rural women (although still underrepresented compared to the </w:t>
      </w:r>
      <w:r w:rsidR="00E609A0">
        <w:rPr>
          <w:rFonts w:ascii="Times New Roman" w:hAnsi="Times New Roman" w:cs="Times New Roman"/>
          <w:sz w:val="24"/>
          <w:szCs w:val="24"/>
        </w:rPr>
        <w:t>overall female population)</w:t>
      </w:r>
      <w:r w:rsidR="00FB3618" w:rsidRPr="00CF3089">
        <w:rPr>
          <w:rFonts w:ascii="Times New Roman" w:hAnsi="Times New Roman" w:cs="Times New Roman"/>
          <w:sz w:val="24"/>
          <w:szCs w:val="24"/>
        </w:rPr>
        <w:t xml:space="preserve">. </w:t>
      </w:r>
      <w:r w:rsidR="00BE0DBA">
        <w:rPr>
          <w:rFonts w:ascii="Times New Roman" w:hAnsi="Times New Roman" w:cs="Times New Roman"/>
          <w:sz w:val="24"/>
          <w:szCs w:val="24"/>
        </w:rPr>
        <w:t xml:space="preserve">More contemporary studies have found that women’s violence is strongly driven by rates of male violence in rural environments (Parker and Reckdenwald 2008). </w:t>
      </w:r>
      <w:r w:rsidR="00FB3618" w:rsidRPr="00CF3089">
        <w:rPr>
          <w:rFonts w:ascii="Times New Roman" w:hAnsi="Times New Roman" w:cs="Times New Roman"/>
          <w:sz w:val="24"/>
          <w:szCs w:val="24"/>
        </w:rPr>
        <w:t xml:space="preserve">Some of the factors suggested by recent scholarship as contributing to violence in modern rural areas – such as isolation, heavy-drinking cultures and more limited access to support services – </w:t>
      </w:r>
      <w:r w:rsidR="003A6DA1">
        <w:rPr>
          <w:rFonts w:ascii="Times New Roman" w:hAnsi="Times New Roman" w:cs="Times New Roman"/>
          <w:sz w:val="24"/>
          <w:szCs w:val="24"/>
        </w:rPr>
        <w:t>are</w:t>
      </w:r>
      <w:r w:rsidR="00FB3618" w:rsidRPr="00CF3089">
        <w:rPr>
          <w:rFonts w:ascii="Times New Roman" w:hAnsi="Times New Roman" w:cs="Times New Roman"/>
          <w:sz w:val="24"/>
          <w:szCs w:val="24"/>
        </w:rPr>
        <w:t xml:space="preserve"> likely </w:t>
      </w:r>
      <w:r w:rsidR="003A6DA1">
        <w:rPr>
          <w:rFonts w:ascii="Times New Roman" w:hAnsi="Times New Roman" w:cs="Times New Roman"/>
          <w:sz w:val="24"/>
          <w:szCs w:val="24"/>
        </w:rPr>
        <w:t xml:space="preserve">to have </w:t>
      </w:r>
      <w:r w:rsidR="00FB3618" w:rsidRPr="00CF3089">
        <w:rPr>
          <w:rFonts w:ascii="Times New Roman" w:hAnsi="Times New Roman" w:cs="Times New Roman"/>
          <w:sz w:val="24"/>
          <w:szCs w:val="24"/>
        </w:rPr>
        <w:t xml:space="preserve">also </w:t>
      </w:r>
      <w:r w:rsidR="003A6DA1">
        <w:rPr>
          <w:rFonts w:ascii="Times New Roman" w:hAnsi="Times New Roman" w:cs="Times New Roman"/>
          <w:sz w:val="24"/>
          <w:szCs w:val="24"/>
        </w:rPr>
        <w:t xml:space="preserve">been </w:t>
      </w:r>
      <w:r w:rsidR="00FB3618" w:rsidRPr="00CF3089">
        <w:rPr>
          <w:rFonts w:ascii="Times New Roman" w:hAnsi="Times New Roman" w:cs="Times New Roman"/>
          <w:sz w:val="24"/>
          <w:szCs w:val="24"/>
        </w:rPr>
        <w:t>relevant historically (Hogg &amp; Carring</w:t>
      </w:r>
      <w:r w:rsidR="003A6148">
        <w:rPr>
          <w:rFonts w:ascii="Times New Roman" w:hAnsi="Times New Roman" w:cs="Times New Roman"/>
          <w:sz w:val="24"/>
          <w:szCs w:val="24"/>
        </w:rPr>
        <w:t>to</w:t>
      </w:r>
      <w:r w:rsidR="00FB3618" w:rsidRPr="00CF3089">
        <w:rPr>
          <w:rFonts w:ascii="Times New Roman" w:hAnsi="Times New Roman" w:cs="Times New Roman"/>
          <w:sz w:val="24"/>
          <w:szCs w:val="24"/>
        </w:rPr>
        <w:t>n 2006</w:t>
      </w:r>
      <w:r w:rsidR="003A6148">
        <w:rPr>
          <w:rFonts w:ascii="Times New Roman" w:hAnsi="Times New Roman" w:cs="Times New Roman"/>
          <w:sz w:val="24"/>
          <w:szCs w:val="24"/>
        </w:rPr>
        <w:t>:</w:t>
      </w:r>
      <w:r w:rsidR="003A6148" w:rsidRPr="00CF3089">
        <w:rPr>
          <w:rFonts w:ascii="Times New Roman" w:hAnsi="Times New Roman" w:cs="Times New Roman"/>
          <w:sz w:val="24"/>
          <w:szCs w:val="24"/>
        </w:rPr>
        <w:t xml:space="preserve"> </w:t>
      </w:r>
      <w:r w:rsidR="00FB3618" w:rsidRPr="00CF3089">
        <w:rPr>
          <w:rFonts w:ascii="Times New Roman" w:hAnsi="Times New Roman" w:cs="Times New Roman"/>
          <w:sz w:val="24"/>
          <w:szCs w:val="24"/>
        </w:rPr>
        <w:t>65;</w:t>
      </w:r>
      <w:r w:rsidR="00327347">
        <w:rPr>
          <w:rFonts w:ascii="Times New Roman" w:hAnsi="Times New Roman" w:cs="Times New Roman"/>
          <w:sz w:val="24"/>
          <w:szCs w:val="24"/>
        </w:rPr>
        <w:t xml:space="preserve"> Jobes et al. 2001</w:t>
      </w:r>
      <w:r w:rsidR="00FB3618" w:rsidRPr="00CF3089">
        <w:rPr>
          <w:rFonts w:ascii="Times New Roman" w:hAnsi="Times New Roman" w:cs="Times New Roman"/>
          <w:sz w:val="24"/>
          <w:szCs w:val="24"/>
        </w:rPr>
        <w:t>). These would presumably also act as risk factors for other types of crimes with stronger associations with rural areas in the sample, such as suicide, arson and property damage.</w:t>
      </w:r>
    </w:p>
    <w:p w14:paraId="3EF9957D" w14:textId="77777777" w:rsidR="00345B76" w:rsidRPr="00CF3089" w:rsidRDefault="00345B76"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p>
    <w:p w14:paraId="0060618F" w14:textId="3B7C712C" w:rsidR="00FB3618" w:rsidRPr="00BE0DBA" w:rsidRDefault="00FB3618" w:rsidP="00CF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r w:rsidRPr="00CF3089">
        <w:rPr>
          <w:rFonts w:ascii="Times New Roman" w:hAnsi="Times New Roman" w:cs="Times New Roman"/>
          <w:b/>
          <w:sz w:val="24"/>
          <w:szCs w:val="24"/>
        </w:rPr>
        <w:t>Offending patterns and spatial locations over time</w:t>
      </w:r>
    </w:p>
    <w:p w14:paraId="0C8B69D1" w14:textId="77777777" w:rsidR="00FB3618" w:rsidRPr="00BE0DBA" w:rsidRDefault="00FB3618" w:rsidP="00CF3089">
      <w:pPr>
        <w:spacing w:line="480" w:lineRule="auto"/>
        <w:rPr>
          <w:rFonts w:ascii="Times New Roman" w:hAnsi="Times New Roman" w:cs="Times New Roman"/>
          <w:sz w:val="24"/>
          <w:szCs w:val="24"/>
        </w:rPr>
      </w:pPr>
      <w:r w:rsidRPr="00BE0DBA">
        <w:rPr>
          <w:rFonts w:ascii="Times New Roman" w:hAnsi="Times New Roman" w:cs="Times New Roman"/>
          <w:sz w:val="24"/>
          <w:szCs w:val="24"/>
        </w:rPr>
        <w:t xml:space="preserve">While the broad patterns of female offending were fairly similar across urban and rural locations, an examination of the specific offences that resulted in women’s entry into the </w:t>
      </w:r>
      <w:r w:rsidRPr="00BE0DBA">
        <w:rPr>
          <w:rFonts w:ascii="Times New Roman" w:hAnsi="Times New Roman" w:cs="Times New Roman"/>
          <w:sz w:val="24"/>
          <w:szCs w:val="24"/>
        </w:rPr>
        <w:lastRenderedPageBreak/>
        <w:t xml:space="preserve">prison system reveals considerable variation produced by environmental conditions. Beyond this, location also influenced women’s offending patterns across time. </w:t>
      </w:r>
    </w:p>
    <w:p w14:paraId="5B67399D" w14:textId="60003F7B" w:rsidR="00FB3618" w:rsidRPr="00BE0DBA" w:rsidRDefault="00FB3618" w:rsidP="00CF3089">
      <w:pPr>
        <w:spacing w:line="480" w:lineRule="auto"/>
        <w:ind w:firstLine="720"/>
        <w:rPr>
          <w:rFonts w:ascii="Times New Roman" w:hAnsi="Times New Roman" w:cs="Times New Roman"/>
          <w:sz w:val="24"/>
          <w:szCs w:val="24"/>
        </w:rPr>
      </w:pPr>
      <w:r w:rsidRPr="00BE0DBA">
        <w:rPr>
          <w:rFonts w:ascii="Times New Roman" w:hAnsi="Times New Roman" w:cs="Times New Roman"/>
          <w:sz w:val="24"/>
          <w:szCs w:val="24"/>
        </w:rPr>
        <w:t>Over the course of their criminal careers, a significant proportion of female offenders would commit different types of offences (Piper &amp; Nagy 2017)</w:t>
      </w:r>
      <w:r w:rsidR="00A81C75">
        <w:rPr>
          <w:rFonts w:ascii="Times New Roman" w:hAnsi="Times New Roman" w:cs="Times New Roman"/>
          <w:sz w:val="24"/>
          <w:szCs w:val="24"/>
        </w:rPr>
        <w:t>.</w:t>
      </w:r>
      <w:r w:rsidRPr="00BE0DBA">
        <w:rPr>
          <w:rFonts w:ascii="Times New Roman" w:hAnsi="Times New Roman" w:cs="Times New Roman"/>
          <w:sz w:val="24"/>
          <w:szCs w:val="24"/>
        </w:rPr>
        <w:t xml:space="preserve"> </w:t>
      </w:r>
      <w:r w:rsidR="00A81C75">
        <w:rPr>
          <w:rFonts w:ascii="Times New Roman" w:hAnsi="Times New Roman" w:cs="Times New Roman"/>
          <w:sz w:val="24"/>
          <w:szCs w:val="24"/>
        </w:rPr>
        <w:t>O</w:t>
      </w:r>
      <w:r w:rsidRPr="00BE0DBA">
        <w:rPr>
          <w:rFonts w:ascii="Times New Roman" w:hAnsi="Times New Roman" w:cs="Times New Roman"/>
          <w:sz w:val="24"/>
          <w:szCs w:val="24"/>
        </w:rPr>
        <w:t>verall</w:t>
      </w:r>
      <w:r w:rsidR="00A81C75">
        <w:rPr>
          <w:rFonts w:ascii="Times New Roman" w:hAnsi="Times New Roman" w:cs="Times New Roman"/>
          <w:sz w:val="24"/>
          <w:szCs w:val="24"/>
        </w:rPr>
        <w:t>,</w:t>
      </w:r>
      <w:r w:rsidRPr="00BE0DBA">
        <w:rPr>
          <w:rFonts w:ascii="Times New Roman" w:hAnsi="Times New Roman" w:cs="Times New Roman"/>
          <w:sz w:val="24"/>
          <w:szCs w:val="24"/>
        </w:rPr>
        <w:t xml:space="preserve"> the majority of women’s offending</w:t>
      </w:r>
      <w:r w:rsidR="0035010E">
        <w:rPr>
          <w:rFonts w:ascii="Times New Roman" w:hAnsi="Times New Roman" w:cs="Times New Roman"/>
          <w:sz w:val="24"/>
          <w:szCs w:val="24"/>
        </w:rPr>
        <w:t>,</w:t>
      </w:r>
      <w:r w:rsidRPr="00BE0DBA">
        <w:rPr>
          <w:rFonts w:ascii="Times New Roman" w:hAnsi="Times New Roman" w:cs="Times New Roman"/>
          <w:sz w:val="24"/>
          <w:szCs w:val="24"/>
        </w:rPr>
        <w:t xml:space="preserve"> looking at all convictions</w:t>
      </w:r>
      <w:r w:rsidR="0035010E">
        <w:rPr>
          <w:rFonts w:ascii="Times New Roman" w:hAnsi="Times New Roman" w:cs="Times New Roman"/>
          <w:sz w:val="24"/>
          <w:szCs w:val="24"/>
        </w:rPr>
        <w:t>,</w:t>
      </w:r>
      <w:r w:rsidRPr="00BE0DBA">
        <w:rPr>
          <w:rFonts w:ascii="Times New Roman" w:hAnsi="Times New Roman" w:cs="Times New Roman"/>
          <w:sz w:val="24"/>
          <w:szCs w:val="24"/>
        </w:rPr>
        <w:t xml:space="preserve"> still comprised of public order offences, followed by theft offences, then violent and other types of crimes (Table 2). As with first offence data, factoring in location produced some significant trends. For example, rural women still showed a particular likelihood to be convicted of crimes that fell in the ‘other’ offences category, such as arson, attempted suicide and concealment of birth. Conversely, urban offenders make a greater showing among violent offenders when looking across criminal careers, although this may also be because this broad category includes more minor forms of violence, such as threatening </w:t>
      </w:r>
      <w:r w:rsidR="005973B6" w:rsidRPr="00BE0DBA">
        <w:rPr>
          <w:rFonts w:ascii="Times New Roman" w:hAnsi="Times New Roman" w:cs="Times New Roman"/>
          <w:sz w:val="24"/>
          <w:szCs w:val="24"/>
        </w:rPr>
        <w:t>behaviour</w:t>
      </w:r>
      <w:r w:rsidRPr="00BE0DBA">
        <w:rPr>
          <w:rFonts w:ascii="Times New Roman" w:hAnsi="Times New Roman" w:cs="Times New Roman"/>
          <w:sz w:val="24"/>
          <w:szCs w:val="24"/>
        </w:rPr>
        <w:t>.</w:t>
      </w:r>
    </w:p>
    <w:p w14:paraId="5E14C662" w14:textId="55A3DE41" w:rsidR="00703FF4" w:rsidRDefault="00FB3618" w:rsidP="00623FBA">
      <w:pPr>
        <w:spacing w:line="480" w:lineRule="auto"/>
        <w:rPr>
          <w:rFonts w:ascii="Times New Roman" w:hAnsi="Times New Roman" w:cs="Times New Roman"/>
          <w:b/>
          <w:sz w:val="24"/>
          <w:szCs w:val="24"/>
        </w:rPr>
      </w:pPr>
      <w:r w:rsidRPr="00BE0DBA">
        <w:rPr>
          <w:rFonts w:ascii="Times New Roman" w:hAnsi="Times New Roman" w:cs="Times New Roman"/>
          <w:sz w:val="24"/>
          <w:szCs w:val="24"/>
        </w:rPr>
        <w:t xml:space="preserve">In addition to engaging in different criminal activities, across time female prisoners were also liable to commit offences in different locations. In all, 4.5 per cent of 6,027 female prisoners in the sample amassed convictions in courts both inside and outside Melbourne. These mobile offenders made a particularly strong showing among those who had at least one conviction for theft at some point (6.4 per cent), but were </w:t>
      </w:r>
      <w:r w:rsidR="006B281A">
        <w:rPr>
          <w:rFonts w:ascii="Times New Roman" w:hAnsi="Times New Roman" w:cs="Times New Roman"/>
          <w:sz w:val="24"/>
          <w:szCs w:val="24"/>
        </w:rPr>
        <w:t>underrepresented among those with</w:t>
      </w:r>
      <w:r w:rsidRPr="00BE0DBA">
        <w:rPr>
          <w:rFonts w:ascii="Times New Roman" w:hAnsi="Times New Roman" w:cs="Times New Roman"/>
          <w:sz w:val="24"/>
          <w:szCs w:val="24"/>
        </w:rPr>
        <w:t xml:space="preserve"> a conviction for violence (3.7 per cent). Perhaps, given that female violence </w:t>
      </w:r>
      <w:r w:rsidR="00623D01">
        <w:rPr>
          <w:rFonts w:ascii="Times New Roman" w:hAnsi="Times New Roman" w:cs="Times New Roman"/>
          <w:sz w:val="24"/>
          <w:szCs w:val="24"/>
        </w:rPr>
        <w:t xml:space="preserve">has been routinely linked to the context of close interpersonal relations </w:t>
      </w:r>
      <w:r w:rsidRPr="00BE0DBA">
        <w:rPr>
          <w:rFonts w:ascii="Times New Roman" w:hAnsi="Times New Roman" w:cs="Times New Roman"/>
          <w:sz w:val="24"/>
          <w:szCs w:val="24"/>
        </w:rPr>
        <w:t>(</w:t>
      </w:r>
      <w:r w:rsidR="00457E9D">
        <w:rPr>
          <w:rFonts w:ascii="Times New Roman" w:hAnsi="Times New Roman" w:cs="Times New Roman"/>
          <w:sz w:val="24"/>
          <w:szCs w:val="24"/>
        </w:rPr>
        <w:t>Schwartz &amp; Gertseva 2010</w:t>
      </w:r>
      <w:r w:rsidRPr="00BE0DBA">
        <w:rPr>
          <w:rFonts w:ascii="Times New Roman" w:hAnsi="Times New Roman" w:cs="Times New Roman"/>
          <w:sz w:val="24"/>
          <w:szCs w:val="24"/>
        </w:rPr>
        <w:t xml:space="preserve">), it was more likely to take place among those embedded in permanent, ongoing networks. Meanwhile, the risks associated with identification in theft cases perhaps in itself acted as an inducement to mobility among such offenders, encouraging known offenders to move to new areas where their face and </w:t>
      </w:r>
      <w:r w:rsidRPr="00BE0DBA">
        <w:rPr>
          <w:rFonts w:ascii="Times New Roman" w:hAnsi="Times New Roman" w:cs="Times New Roman"/>
          <w:i/>
          <w:sz w:val="24"/>
          <w:szCs w:val="24"/>
        </w:rPr>
        <w:t>modus operandi</w:t>
      </w:r>
      <w:r w:rsidRPr="00BE0DBA">
        <w:rPr>
          <w:rFonts w:ascii="Times New Roman" w:hAnsi="Times New Roman" w:cs="Times New Roman"/>
          <w:sz w:val="24"/>
          <w:szCs w:val="24"/>
        </w:rPr>
        <w:t xml:space="preserve"> was less known. In discussion of the history of property crime in London, William Meier notes that the increased mobility enabled by new systems of transportation meant that the ‘traveling thief’ was one of the major challenges </w:t>
      </w:r>
      <w:r w:rsidRPr="00BE0DBA">
        <w:rPr>
          <w:rFonts w:ascii="Times New Roman" w:hAnsi="Times New Roman" w:cs="Times New Roman"/>
          <w:sz w:val="24"/>
          <w:szCs w:val="24"/>
        </w:rPr>
        <w:lastRenderedPageBreak/>
        <w:t>faced by law enforcement across the late nineteenth and early twentieth century (2011</w:t>
      </w:r>
      <w:r w:rsidR="003A6148">
        <w:rPr>
          <w:rFonts w:ascii="Times New Roman" w:hAnsi="Times New Roman" w:cs="Times New Roman"/>
          <w:sz w:val="24"/>
          <w:szCs w:val="24"/>
        </w:rPr>
        <w:t>:</w:t>
      </w:r>
      <w:r w:rsidR="003A6148" w:rsidRPr="00BE0DBA">
        <w:rPr>
          <w:rFonts w:ascii="Times New Roman" w:hAnsi="Times New Roman" w:cs="Times New Roman"/>
          <w:sz w:val="24"/>
          <w:szCs w:val="24"/>
        </w:rPr>
        <w:t xml:space="preserve"> </w:t>
      </w:r>
      <w:r w:rsidRPr="00BE0DBA">
        <w:rPr>
          <w:rFonts w:ascii="Times New Roman" w:hAnsi="Times New Roman" w:cs="Times New Roman"/>
          <w:sz w:val="24"/>
          <w:szCs w:val="24"/>
        </w:rPr>
        <w:t>41-66).</w:t>
      </w:r>
    </w:p>
    <w:p w14:paraId="5DF965B5" w14:textId="584B5BFC" w:rsidR="00FB3618" w:rsidRPr="00205F8F" w:rsidRDefault="00623FBA" w:rsidP="00623FBA">
      <w:pPr>
        <w:spacing w:line="480" w:lineRule="auto"/>
        <w:rPr>
          <w:rFonts w:ascii="Times New Roman" w:hAnsi="Times New Roman" w:cs="Times New Roman"/>
          <w:sz w:val="24"/>
          <w:szCs w:val="24"/>
        </w:rPr>
      </w:pPr>
      <w:r w:rsidRPr="00205F8F">
        <w:rPr>
          <w:rFonts w:ascii="Times New Roman" w:hAnsi="Times New Roman" w:cs="Times New Roman"/>
          <w:b/>
          <w:sz w:val="24"/>
          <w:szCs w:val="24"/>
        </w:rPr>
        <w:t>Table 3. Offence participation rates among urban, rural and mobile offenders</w:t>
      </w:r>
    </w:p>
    <w:tbl>
      <w:tblPr>
        <w:tblStyle w:val="TableGrid"/>
        <w:tblW w:w="0" w:type="auto"/>
        <w:tblLook w:val="04A0" w:firstRow="1" w:lastRow="0" w:firstColumn="1" w:lastColumn="0" w:noHBand="0" w:noVBand="1"/>
      </w:tblPr>
      <w:tblGrid>
        <w:gridCol w:w="1703"/>
        <w:gridCol w:w="1703"/>
        <w:gridCol w:w="1703"/>
        <w:gridCol w:w="1703"/>
        <w:gridCol w:w="1704"/>
      </w:tblGrid>
      <w:tr w:rsidR="00FB3618" w:rsidRPr="005973B6" w14:paraId="3253D39E" w14:textId="77777777" w:rsidTr="005973B6">
        <w:tc>
          <w:tcPr>
            <w:tcW w:w="1703" w:type="dxa"/>
            <w:vAlign w:val="center"/>
          </w:tcPr>
          <w:p w14:paraId="47ABB638"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Offence category</w:t>
            </w:r>
          </w:p>
        </w:tc>
        <w:tc>
          <w:tcPr>
            <w:tcW w:w="1703" w:type="dxa"/>
            <w:vAlign w:val="center"/>
          </w:tcPr>
          <w:p w14:paraId="217A5092"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Number of female prisoners</w:t>
            </w:r>
          </w:p>
        </w:tc>
        <w:tc>
          <w:tcPr>
            <w:tcW w:w="1703" w:type="dxa"/>
            <w:vAlign w:val="center"/>
          </w:tcPr>
          <w:p w14:paraId="6C71BCCA"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Urban offenders %</w:t>
            </w:r>
          </w:p>
        </w:tc>
        <w:tc>
          <w:tcPr>
            <w:tcW w:w="1703" w:type="dxa"/>
            <w:vAlign w:val="center"/>
          </w:tcPr>
          <w:p w14:paraId="626483B9"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Rural offenders %</w:t>
            </w:r>
          </w:p>
        </w:tc>
        <w:tc>
          <w:tcPr>
            <w:tcW w:w="1704" w:type="dxa"/>
            <w:vAlign w:val="center"/>
          </w:tcPr>
          <w:p w14:paraId="451E313D"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Mobile offenders %</w:t>
            </w:r>
          </w:p>
        </w:tc>
      </w:tr>
      <w:tr w:rsidR="00FB3618" w:rsidRPr="005973B6" w14:paraId="6C442D01" w14:textId="77777777" w:rsidTr="005973B6">
        <w:tc>
          <w:tcPr>
            <w:tcW w:w="1703" w:type="dxa"/>
            <w:vAlign w:val="center"/>
          </w:tcPr>
          <w:p w14:paraId="54EA21CC" w14:textId="77777777" w:rsidR="00FB3618" w:rsidRPr="00623D01" w:rsidRDefault="00FB3618" w:rsidP="00623D01">
            <w:pPr>
              <w:spacing w:line="480" w:lineRule="auto"/>
              <w:jc w:val="center"/>
              <w:rPr>
                <w:rFonts w:ascii="Times New Roman" w:hAnsi="Times New Roman" w:cs="Times New Roman"/>
                <w:vertAlign w:val="superscript"/>
              </w:rPr>
            </w:pPr>
            <w:r w:rsidRPr="00623D01">
              <w:rPr>
                <w:rFonts w:ascii="Times New Roman" w:hAnsi="Times New Roman" w:cs="Times New Roman"/>
              </w:rPr>
              <w:t xml:space="preserve">Public order offences </w:t>
            </w:r>
            <w:r w:rsidRPr="00623D01">
              <w:rPr>
                <w:rFonts w:ascii="Times New Roman" w:hAnsi="Times New Roman" w:cs="Times New Roman"/>
                <w:vertAlign w:val="superscript"/>
              </w:rPr>
              <w:t>a</w:t>
            </w:r>
          </w:p>
        </w:tc>
        <w:tc>
          <w:tcPr>
            <w:tcW w:w="1703" w:type="dxa"/>
            <w:vAlign w:val="center"/>
          </w:tcPr>
          <w:p w14:paraId="351F814D"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4456</w:t>
            </w:r>
          </w:p>
        </w:tc>
        <w:tc>
          <w:tcPr>
            <w:tcW w:w="1703" w:type="dxa"/>
            <w:vAlign w:val="center"/>
          </w:tcPr>
          <w:p w14:paraId="14B039EC"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70.8</w:t>
            </w:r>
          </w:p>
        </w:tc>
        <w:tc>
          <w:tcPr>
            <w:tcW w:w="1703" w:type="dxa"/>
            <w:vAlign w:val="center"/>
          </w:tcPr>
          <w:p w14:paraId="47AAC922"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23.4</w:t>
            </w:r>
          </w:p>
        </w:tc>
        <w:tc>
          <w:tcPr>
            <w:tcW w:w="1704" w:type="dxa"/>
            <w:vAlign w:val="center"/>
          </w:tcPr>
          <w:p w14:paraId="7DF2F23E"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5.7</w:t>
            </w:r>
          </w:p>
        </w:tc>
      </w:tr>
      <w:tr w:rsidR="00FB3618" w:rsidRPr="005973B6" w14:paraId="473CD5DF" w14:textId="77777777" w:rsidTr="005973B6">
        <w:tc>
          <w:tcPr>
            <w:tcW w:w="1703" w:type="dxa"/>
            <w:vAlign w:val="center"/>
          </w:tcPr>
          <w:p w14:paraId="0E7F8291" w14:textId="77777777" w:rsidR="00FB3618" w:rsidRPr="00623D01" w:rsidRDefault="00FB3618" w:rsidP="00623D01">
            <w:pPr>
              <w:spacing w:line="480" w:lineRule="auto"/>
              <w:jc w:val="center"/>
              <w:rPr>
                <w:rFonts w:ascii="Times New Roman" w:hAnsi="Times New Roman" w:cs="Times New Roman"/>
                <w:vertAlign w:val="superscript"/>
              </w:rPr>
            </w:pPr>
            <w:r w:rsidRPr="00623D01">
              <w:rPr>
                <w:rFonts w:ascii="Times New Roman" w:hAnsi="Times New Roman" w:cs="Times New Roman"/>
              </w:rPr>
              <w:t xml:space="preserve">Theft offences </w:t>
            </w:r>
            <w:r w:rsidRPr="00623D01">
              <w:rPr>
                <w:rFonts w:ascii="Times New Roman" w:hAnsi="Times New Roman" w:cs="Times New Roman"/>
                <w:vertAlign w:val="superscript"/>
              </w:rPr>
              <w:t>b</w:t>
            </w:r>
          </w:p>
        </w:tc>
        <w:tc>
          <w:tcPr>
            <w:tcW w:w="1703" w:type="dxa"/>
            <w:vAlign w:val="center"/>
          </w:tcPr>
          <w:p w14:paraId="4CC0AA40"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1738</w:t>
            </w:r>
          </w:p>
        </w:tc>
        <w:tc>
          <w:tcPr>
            <w:tcW w:w="1703" w:type="dxa"/>
            <w:vAlign w:val="center"/>
          </w:tcPr>
          <w:p w14:paraId="16502E39"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71</w:t>
            </w:r>
          </w:p>
        </w:tc>
        <w:tc>
          <w:tcPr>
            <w:tcW w:w="1703" w:type="dxa"/>
            <w:vAlign w:val="center"/>
          </w:tcPr>
          <w:p w14:paraId="1D09F370"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22.6</w:t>
            </w:r>
          </w:p>
        </w:tc>
        <w:tc>
          <w:tcPr>
            <w:tcW w:w="1704" w:type="dxa"/>
            <w:vAlign w:val="center"/>
          </w:tcPr>
          <w:p w14:paraId="21CCC20B"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6.4</w:t>
            </w:r>
          </w:p>
        </w:tc>
      </w:tr>
      <w:tr w:rsidR="00FB3618" w:rsidRPr="005973B6" w14:paraId="390B0401" w14:textId="77777777" w:rsidTr="005973B6">
        <w:tc>
          <w:tcPr>
            <w:tcW w:w="1703" w:type="dxa"/>
            <w:vAlign w:val="center"/>
          </w:tcPr>
          <w:p w14:paraId="03E5967F" w14:textId="77777777" w:rsidR="00FB3618" w:rsidRPr="00623D01" w:rsidRDefault="00FB3618" w:rsidP="00623D01">
            <w:pPr>
              <w:spacing w:line="480" w:lineRule="auto"/>
              <w:jc w:val="center"/>
              <w:rPr>
                <w:rFonts w:ascii="Times New Roman" w:hAnsi="Times New Roman" w:cs="Times New Roman"/>
                <w:vertAlign w:val="superscript"/>
              </w:rPr>
            </w:pPr>
            <w:r w:rsidRPr="00623D01">
              <w:rPr>
                <w:rFonts w:ascii="Times New Roman" w:hAnsi="Times New Roman" w:cs="Times New Roman"/>
              </w:rPr>
              <w:t xml:space="preserve">Violent offences </w:t>
            </w:r>
            <w:r w:rsidRPr="00623D01">
              <w:rPr>
                <w:rFonts w:ascii="Times New Roman" w:hAnsi="Times New Roman" w:cs="Times New Roman"/>
                <w:vertAlign w:val="superscript"/>
              </w:rPr>
              <w:t>c</w:t>
            </w:r>
          </w:p>
        </w:tc>
        <w:tc>
          <w:tcPr>
            <w:tcW w:w="1703" w:type="dxa"/>
            <w:vAlign w:val="center"/>
          </w:tcPr>
          <w:p w14:paraId="19CB2862"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778</w:t>
            </w:r>
          </w:p>
        </w:tc>
        <w:tc>
          <w:tcPr>
            <w:tcW w:w="1703" w:type="dxa"/>
            <w:vAlign w:val="center"/>
          </w:tcPr>
          <w:p w14:paraId="21D8EB74"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74.7</w:t>
            </w:r>
          </w:p>
        </w:tc>
        <w:tc>
          <w:tcPr>
            <w:tcW w:w="1703" w:type="dxa"/>
            <w:vAlign w:val="center"/>
          </w:tcPr>
          <w:p w14:paraId="19CD8F4B"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21.6</w:t>
            </w:r>
          </w:p>
        </w:tc>
        <w:tc>
          <w:tcPr>
            <w:tcW w:w="1704" w:type="dxa"/>
            <w:vAlign w:val="center"/>
          </w:tcPr>
          <w:p w14:paraId="7DFEF507"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3.7</w:t>
            </w:r>
          </w:p>
        </w:tc>
      </w:tr>
      <w:tr w:rsidR="00FB3618" w:rsidRPr="005973B6" w14:paraId="592A3EB9" w14:textId="77777777" w:rsidTr="005973B6">
        <w:tc>
          <w:tcPr>
            <w:tcW w:w="1703" w:type="dxa"/>
            <w:vAlign w:val="center"/>
          </w:tcPr>
          <w:p w14:paraId="76A57AF1" w14:textId="77777777" w:rsidR="00FB3618" w:rsidRPr="00623D01" w:rsidRDefault="00FB3618" w:rsidP="00623D01">
            <w:pPr>
              <w:spacing w:line="480" w:lineRule="auto"/>
              <w:jc w:val="center"/>
              <w:rPr>
                <w:rFonts w:ascii="Times New Roman" w:hAnsi="Times New Roman" w:cs="Times New Roman"/>
                <w:vertAlign w:val="superscript"/>
              </w:rPr>
            </w:pPr>
            <w:r w:rsidRPr="00623D01">
              <w:rPr>
                <w:rFonts w:ascii="Times New Roman" w:hAnsi="Times New Roman" w:cs="Times New Roman"/>
              </w:rPr>
              <w:t xml:space="preserve">Other offences </w:t>
            </w:r>
            <w:r w:rsidRPr="00623D01">
              <w:rPr>
                <w:rFonts w:ascii="Times New Roman" w:hAnsi="Times New Roman" w:cs="Times New Roman"/>
                <w:vertAlign w:val="superscript"/>
              </w:rPr>
              <w:t>d</w:t>
            </w:r>
          </w:p>
        </w:tc>
        <w:tc>
          <w:tcPr>
            <w:tcW w:w="1703" w:type="dxa"/>
            <w:vAlign w:val="center"/>
          </w:tcPr>
          <w:p w14:paraId="456A74EC"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676</w:t>
            </w:r>
          </w:p>
        </w:tc>
        <w:tc>
          <w:tcPr>
            <w:tcW w:w="1703" w:type="dxa"/>
            <w:vAlign w:val="center"/>
          </w:tcPr>
          <w:p w14:paraId="201467DD"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66.6</w:t>
            </w:r>
          </w:p>
        </w:tc>
        <w:tc>
          <w:tcPr>
            <w:tcW w:w="1703" w:type="dxa"/>
            <w:vAlign w:val="center"/>
          </w:tcPr>
          <w:p w14:paraId="49E152DD"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28.1</w:t>
            </w:r>
          </w:p>
        </w:tc>
        <w:tc>
          <w:tcPr>
            <w:tcW w:w="1704" w:type="dxa"/>
            <w:vAlign w:val="center"/>
          </w:tcPr>
          <w:p w14:paraId="6434D05C" w14:textId="77777777" w:rsidR="00FB3618" w:rsidRPr="00623D01" w:rsidRDefault="00FB3618" w:rsidP="00623D01">
            <w:pPr>
              <w:spacing w:line="480" w:lineRule="auto"/>
              <w:jc w:val="center"/>
              <w:rPr>
                <w:rFonts w:ascii="Times New Roman" w:hAnsi="Times New Roman" w:cs="Times New Roman"/>
              </w:rPr>
            </w:pPr>
            <w:r w:rsidRPr="00623D01">
              <w:rPr>
                <w:rFonts w:ascii="Times New Roman" w:hAnsi="Times New Roman" w:cs="Times New Roman"/>
              </w:rPr>
              <w:t>5.3</w:t>
            </w:r>
          </w:p>
        </w:tc>
      </w:tr>
      <w:tr w:rsidR="00FB3618" w:rsidRPr="005973B6" w14:paraId="2E14BB50" w14:textId="77777777" w:rsidTr="005973B6">
        <w:tc>
          <w:tcPr>
            <w:tcW w:w="1703" w:type="dxa"/>
            <w:vAlign w:val="center"/>
          </w:tcPr>
          <w:p w14:paraId="44B52F3A" w14:textId="77777777" w:rsidR="00FB3618" w:rsidRPr="00623D01" w:rsidRDefault="00FB3618" w:rsidP="00623D01">
            <w:pPr>
              <w:spacing w:line="480" w:lineRule="auto"/>
              <w:jc w:val="center"/>
              <w:rPr>
                <w:rFonts w:ascii="Times New Roman" w:hAnsi="Times New Roman" w:cs="Times New Roman"/>
                <w:b/>
                <w:i/>
              </w:rPr>
            </w:pPr>
            <w:r w:rsidRPr="00623D01">
              <w:rPr>
                <w:rFonts w:ascii="Times New Roman" w:hAnsi="Times New Roman" w:cs="Times New Roman"/>
                <w:b/>
                <w:i/>
              </w:rPr>
              <w:t>All prisoners</w:t>
            </w:r>
          </w:p>
        </w:tc>
        <w:tc>
          <w:tcPr>
            <w:tcW w:w="1703" w:type="dxa"/>
            <w:vAlign w:val="center"/>
          </w:tcPr>
          <w:p w14:paraId="75E18CBF" w14:textId="77777777" w:rsidR="00FB3618" w:rsidRPr="00623D01" w:rsidRDefault="00FB3618" w:rsidP="00623D01">
            <w:pPr>
              <w:spacing w:line="480" w:lineRule="auto"/>
              <w:jc w:val="center"/>
              <w:rPr>
                <w:rFonts w:ascii="Times New Roman" w:hAnsi="Times New Roman" w:cs="Times New Roman"/>
                <w:b/>
                <w:i/>
              </w:rPr>
            </w:pPr>
            <w:r w:rsidRPr="00623D01">
              <w:rPr>
                <w:rFonts w:ascii="Times New Roman" w:hAnsi="Times New Roman" w:cs="Times New Roman"/>
                <w:b/>
                <w:i/>
              </w:rPr>
              <w:t>6027</w:t>
            </w:r>
          </w:p>
        </w:tc>
        <w:tc>
          <w:tcPr>
            <w:tcW w:w="1703" w:type="dxa"/>
            <w:vAlign w:val="center"/>
          </w:tcPr>
          <w:p w14:paraId="68E182EE" w14:textId="77777777" w:rsidR="00FB3618" w:rsidRPr="00623D01" w:rsidRDefault="00FB3618" w:rsidP="00623D01">
            <w:pPr>
              <w:spacing w:line="480" w:lineRule="auto"/>
              <w:jc w:val="center"/>
              <w:rPr>
                <w:rFonts w:ascii="Times New Roman" w:hAnsi="Times New Roman" w:cs="Times New Roman"/>
                <w:b/>
                <w:i/>
              </w:rPr>
            </w:pPr>
            <w:r w:rsidRPr="00623D01">
              <w:rPr>
                <w:rFonts w:ascii="Times New Roman" w:hAnsi="Times New Roman" w:cs="Times New Roman"/>
                <w:b/>
                <w:i/>
              </w:rPr>
              <w:t>70.6</w:t>
            </w:r>
          </w:p>
        </w:tc>
        <w:tc>
          <w:tcPr>
            <w:tcW w:w="1703" w:type="dxa"/>
            <w:vAlign w:val="center"/>
          </w:tcPr>
          <w:p w14:paraId="2E68D4EE" w14:textId="77777777" w:rsidR="00FB3618" w:rsidRPr="00623D01" w:rsidRDefault="00FB3618" w:rsidP="00623D01">
            <w:pPr>
              <w:spacing w:line="480" w:lineRule="auto"/>
              <w:jc w:val="center"/>
              <w:rPr>
                <w:rFonts w:ascii="Times New Roman" w:hAnsi="Times New Roman" w:cs="Times New Roman"/>
                <w:b/>
                <w:i/>
              </w:rPr>
            </w:pPr>
            <w:r w:rsidRPr="00623D01">
              <w:rPr>
                <w:rFonts w:ascii="Times New Roman" w:hAnsi="Times New Roman" w:cs="Times New Roman"/>
                <w:b/>
                <w:i/>
              </w:rPr>
              <w:t>24.9</w:t>
            </w:r>
          </w:p>
        </w:tc>
        <w:tc>
          <w:tcPr>
            <w:tcW w:w="1704" w:type="dxa"/>
            <w:vAlign w:val="center"/>
          </w:tcPr>
          <w:p w14:paraId="06BD7A98" w14:textId="77777777" w:rsidR="00FB3618" w:rsidRPr="00623D01" w:rsidRDefault="00FB3618" w:rsidP="00623D01">
            <w:pPr>
              <w:spacing w:line="480" w:lineRule="auto"/>
              <w:jc w:val="center"/>
              <w:rPr>
                <w:rFonts w:ascii="Times New Roman" w:hAnsi="Times New Roman" w:cs="Times New Roman"/>
                <w:b/>
                <w:i/>
              </w:rPr>
            </w:pPr>
            <w:r w:rsidRPr="00623D01">
              <w:rPr>
                <w:rFonts w:ascii="Times New Roman" w:hAnsi="Times New Roman" w:cs="Times New Roman"/>
                <w:b/>
                <w:i/>
              </w:rPr>
              <w:t>4.5</w:t>
            </w:r>
          </w:p>
        </w:tc>
      </w:tr>
      <w:tr w:rsidR="00FB3618" w:rsidRPr="005973B6" w14:paraId="3B23D1FF" w14:textId="77777777" w:rsidTr="005973B6">
        <w:tc>
          <w:tcPr>
            <w:tcW w:w="8516" w:type="dxa"/>
            <w:gridSpan w:val="5"/>
            <w:vAlign w:val="center"/>
          </w:tcPr>
          <w:p w14:paraId="6C62B856" w14:textId="77777777" w:rsidR="00FB3618" w:rsidRPr="00623D01" w:rsidRDefault="00FB3618" w:rsidP="00623D01">
            <w:pPr>
              <w:spacing w:line="480" w:lineRule="auto"/>
              <w:rPr>
                <w:rFonts w:ascii="Times New Roman" w:hAnsi="Times New Roman" w:cs="Times New Roman"/>
              </w:rPr>
            </w:pPr>
            <w:r w:rsidRPr="00623D01">
              <w:rPr>
                <w:rFonts w:ascii="Times New Roman" w:hAnsi="Times New Roman" w:cs="Times New Roman"/>
              </w:rPr>
              <w:t>*Offence categories are not mutually exclusives as a prisoner could commit more than one type of offence over her criminal career.</w:t>
            </w:r>
          </w:p>
          <w:p w14:paraId="2246B800" w14:textId="77777777" w:rsidR="00FB3618" w:rsidRPr="00623D01" w:rsidRDefault="00FB3618" w:rsidP="00623D01">
            <w:pPr>
              <w:spacing w:line="480" w:lineRule="auto"/>
              <w:rPr>
                <w:rFonts w:ascii="Times New Roman" w:hAnsi="Times New Roman" w:cs="Times New Roman"/>
                <w:sz w:val="20"/>
                <w:szCs w:val="20"/>
              </w:rPr>
            </w:pPr>
            <w:r w:rsidRPr="00623D01">
              <w:rPr>
                <w:rFonts w:ascii="Times New Roman" w:hAnsi="Times New Roman" w:cs="Times New Roman"/>
                <w:vertAlign w:val="superscript"/>
              </w:rPr>
              <w:t>a.</w:t>
            </w:r>
            <w:r w:rsidRPr="00623D01">
              <w:rPr>
                <w:rFonts w:ascii="Times New Roman" w:hAnsi="Times New Roman" w:cs="Times New Roman"/>
              </w:rPr>
              <w:t xml:space="preserve"> </w:t>
            </w:r>
            <w:r w:rsidRPr="00623D01">
              <w:rPr>
                <w:rFonts w:ascii="Times New Roman" w:hAnsi="Times New Roman" w:cs="Times New Roman"/>
                <w:sz w:val="20"/>
                <w:szCs w:val="20"/>
              </w:rPr>
              <w:sym w:font="Symbol" w:char="F063"/>
            </w:r>
            <w:r w:rsidRPr="00623D01">
              <w:rPr>
                <w:rFonts w:ascii="Times New Roman" w:hAnsi="Times New Roman" w:cs="Times New Roman"/>
                <w:sz w:val="20"/>
                <w:szCs w:val="20"/>
                <w:vertAlign w:val="superscript"/>
              </w:rPr>
              <w:t>2</w:t>
            </w:r>
            <w:r w:rsidRPr="00623D01">
              <w:rPr>
                <w:rFonts w:ascii="Times New Roman" w:hAnsi="Times New Roman" w:cs="Times New Roman"/>
                <w:sz w:val="20"/>
                <w:szCs w:val="20"/>
              </w:rPr>
              <w:t xml:space="preserve"> (2) = 67.83, </w:t>
            </w:r>
            <w:r w:rsidRPr="00623D01">
              <w:rPr>
                <w:rFonts w:ascii="Times New Roman" w:hAnsi="Times New Roman" w:cs="Times New Roman"/>
                <w:i/>
                <w:sz w:val="20"/>
                <w:szCs w:val="20"/>
              </w:rPr>
              <w:t xml:space="preserve">p </w:t>
            </w:r>
            <w:r w:rsidRPr="00623D01">
              <w:rPr>
                <w:rFonts w:ascii="Times New Roman" w:hAnsi="Times New Roman" w:cs="Times New Roman"/>
                <w:sz w:val="20"/>
                <w:szCs w:val="20"/>
              </w:rPr>
              <w:t>&lt; .001</w:t>
            </w:r>
          </w:p>
          <w:p w14:paraId="0E0D9C1D" w14:textId="77777777" w:rsidR="00FB3618" w:rsidRPr="00623D01" w:rsidRDefault="00FB3618" w:rsidP="00623D01">
            <w:pPr>
              <w:spacing w:line="480" w:lineRule="auto"/>
              <w:rPr>
                <w:rFonts w:ascii="Times New Roman" w:hAnsi="Times New Roman" w:cs="Times New Roman"/>
                <w:sz w:val="20"/>
                <w:szCs w:val="20"/>
              </w:rPr>
            </w:pPr>
            <w:r w:rsidRPr="00623D01">
              <w:rPr>
                <w:rFonts w:ascii="Times New Roman" w:hAnsi="Times New Roman" w:cs="Times New Roman"/>
                <w:vertAlign w:val="superscript"/>
              </w:rPr>
              <w:t>b.</w:t>
            </w:r>
            <w:r w:rsidRPr="00623D01">
              <w:rPr>
                <w:rFonts w:ascii="Times New Roman" w:hAnsi="Times New Roman" w:cs="Times New Roman"/>
              </w:rPr>
              <w:t xml:space="preserve"> </w:t>
            </w:r>
            <w:r w:rsidRPr="00623D01">
              <w:rPr>
                <w:rFonts w:ascii="Times New Roman" w:hAnsi="Times New Roman" w:cs="Times New Roman"/>
                <w:sz w:val="20"/>
                <w:szCs w:val="20"/>
              </w:rPr>
              <w:sym w:font="Symbol" w:char="F063"/>
            </w:r>
            <w:r w:rsidRPr="00623D01">
              <w:rPr>
                <w:rFonts w:ascii="Times New Roman" w:hAnsi="Times New Roman" w:cs="Times New Roman"/>
                <w:sz w:val="20"/>
                <w:szCs w:val="20"/>
                <w:vertAlign w:val="superscript"/>
              </w:rPr>
              <w:t>2</w:t>
            </w:r>
            <w:r w:rsidRPr="00623D01">
              <w:rPr>
                <w:rFonts w:ascii="Times New Roman" w:hAnsi="Times New Roman" w:cs="Times New Roman"/>
                <w:sz w:val="20"/>
                <w:szCs w:val="20"/>
              </w:rPr>
              <w:t xml:space="preserve"> (2) = 23.59, </w:t>
            </w:r>
            <w:r w:rsidRPr="00623D01">
              <w:rPr>
                <w:rFonts w:ascii="Times New Roman" w:hAnsi="Times New Roman" w:cs="Times New Roman"/>
                <w:i/>
                <w:sz w:val="20"/>
                <w:szCs w:val="20"/>
              </w:rPr>
              <w:t xml:space="preserve">p </w:t>
            </w:r>
            <w:r w:rsidRPr="00623D01">
              <w:rPr>
                <w:rFonts w:ascii="Times New Roman" w:hAnsi="Times New Roman" w:cs="Times New Roman"/>
                <w:sz w:val="20"/>
                <w:szCs w:val="20"/>
              </w:rPr>
              <w:t>&lt; .001</w:t>
            </w:r>
          </w:p>
          <w:p w14:paraId="3B2ABC48" w14:textId="77777777" w:rsidR="00FB3618" w:rsidRPr="00623D01" w:rsidRDefault="00FB3618" w:rsidP="00623D01">
            <w:pPr>
              <w:spacing w:line="480" w:lineRule="auto"/>
              <w:rPr>
                <w:rFonts w:ascii="Times New Roman" w:hAnsi="Times New Roman" w:cs="Times New Roman"/>
                <w:sz w:val="20"/>
                <w:szCs w:val="20"/>
              </w:rPr>
            </w:pPr>
            <w:r w:rsidRPr="00623D01">
              <w:rPr>
                <w:rFonts w:ascii="Times New Roman" w:hAnsi="Times New Roman" w:cs="Times New Roman"/>
                <w:sz w:val="20"/>
                <w:szCs w:val="20"/>
                <w:vertAlign w:val="superscript"/>
              </w:rPr>
              <w:t xml:space="preserve">c. </w:t>
            </w:r>
            <w:r w:rsidRPr="00623D01">
              <w:rPr>
                <w:rFonts w:ascii="Times New Roman" w:hAnsi="Times New Roman" w:cs="Times New Roman"/>
                <w:sz w:val="20"/>
                <w:szCs w:val="20"/>
              </w:rPr>
              <w:sym w:font="Symbol" w:char="F063"/>
            </w:r>
            <w:r w:rsidRPr="00623D01">
              <w:rPr>
                <w:rFonts w:ascii="Times New Roman" w:hAnsi="Times New Roman" w:cs="Times New Roman"/>
                <w:sz w:val="20"/>
                <w:szCs w:val="20"/>
                <w:vertAlign w:val="superscript"/>
              </w:rPr>
              <w:t>2</w:t>
            </w:r>
            <w:r w:rsidRPr="00623D01">
              <w:rPr>
                <w:rFonts w:ascii="Times New Roman" w:hAnsi="Times New Roman" w:cs="Times New Roman"/>
                <w:sz w:val="20"/>
                <w:szCs w:val="20"/>
              </w:rPr>
              <w:t xml:space="preserve"> (2) = 7.18, </w:t>
            </w:r>
            <w:r w:rsidRPr="00623D01">
              <w:rPr>
                <w:rFonts w:ascii="Times New Roman" w:hAnsi="Times New Roman" w:cs="Times New Roman"/>
                <w:i/>
                <w:sz w:val="20"/>
                <w:szCs w:val="20"/>
              </w:rPr>
              <w:t xml:space="preserve">p </w:t>
            </w:r>
            <w:r w:rsidRPr="00623D01">
              <w:rPr>
                <w:rFonts w:ascii="Times New Roman" w:hAnsi="Times New Roman" w:cs="Times New Roman"/>
                <w:sz w:val="20"/>
                <w:szCs w:val="20"/>
              </w:rPr>
              <w:t>&lt; .05</w:t>
            </w:r>
          </w:p>
          <w:p w14:paraId="7185F563" w14:textId="77777777" w:rsidR="00FB3618" w:rsidRPr="00623D01" w:rsidRDefault="00FB3618" w:rsidP="00623D01">
            <w:pPr>
              <w:spacing w:line="480" w:lineRule="auto"/>
              <w:rPr>
                <w:rFonts w:ascii="Times New Roman" w:hAnsi="Times New Roman" w:cs="Times New Roman"/>
                <w:sz w:val="20"/>
                <w:szCs w:val="20"/>
              </w:rPr>
            </w:pPr>
            <w:r w:rsidRPr="00623D01">
              <w:rPr>
                <w:rFonts w:ascii="Times New Roman" w:hAnsi="Times New Roman" w:cs="Times New Roman"/>
                <w:sz w:val="20"/>
                <w:szCs w:val="20"/>
                <w:vertAlign w:val="superscript"/>
              </w:rPr>
              <w:t xml:space="preserve">d. </w:t>
            </w:r>
            <w:r w:rsidRPr="00623D01">
              <w:rPr>
                <w:rFonts w:ascii="Times New Roman" w:hAnsi="Times New Roman" w:cs="Times New Roman"/>
                <w:sz w:val="20"/>
                <w:szCs w:val="20"/>
              </w:rPr>
              <w:sym w:font="Symbol" w:char="F063"/>
            </w:r>
            <w:r w:rsidRPr="00623D01">
              <w:rPr>
                <w:rFonts w:ascii="Times New Roman" w:hAnsi="Times New Roman" w:cs="Times New Roman"/>
                <w:sz w:val="20"/>
                <w:szCs w:val="20"/>
                <w:vertAlign w:val="superscript"/>
              </w:rPr>
              <w:t>2</w:t>
            </w:r>
            <w:r w:rsidRPr="00623D01">
              <w:rPr>
                <w:rFonts w:ascii="Times New Roman" w:hAnsi="Times New Roman" w:cs="Times New Roman"/>
                <w:sz w:val="20"/>
                <w:szCs w:val="20"/>
              </w:rPr>
              <w:t xml:space="preserve"> (2) = 6.07, </w:t>
            </w:r>
            <w:r w:rsidRPr="00623D01">
              <w:rPr>
                <w:rFonts w:ascii="Times New Roman" w:hAnsi="Times New Roman" w:cs="Times New Roman"/>
                <w:i/>
                <w:sz w:val="20"/>
                <w:szCs w:val="20"/>
              </w:rPr>
              <w:t xml:space="preserve">p </w:t>
            </w:r>
            <w:r w:rsidRPr="00623D01">
              <w:rPr>
                <w:rFonts w:ascii="Times New Roman" w:hAnsi="Times New Roman" w:cs="Times New Roman"/>
                <w:sz w:val="20"/>
                <w:szCs w:val="20"/>
              </w:rPr>
              <w:t>&lt;.05</w:t>
            </w:r>
          </w:p>
        </w:tc>
      </w:tr>
    </w:tbl>
    <w:p w14:paraId="683C075D" w14:textId="77777777" w:rsidR="00FB3618" w:rsidRPr="00623D01" w:rsidRDefault="00FB3618" w:rsidP="00623D01">
      <w:pPr>
        <w:spacing w:line="480" w:lineRule="auto"/>
        <w:rPr>
          <w:rFonts w:ascii="Times New Roman" w:hAnsi="Times New Roman" w:cs="Times New Roman"/>
        </w:rPr>
      </w:pPr>
    </w:p>
    <w:p w14:paraId="61F371EB" w14:textId="5825F7F8" w:rsidR="00FB3618" w:rsidRPr="00623D01" w:rsidRDefault="00FB3618" w:rsidP="00623D01">
      <w:pPr>
        <w:spacing w:line="480" w:lineRule="auto"/>
        <w:rPr>
          <w:rFonts w:ascii="Times New Roman" w:hAnsi="Times New Roman" w:cs="Times New Roman"/>
          <w:sz w:val="24"/>
          <w:szCs w:val="24"/>
        </w:rPr>
      </w:pPr>
      <w:r w:rsidRPr="00623D01">
        <w:rPr>
          <w:rFonts w:ascii="Times New Roman" w:hAnsi="Times New Roman" w:cs="Times New Roman"/>
        </w:rPr>
        <w:tab/>
      </w:r>
      <w:r w:rsidRPr="00623D01">
        <w:rPr>
          <w:rFonts w:ascii="Times New Roman" w:hAnsi="Times New Roman" w:cs="Times New Roman"/>
          <w:sz w:val="24"/>
          <w:szCs w:val="24"/>
        </w:rPr>
        <w:t xml:space="preserve">It was not only the type of offending that differed between urban, rural and mobile offenders, but their overall levels of offending. The </w:t>
      </w:r>
      <w:r w:rsidR="006B281A">
        <w:rPr>
          <w:rFonts w:ascii="Times New Roman" w:hAnsi="Times New Roman" w:cs="Times New Roman"/>
          <w:sz w:val="24"/>
          <w:szCs w:val="24"/>
        </w:rPr>
        <w:t xml:space="preserve">average mean </w:t>
      </w:r>
      <w:r w:rsidRPr="00623D01">
        <w:rPr>
          <w:rFonts w:ascii="Times New Roman" w:hAnsi="Times New Roman" w:cs="Times New Roman"/>
          <w:sz w:val="24"/>
          <w:szCs w:val="24"/>
        </w:rPr>
        <w:t xml:space="preserve">time between women’s first and last known convictions was shorter for rural offenders (M=1018 days, SD=2084) than their urban counterparts (M=1305 days, SD=2343). However, both were far exceeded by the average criminal career of mobile offenders (M=4638 days, SD=3852). There was a similar trend in terms of number of convictions. While metropolitan offenders had a mean </w:t>
      </w:r>
      <w:r w:rsidRPr="00623D01">
        <w:rPr>
          <w:rFonts w:ascii="Times New Roman" w:hAnsi="Times New Roman" w:cs="Times New Roman"/>
          <w:sz w:val="24"/>
          <w:szCs w:val="24"/>
        </w:rPr>
        <w:lastRenderedPageBreak/>
        <w:t>average of 4 convictions (SD=7) to rural offenders</w:t>
      </w:r>
      <w:r w:rsidR="00353190">
        <w:rPr>
          <w:rFonts w:ascii="Times New Roman" w:hAnsi="Times New Roman" w:cs="Times New Roman"/>
          <w:sz w:val="24"/>
          <w:szCs w:val="24"/>
        </w:rPr>
        <w:t>’</w:t>
      </w:r>
      <w:r w:rsidRPr="00623D01">
        <w:rPr>
          <w:rFonts w:ascii="Times New Roman" w:hAnsi="Times New Roman" w:cs="Times New Roman"/>
          <w:sz w:val="24"/>
          <w:szCs w:val="24"/>
        </w:rPr>
        <w:t xml:space="preserve"> mean of 3 convictions (SD=5), the prolific recidivism of mobile offenders resulted in an average of 12 convictions (SD=14).</w:t>
      </w:r>
    </w:p>
    <w:p w14:paraId="53663D3B" w14:textId="379F53FD" w:rsidR="00FB3618" w:rsidRPr="00623D01" w:rsidRDefault="00FB3618" w:rsidP="00623D01">
      <w:pPr>
        <w:spacing w:line="480" w:lineRule="auto"/>
        <w:rPr>
          <w:rFonts w:ascii="Times New Roman" w:hAnsi="Times New Roman" w:cs="Times New Roman"/>
          <w:sz w:val="24"/>
          <w:szCs w:val="24"/>
        </w:rPr>
      </w:pPr>
      <w:r w:rsidRPr="00623D01">
        <w:rPr>
          <w:rFonts w:ascii="Times New Roman" w:hAnsi="Times New Roman" w:cs="Times New Roman"/>
        </w:rPr>
        <w:tab/>
      </w:r>
      <w:r w:rsidRPr="00623D01">
        <w:rPr>
          <w:rFonts w:ascii="Times New Roman" w:hAnsi="Times New Roman" w:cs="Times New Roman"/>
          <w:sz w:val="24"/>
          <w:szCs w:val="24"/>
        </w:rPr>
        <w:t>These findings align with research strongly associating mobility with higher levels of offending (</w:t>
      </w:r>
      <w:r w:rsidR="00FF450A">
        <w:rPr>
          <w:rFonts w:ascii="Times New Roman" w:hAnsi="Times New Roman" w:cs="Times New Roman"/>
          <w:sz w:val="24"/>
          <w:szCs w:val="24"/>
        </w:rPr>
        <w:t>Barnett &amp; Mencken 2002; Steffensmeier &amp; Haynie 2000</w:t>
      </w:r>
      <w:r w:rsidRPr="00623D01">
        <w:rPr>
          <w:rFonts w:ascii="Times New Roman" w:hAnsi="Times New Roman" w:cs="Times New Roman"/>
          <w:sz w:val="24"/>
          <w:szCs w:val="24"/>
        </w:rPr>
        <w:t xml:space="preserve">). </w:t>
      </w:r>
      <w:r w:rsidR="00552979">
        <w:rPr>
          <w:rFonts w:ascii="Times New Roman" w:hAnsi="Times New Roman" w:cs="Times New Roman"/>
          <w:sz w:val="24"/>
          <w:szCs w:val="24"/>
        </w:rPr>
        <w:t xml:space="preserve">Similarly, Clinard (1942) in their study of youth mobility between rural and urban environments, discovered that young populations who were exposed to urban values and returned to rural communities exhibited criminal offending typologies more often associated with urban offenders.  </w:t>
      </w:r>
      <w:r w:rsidRPr="00623D01">
        <w:rPr>
          <w:rFonts w:ascii="Times New Roman" w:hAnsi="Times New Roman" w:cs="Times New Roman"/>
          <w:sz w:val="24"/>
          <w:szCs w:val="24"/>
        </w:rPr>
        <w:t xml:space="preserve">Brown </w:t>
      </w:r>
      <w:r w:rsidR="00552979">
        <w:rPr>
          <w:rFonts w:ascii="Times New Roman" w:hAnsi="Times New Roman" w:cs="Times New Roman"/>
          <w:sz w:val="24"/>
          <w:szCs w:val="24"/>
        </w:rPr>
        <w:t xml:space="preserve">(2011) </w:t>
      </w:r>
      <w:r w:rsidRPr="00623D01">
        <w:rPr>
          <w:rFonts w:ascii="Times New Roman" w:hAnsi="Times New Roman" w:cs="Times New Roman"/>
          <w:sz w:val="24"/>
          <w:szCs w:val="24"/>
        </w:rPr>
        <w:t xml:space="preserve">also found such patterns when examining the conviction histories of a sample of 427 men imprisoned at Dartmoor in England in 1932. Brown’s sample reported a far higher rate of mobility overall than that found in the Victorian female sample. This is probably significantly due to differences in definitions and sampling techniques. Our designation of mobile offenders only takes into account mobility between urban and rural contexts, but potentially hides mobility across different rural contexts, or between a variety of Melbourne suburbs. Furthermore, while our sample looks at prisoners across the whole of Victoria, Brown </w:t>
      </w:r>
      <w:r w:rsidR="00623D01">
        <w:rPr>
          <w:rFonts w:ascii="Times New Roman" w:hAnsi="Times New Roman" w:cs="Times New Roman"/>
          <w:sz w:val="24"/>
          <w:szCs w:val="24"/>
        </w:rPr>
        <w:t>examined</w:t>
      </w:r>
      <w:r w:rsidRPr="00623D01">
        <w:rPr>
          <w:rFonts w:ascii="Times New Roman" w:hAnsi="Times New Roman" w:cs="Times New Roman"/>
          <w:sz w:val="24"/>
          <w:szCs w:val="24"/>
        </w:rPr>
        <w:t xml:space="preserve"> a prison that housed mostly serial offenders; ergo, if recidivist offenders are more mobile, it would make sense that a sample of recidivists showed a high rate of mobility. The gender differences between the samples are likely also important, given that men historically were likely to live more mobile lives than women as a result of movement connected to the pursuit of employment</w:t>
      </w:r>
      <w:r w:rsidR="00F24CA8">
        <w:rPr>
          <w:rFonts w:ascii="Times New Roman" w:hAnsi="Times New Roman" w:cs="Times New Roman"/>
          <w:sz w:val="24"/>
          <w:szCs w:val="24"/>
        </w:rPr>
        <w:t xml:space="preserve"> (Lake 1986)</w:t>
      </w:r>
      <w:r w:rsidRPr="00623D01">
        <w:rPr>
          <w:rFonts w:ascii="Times New Roman" w:hAnsi="Times New Roman" w:cs="Times New Roman"/>
          <w:sz w:val="24"/>
          <w:szCs w:val="24"/>
        </w:rPr>
        <w:t>. The differences perhaps also point to the possibility that levels of mobility shifted across socio-historic context, with Brown underlining the significance to her study of motor car theft in the interwar period (2011, 561), a factor not present in our 1860-1920 sample.</w:t>
      </w:r>
    </w:p>
    <w:p w14:paraId="1447D9C0" w14:textId="142D3E37" w:rsidR="00FB3618" w:rsidRPr="00623D01" w:rsidRDefault="00FB3618" w:rsidP="00623D01">
      <w:pPr>
        <w:spacing w:line="480" w:lineRule="auto"/>
        <w:rPr>
          <w:rFonts w:ascii="Times New Roman" w:hAnsi="Times New Roman" w:cs="Times New Roman"/>
          <w:sz w:val="24"/>
          <w:szCs w:val="24"/>
        </w:rPr>
      </w:pPr>
      <w:r w:rsidRPr="00623D01">
        <w:rPr>
          <w:rFonts w:ascii="Times New Roman" w:hAnsi="Times New Roman" w:cs="Times New Roman"/>
          <w:sz w:val="24"/>
          <w:szCs w:val="24"/>
        </w:rPr>
        <w:tab/>
        <w:t xml:space="preserve">Changing conditions over time likely also resulted in changing numbers of rural, urban and mobile offenders within the 1860-1920 sample itself. Analysis of the number of women entering the prison system each year against the location of the courts in which they </w:t>
      </w:r>
      <w:r w:rsidRPr="00623D01">
        <w:rPr>
          <w:rFonts w:ascii="Times New Roman" w:hAnsi="Times New Roman" w:cs="Times New Roman"/>
          <w:sz w:val="24"/>
          <w:szCs w:val="24"/>
        </w:rPr>
        <w:lastRenderedPageBreak/>
        <w:t>were convicted across their criminal careers reveals no single, consistent trend, but rather a number of significant fluctuations in the proportion of rural, urban and mobile women (</w:t>
      </w:r>
      <w:r w:rsidR="00703FF4">
        <w:rPr>
          <w:rFonts w:ascii="Times New Roman" w:hAnsi="Times New Roman" w:cs="Times New Roman"/>
          <w:sz w:val="24"/>
          <w:szCs w:val="24"/>
        </w:rPr>
        <w:t>Figure</w:t>
      </w:r>
      <w:r w:rsidR="00703FF4" w:rsidRPr="00623D01">
        <w:rPr>
          <w:rFonts w:ascii="Times New Roman" w:hAnsi="Times New Roman" w:cs="Times New Roman"/>
          <w:sz w:val="24"/>
          <w:szCs w:val="24"/>
        </w:rPr>
        <w:t xml:space="preserve"> </w:t>
      </w:r>
      <w:r w:rsidRPr="00623D01">
        <w:rPr>
          <w:rFonts w:ascii="Times New Roman" w:hAnsi="Times New Roman" w:cs="Times New Roman"/>
          <w:sz w:val="24"/>
          <w:szCs w:val="24"/>
        </w:rPr>
        <w:t>1). For instance, whereas almost four-fifths of women imprisoned in the 1860s would only ever be convicted in Melbourne courts, this rate fell considerably to around two-thirds of women entering the system in the 1870s and 1880s. The successive decades – which saw a decline in the overall number of women being imprisoned –</w:t>
      </w:r>
      <w:r w:rsidR="00064A11">
        <w:rPr>
          <w:rFonts w:ascii="Times New Roman" w:hAnsi="Times New Roman" w:cs="Times New Roman"/>
          <w:sz w:val="24"/>
          <w:szCs w:val="24"/>
        </w:rPr>
        <w:t xml:space="preserve"> the</w:t>
      </w:r>
      <w:r w:rsidR="0047456C">
        <w:rPr>
          <w:rFonts w:ascii="Times New Roman" w:hAnsi="Times New Roman" w:cs="Times New Roman"/>
          <w:sz w:val="24"/>
          <w:szCs w:val="24"/>
        </w:rPr>
        <w:t>n</w:t>
      </w:r>
      <w:r w:rsidR="00064A11">
        <w:rPr>
          <w:rFonts w:ascii="Times New Roman" w:hAnsi="Times New Roman" w:cs="Times New Roman"/>
          <w:sz w:val="24"/>
          <w:szCs w:val="24"/>
        </w:rPr>
        <w:t xml:space="preserve"> brought </w:t>
      </w:r>
      <w:r w:rsidRPr="00623D01">
        <w:rPr>
          <w:rFonts w:ascii="Times New Roman" w:hAnsi="Times New Roman" w:cs="Times New Roman"/>
          <w:sz w:val="24"/>
          <w:szCs w:val="24"/>
        </w:rPr>
        <w:t xml:space="preserve">a progressive rise in the proportion of those women whose convictions were urban-based. The proportion of mobile offenders also rose during the </w:t>
      </w:r>
      <w:r w:rsidR="00623D01">
        <w:rPr>
          <w:rFonts w:ascii="Times New Roman" w:hAnsi="Times New Roman" w:cs="Times New Roman"/>
          <w:sz w:val="24"/>
          <w:szCs w:val="24"/>
        </w:rPr>
        <w:t xml:space="preserve">early </w:t>
      </w:r>
      <w:r w:rsidRPr="00623D01">
        <w:rPr>
          <w:rFonts w:ascii="Times New Roman" w:hAnsi="Times New Roman" w:cs="Times New Roman"/>
          <w:sz w:val="24"/>
          <w:szCs w:val="24"/>
        </w:rPr>
        <w:t xml:space="preserve">1900s. Perhaps then, rural women disproportionately benefitted from changes in sentencing practices – such as the release of first-time offenders on </w:t>
      </w:r>
      <w:r w:rsidR="00451836">
        <w:rPr>
          <w:rFonts w:ascii="Times New Roman" w:hAnsi="Times New Roman" w:cs="Times New Roman"/>
          <w:sz w:val="24"/>
          <w:szCs w:val="24"/>
        </w:rPr>
        <w:t>probation</w:t>
      </w:r>
      <w:r w:rsidR="00451836" w:rsidRPr="00623D01">
        <w:rPr>
          <w:rFonts w:ascii="Times New Roman" w:hAnsi="Times New Roman" w:cs="Times New Roman"/>
          <w:sz w:val="24"/>
          <w:szCs w:val="24"/>
        </w:rPr>
        <w:t xml:space="preserve"> </w:t>
      </w:r>
      <w:r w:rsidRPr="00623D01">
        <w:rPr>
          <w:rFonts w:ascii="Times New Roman" w:hAnsi="Times New Roman" w:cs="Times New Roman"/>
          <w:sz w:val="24"/>
          <w:szCs w:val="24"/>
        </w:rPr>
        <w:t>– that saw fewer women entering the prison system overall (</w:t>
      </w:r>
      <w:r w:rsidR="00451836">
        <w:rPr>
          <w:rFonts w:ascii="Times New Roman" w:hAnsi="Times New Roman" w:cs="Times New Roman"/>
          <w:sz w:val="24"/>
          <w:szCs w:val="24"/>
        </w:rPr>
        <w:t>White 1979</w:t>
      </w:r>
      <w:r w:rsidRPr="00623D01">
        <w:rPr>
          <w:rFonts w:ascii="Times New Roman" w:hAnsi="Times New Roman" w:cs="Times New Roman"/>
          <w:sz w:val="24"/>
          <w:szCs w:val="24"/>
        </w:rPr>
        <w:t>).</w:t>
      </w:r>
    </w:p>
    <w:p w14:paraId="23796202" w14:textId="77777777" w:rsidR="00FB3618" w:rsidRPr="00623D01" w:rsidRDefault="00FB3618" w:rsidP="00623D01">
      <w:pPr>
        <w:spacing w:line="480" w:lineRule="auto"/>
        <w:rPr>
          <w:rFonts w:ascii="Times New Roman" w:hAnsi="Times New Roman" w:cs="Times New Roman"/>
        </w:rPr>
      </w:pPr>
    </w:p>
    <w:p w14:paraId="02B1B69B" w14:textId="77777777" w:rsidR="00FB3618" w:rsidRPr="00623D01" w:rsidRDefault="00FB3618" w:rsidP="00623D01">
      <w:pPr>
        <w:spacing w:line="480" w:lineRule="auto"/>
        <w:rPr>
          <w:rFonts w:ascii="Times New Roman" w:hAnsi="Times New Roman" w:cs="Times New Roman"/>
        </w:rPr>
      </w:pPr>
    </w:p>
    <w:p w14:paraId="76B6FD8C" w14:textId="77777777" w:rsidR="00FB3618" w:rsidRPr="00623D01" w:rsidRDefault="00FB3618" w:rsidP="00623D01">
      <w:pPr>
        <w:spacing w:line="480" w:lineRule="auto"/>
        <w:rPr>
          <w:rFonts w:ascii="Times New Roman" w:hAnsi="Times New Roman" w:cs="Times New Roman"/>
        </w:rPr>
      </w:pPr>
      <w:r w:rsidRPr="00623D01">
        <w:rPr>
          <w:rFonts w:ascii="Times New Roman" w:hAnsi="Times New Roman" w:cs="Times New Roman"/>
          <w:b/>
          <w:noProof/>
          <w:lang w:eastAsia="en-AU"/>
        </w:rPr>
        <w:lastRenderedPageBreak/>
        <w:drawing>
          <wp:inline distT="0" distB="0" distL="0" distR="0" wp14:anchorId="65D89F2D" wp14:editId="425F794F">
            <wp:extent cx="5270500" cy="422275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4222750"/>
                    </a:xfrm>
                    <a:prstGeom prst="rect">
                      <a:avLst/>
                    </a:prstGeom>
                    <a:noFill/>
                    <a:ln>
                      <a:noFill/>
                    </a:ln>
                  </pic:spPr>
                </pic:pic>
              </a:graphicData>
            </a:graphic>
          </wp:inline>
        </w:drawing>
      </w:r>
    </w:p>
    <w:p w14:paraId="6529C844" w14:textId="3806CC5D" w:rsidR="00FB3618" w:rsidRPr="00205F8F" w:rsidRDefault="00623FBA" w:rsidP="00623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sz w:val="24"/>
          <w:szCs w:val="24"/>
        </w:rPr>
      </w:pPr>
      <w:r w:rsidRPr="00205F8F">
        <w:rPr>
          <w:rFonts w:ascii="Times New Roman" w:hAnsi="Times New Roman" w:cs="Times New Roman"/>
          <w:b/>
          <w:sz w:val="24"/>
          <w:szCs w:val="24"/>
        </w:rPr>
        <w:t xml:space="preserve">Figure 1: </w:t>
      </w:r>
      <w:r w:rsidR="00DB755E" w:rsidRPr="00205F8F">
        <w:rPr>
          <w:rFonts w:ascii="Times New Roman" w:hAnsi="Times New Roman" w:cs="Times New Roman"/>
          <w:b/>
          <w:sz w:val="24"/>
          <w:szCs w:val="24"/>
        </w:rPr>
        <w:t>Year of women’s first imprisonment between 1860 and 1920</w:t>
      </w:r>
    </w:p>
    <w:p w14:paraId="0EF4B28C" w14:textId="77777777" w:rsidR="00FB3618" w:rsidRPr="00623D01" w:rsidRDefault="00FB3618" w:rsidP="00623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623D01">
        <w:rPr>
          <w:rFonts w:ascii="Times New Roman" w:hAnsi="Times New Roman" w:cs="Times New Roman"/>
        </w:rPr>
        <w:t xml:space="preserve">      </w:t>
      </w:r>
    </w:p>
    <w:p w14:paraId="7582C3A1" w14:textId="77777777" w:rsidR="00505760" w:rsidRDefault="00FB3618" w:rsidP="00623D01">
      <w:pPr>
        <w:spacing w:line="480" w:lineRule="auto"/>
        <w:rPr>
          <w:rFonts w:ascii="Times New Roman" w:hAnsi="Times New Roman" w:cs="Times New Roman"/>
          <w:b/>
          <w:sz w:val="24"/>
          <w:szCs w:val="24"/>
        </w:rPr>
      </w:pPr>
      <w:r w:rsidRPr="00623D01">
        <w:rPr>
          <w:rFonts w:ascii="Times New Roman" w:hAnsi="Times New Roman" w:cs="Times New Roman"/>
          <w:b/>
          <w:sz w:val="24"/>
          <w:szCs w:val="24"/>
        </w:rPr>
        <w:t>Offender profiles of female prisoners across spatial locations</w:t>
      </w:r>
    </w:p>
    <w:p w14:paraId="79025050" w14:textId="57DA4A95" w:rsidR="00FB3618" w:rsidRPr="00623D01" w:rsidRDefault="00FB3618" w:rsidP="00623D01">
      <w:pPr>
        <w:spacing w:line="480" w:lineRule="auto"/>
        <w:rPr>
          <w:rFonts w:ascii="Times New Roman" w:hAnsi="Times New Roman" w:cs="Times New Roman"/>
          <w:sz w:val="24"/>
          <w:szCs w:val="24"/>
        </w:rPr>
      </w:pPr>
      <w:r w:rsidRPr="00623D01">
        <w:rPr>
          <w:rFonts w:ascii="Times New Roman" w:hAnsi="Times New Roman" w:cs="Times New Roman"/>
          <w:sz w:val="24"/>
          <w:szCs w:val="24"/>
        </w:rPr>
        <w:t xml:space="preserve">Some of the variations in offending patterns outlined above may also be linked to differences evident in the personal characteristics of urban, rural and mobile offenders. </w:t>
      </w:r>
      <w:r w:rsidR="00D432B6">
        <w:rPr>
          <w:rFonts w:ascii="Times New Roman" w:hAnsi="Times New Roman" w:cs="Times New Roman"/>
          <w:sz w:val="24"/>
          <w:szCs w:val="24"/>
        </w:rPr>
        <w:t xml:space="preserve">Statistically, </w:t>
      </w:r>
      <w:r w:rsidR="00D432B6" w:rsidRPr="00623D01">
        <w:rPr>
          <w:rFonts w:ascii="Times New Roman" w:hAnsi="Times New Roman" w:cs="Times New Roman"/>
          <w:sz w:val="24"/>
          <w:szCs w:val="24"/>
        </w:rPr>
        <w:t>concentrat</w:t>
      </w:r>
      <w:r w:rsidR="00D432B6">
        <w:rPr>
          <w:rFonts w:ascii="Times New Roman" w:hAnsi="Times New Roman" w:cs="Times New Roman"/>
          <w:sz w:val="24"/>
          <w:szCs w:val="24"/>
        </w:rPr>
        <w:t>ion</w:t>
      </w:r>
      <w:r w:rsidR="00D432B6" w:rsidRPr="00623D01">
        <w:rPr>
          <w:rFonts w:ascii="Times New Roman" w:hAnsi="Times New Roman" w:cs="Times New Roman"/>
          <w:sz w:val="24"/>
          <w:szCs w:val="24"/>
        </w:rPr>
        <w:t xml:space="preserve"> </w:t>
      </w:r>
      <w:r w:rsidRPr="00623D01">
        <w:rPr>
          <w:rFonts w:ascii="Times New Roman" w:hAnsi="Times New Roman" w:cs="Times New Roman"/>
          <w:sz w:val="24"/>
          <w:szCs w:val="24"/>
        </w:rPr>
        <w:t xml:space="preserve">of most criminal offending </w:t>
      </w:r>
      <w:r w:rsidR="00D432B6">
        <w:rPr>
          <w:rFonts w:ascii="Times New Roman" w:hAnsi="Times New Roman" w:cs="Times New Roman"/>
          <w:sz w:val="24"/>
          <w:szCs w:val="24"/>
        </w:rPr>
        <w:t>is in</w:t>
      </w:r>
      <w:r w:rsidR="00D432B6" w:rsidRPr="00623D01">
        <w:rPr>
          <w:rFonts w:ascii="Times New Roman" w:hAnsi="Times New Roman" w:cs="Times New Roman"/>
          <w:sz w:val="24"/>
          <w:szCs w:val="24"/>
        </w:rPr>
        <w:t xml:space="preserve"> </w:t>
      </w:r>
      <w:r w:rsidRPr="00623D01">
        <w:rPr>
          <w:rFonts w:ascii="Times New Roman" w:hAnsi="Times New Roman" w:cs="Times New Roman"/>
          <w:sz w:val="24"/>
          <w:szCs w:val="24"/>
        </w:rPr>
        <w:t>the adolescent and early adult periods</w:t>
      </w:r>
      <w:r w:rsidR="004C76DA">
        <w:rPr>
          <w:rFonts w:ascii="Times New Roman" w:hAnsi="Times New Roman" w:cs="Times New Roman"/>
          <w:sz w:val="24"/>
          <w:szCs w:val="24"/>
        </w:rPr>
        <w:t xml:space="preserve"> in Australia</w:t>
      </w:r>
      <w:r w:rsidRPr="00623D01">
        <w:rPr>
          <w:rFonts w:ascii="Times New Roman" w:hAnsi="Times New Roman" w:cs="Times New Roman"/>
          <w:sz w:val="24"/>
          <w:szCs w:val="24"/>
        </w:rPr>
        <w:t xml:space="preserve"> (</w:t>
      </w:r>
      <w:r w:rsidR="004C76DA">
        <w:rPr>
          <w:rFonts w:ascii="Times New Roman" w:hAnsi="Times New Roman" w:cs="Times New Roman"/>
          <w:sz w:val="24"/>
          <w:szCs w:val="24"/>
        </w:rPr>
        <w:t>ABS 2017</w:t>
      </w:r>
      <w:r w:rsidRPr="00623D01">
        <w:rPr>
          <w:rFonts w:ascii="Times New Roman" w:hAnsi="Times New Roman" w:cs="Times New Roman"/>
          <w:sz w:val="24"/>
          <w:szCs w:val="24"/>
        </w:rPr>
        <w:t>). This trend shifts in the historic female prisoners dataset. Whereas modern research suggests the teens and early twenties as peak offending periods</w:t>
      </w:r>
      <w:r w:rsidR="008F1996">
        <w:rPr>
          <w:rFonts w:ascii="Times New Roman" w:hAnsi="Times New Roman" w:cs="Times New Roman"/>
          <w:sz w:val="24"/>
          <w:szCs w:val="24"/>
        </w:rPr>
        <w:t>, with a median age of 28 years</w:t>
      </w:r>
      <w:r w:rsidRPr="00623D01">
        <w:rPr>
          <w:rFonts w:ascii="Times New Roman" w:hAnsi="Times New Roman" w:cs="Times New Roman"/>
          <w:sz w:val="24"/>
          <w:szCs w:val="24"/>
        </w:rPr>
        <w:t>, for Victoria’s female prisoners in this era it was their twenties and thirties</w:t>
      </w:r>
      <w:r w:rsidR="008F1996">
        <w:rPr>
          <w:rFonts w:ascii="Times New Roman" w:hAnsi="Times New Roman" w:cs="Times New Roman"/>
          <w:sz w:val="24"/>
          <w:szCs w:val="24"/>
        </w:rPr>
        <w:t xml:space="preserve">, with a median age of </w:t>
      </w:r>
      <w:r w:rsidR="0047456C">
        <w:rPr>
          <w:rFonts w:ascii="Times New Roman" w:hAnsi="Times New Roman" w:cs="Times New Roman"/>
          <w:sz w:val="24"/>
          <w:szCs w:val="24"/>
        </w:rPr>
        <w:t xml:space="preserve">first-time </w:t>
      </w:r>
      <w:r w:rsidR="007E70AA">
        <w:rPr>
          <w:rFonts w:ascii="Times New Roman" w:hAnsi="Times New Roman" w:cs="Times New Roman"/>
          <w:sz w:val="24"/>
          <w:szCs w:val="24"/>
        </w:rPr>
        <w:t>entry into prison being 32 years</w:t>
      </w:r>
      <w:r w:rsidRPr="00623D01">
        <w:rPr>
          <w:rFonts w:ascii="Times New Roman" w:hAnsi="Times New Roman" w:cs="Times New Roman"/>
          <w:sz w:val="24"/>
          <w:szCs w:val="24"/>
        </w:rPr>
        <w:t>. However, age profiles shifted signi</w:t>
      </w:r>
      <w:r w:rsidR="00623D01">
        <w:rPr>
          <w:rFonts w:ascii="Times New Roman" w:hAnsi="Times New Roman" w:cs="Times New Roman"/>
          <w:sz w:val="24"/>
          <w:szCs w:val="24"/>
        </w:rPr>
        <w:t>fi</w:t>
      </w:r>
      <w:r w:rsidRPr="00623D01">
        <w:rPr>
          <w:rFonts w:ascii="Times New Roman" w:hAnsi="Times New Roman" w:cs="Times New Roman"/>
          <w:sz w:val="24"/>
          <w:szCs w:val="24"/>
        </w:rPr>
        <w:t xml:space="preserve">cantly when compared against the locations where women were convicted (Table </w:t>
      </w:r>
      <w:r w:rsidR="00703FF4">
        <w:rPr>
          <w:rFonts w:ascii="Times New Roman" w:hAnsi="Times New Roman" w:cs="Times New Roman"/>
          <w:sz w:val="24"/>
          <w:szCs w:val="24"/>
        </w:rPr>
        <w:t>4</w:t>
      </w:r>
      <w:r w:rsidRPr="00623D01">
        <w:rPr>
          <w:rFonts w:ascii="Times New Roman" w:hAnsi="Times New Roman" w:cs="Times New Roman"/>
          <w:sz w:val="24"/>
          <w:szCs w:val="24"/>
        </w:rPr>
        <w:t xml:space="preserve">). </w:t>
      </w:r>
    </w:p>
    <w:p w14:paraId="68CFFF2D" w14:textId="0A923909" w:rsidR="00FB3618" w:rsidRPr="00623D01" w:rsidRDefault="00FB3618" w:rsidP="00623D01">
      <w:pPr>
        <w:spacing w:line="480" w:lineRule="auto"/>
        <w:ind w:firstLine="720"/>
        <w:rPr>
          <w:rFonts w:ascii="Times New Roman" w:hAnsi="Times New Roman" w:cs="Times New Roman"/>
          <w:sz w:val="24"/>
          <w:szCs w:val="24"/>
        </w:rPr>
      </w:pPr>
      <w:r w:rsidRPr="00623D01">
        <w:rPr>
          <w:rFonts w:ascii="Times New Roman" w:hAnsi="Times New Roman" w:cs="Times New Roman"/>
          <w:sz w:val="24"/>
          <w:szCs w:val="24"/>
        </w:rPr>
        <w:lastRenderedPageBreak/>
        <w:t>Urban offenders tended to be younger (</w:t>
      </w:r>
      <w:r w:rsidRPr="00A73138">
        <w:rPr>
          <w:rFonts w:ascii="Times New Roman" w:hAnsi="Times New Roman" w:cs="Times New Roman"/>
          <w:sz w:val="24"/>
          <w:szCs w:val="24"/>
        </w:rPr>
        <w:t>M</w:t>
      </w:r>
      <w:r w:rsidR="001C5EAF">
        <w:rPr>
          <w:rFonts w:ascii="Times New Roman" w:hAnsi="Times New Roman" w:cs="Times New Roman"/>
          <w:sz w:val="24"/>
          <w:szCs w:val="24"/>
        </w:rPr>
        <w:t>dn</w:t>
      </w:r>
      <w:r w:rsidRPr="00A73138">
        <w:rPr>
          <w:rFonts w:ascii="Times New Roman" w:hAnsi="Times New Roman" w:cs="Times New Roman"/>
          <w:sz w:val="24"/>
          <w:szCs w:val="24"/>
        </w:rPr>
        <w:t>=3</w:t>
      </w:r>
      <w:r w:rsidR="001C5EAF">
        <w:rPr>
          <w:rFonts w:ascii="Times New Roman" w:hAnsi="Times New Roman" w:cs="Times New Roman"/>
          <w:sz w:val="24"/>
          <w:szCs w:val="24"/>
        </w:rPr>
        <w:t>0</w:t>
      </w:r>
      <w:r w:rsidRPr="00A73138">
        <w:rPr>
          <w:rFonts w:ascii="Times New Roman" w:hAnsi="Times New Roman" w:cs="Times New Roman"/>
          <w:sz w:val="24"/>
          <w:szCs w:val="24"/>
        </w:rPr>
        <w:t xml:space="preserve"> years,</w:t>
      </w:r>
      <w:r w:rsidRPr="00623D01">
        <w:rPr>
          <w:rFonts w:ascii="Times New Roman" w:hAnsi="Times New Roman" w:cs="Times New Roman"/>
          <w:sz w:val="24"/>
          <w:szCs w:val="24"/>
        </w:rPr>
        <w:t xml:space="preserve"> SD 10) than rural (M</w:t>
      </w:r>
      <w:r w:rsidR="00EA62E9">
        <w:rPr>
          <w:rFonts w:ascii="Times New Roman" w:hAnsi="Times New Roman" w:cs="Times New Roman"/>
          <w:sz w:val="24"/>
          <w:szCs w:val="24"/>
        </w:rPr>
        <w:t>dn</w:t>
      </w:r>
      <w:r w:rsidRPr="00623D01">
        <w:rPr>
          <w:rFonts w:ascii="Times New Roman" w:hAnsi="Times New Roman" w:cs="Times New Roman"/>
          <w:sz w:val="24"/>
          <w:szCs w:val="24"/>
        </w:rPr>
        <w:t>=</w:t>
      </w:r>
      <w:r w:rsidR="00EA62E9" w:rsidRPr="00623D01">
        <w:rPr>
          <w:rFonts w:ascii="Times New Roman" w:hAnsi="Times New Roman" w:cs="Times New Roman"/>
          <w:sz w:val="24"/>
          <w:szCs w:val="24"/>
        </w:rPr>
        <w:t>3</w:t>
      </w:r>
      <w:r w:rsidR="00EA62E9">
        <w:rPr>
          <w:rFonts w:ascii="Times New Roman" w:hAnsi="Times New Roman" w:cs="Times New Roman"/>
          <w:sz w:val="24"/>
          <w:szCs w:val="24"/>
        </w:rPr>
        <w:t>5</w:t>
      </w:r>
      <w:r w:rsidR="00EA62E9" w:rsidRPr="00623D01">
        <w:rPr>
          <w:rFonts w:ascii="Times New Roman" w:hAnsi="Times New Roman" w:cs="Times New Roman"/>
          <w:sz w:val="24"/>
          <w:szCs w:val="24"/>
        </w:rPr>
        <w:t xml:space="preserve"> </w:t>
      </w:r>
      <w:r w:rsidRPr="00623D01">
        <w:rPr>
          <w:rFonts w:ascii="Times New Roman" w:hAnsi="Times New Roman" w:cs="Times New Roman"/>
          <w:sz w:val="24"/>
          <w:szCs w:val="24"/>
        </w:rPr>
        <w:t>years, SD=13) or mobile offenders (M</w:t>
      </w:r>
      <w:r w:rsidR="00EA62E9">
        <w:rPr>
          <w:rFonts w:ascii="Times New Roman" w:hAnsi="Times New Roman" w:cs="Times New Roman"/>
          <w:sz w:val="24"/>
          <w:szCs w:val="24"/>
        </w:rPr>
        <w:t>dn</w:t>
      </w:r>
      <w:r w:rsidRPr="00623D01">
        <w:rPr>
          <w:rFonts w:ascii="Times New Roman" w:hAnsi="Times New Roman" w:cs="Times New Roman"/>
          <w:sz w:val="24"/>
          <w:szCs w:val="24"/>
        </w:rPr>
        <w:t>=</w:t>
      </w:r>
      <w:r w:rsidR="00EA62E9" w:rsidRPr="00623D01">
        <w:rPr>
          <w:rFonts w:ascii="Times New Roman" w:hAnsi="Times New Roman" w:cs="Times New Roman"/>
          <w:sz w:val="24"/>
          <w:szCs w:val="24"/>
        </w:rPr>
        <w:t>3</w:t>
      </w:r>
      <w:r w:rsidR="00EA62E9">
        <w:rPr>
          <w:rFonts w:ascii="Times New Roman" w:hAnsi="Times New Roman" w:cs="Times New Roman"/>
          <w:sz w:val="24"/>
          <w:szCs w:val="24"/>
        </w:rPr>
        <w:t>2</w:t>
      </w:r>
      <w:r w:rsidR="00EA62E9" w:rsidRPr="00623D01">
        <w:rPr>
          <w:rFonts w:ascii="Times New Roman" w:hAnsi="Times New Roman" w:cs="Times New Roman"/>
          <w:sz w:val="24"/>
          <w:szCs w:val="24"/>
        </w:rPr>
        <w:t xml:space="preserve"> </w:t>
      </w:r>
      <w:r w:rsidRPr="00623D01">
        <w:rPr>
          <w:rFonts w:ascii="Times New Roman" w:hAnsi="Times New Roman" w:cs="Times New Roman"/>
          <w:sz w:val="24"/>
          <w:szCs w:val="24"/>
        </w:rPr>
        <w:t xml:space="preserve">years, SD=13) at first conviction. Early-onset of offending may in turn have led to increased levels of offending </w:t>
      </w:r>
      <w:r w:rsidR="009D10D6">
        <w:rPr>
          <w:rFonts w:ascii="Times New Roman" w:hAnsi="Times New Roman" w:cs="Times New Roman"/>
          <w:sz w:val="24"/>
          <w:szCs w:val="24"/>
        </w:rPr>
        <w:t xml:space="preserve">persisting </w:t>
      </w:r>
      <w:r w:rsidRPr="00623D01">
        <w:rPr>
          <w:rFonts w:ascii="Times New Roman" w:hAnsi="Times New Roman" w:cs="Times New Roman"/>
          <w:sz w:val="24"/>
          <w:szCs w:val="24"/>
        </w:rPr>
        <w:t xml:space="preserve">over </w:t>
      </w:r>
      <w:r w:rsidR="009D10D6">
        <w:rPr>
          <w:rFonts w:ascii="Times New Roman" w:hAnsi="Times New Roman" w:cs="Times New Roman"/>
          <w:sz w:val="24"/>
          <w:szCs w:val="24"/>
        </w:rPr>
        <w:t xml:space="preserve">their life-course which is most </w:t>
      </w:r>
      <w:r w:rsidRPr="00623D01">
        <w:rPr>
          <w:rFonts w:ascii="Times New Roman" w:hAnsi="Times New Roman" w:cs="Times New Roman"/>
          <w:sz w:val="24"/>
          <w:szCs w:val="24"/>
        </w:rPr>
        <w:t xml:space="preserve">evident among urban offenders when compared to their rural counterparts. It may in turn explain why urban offenders were </w:t>
      </w:r>
      <w:r w:rsidR="0047456C">
        <w:rPr>
          <w:rFonts w:ascii="Times New Roman" w:hAnsi="Times New Roman" w:cs="Times New Roman"/>
          <w:sz w:val="24"/>
          <w:szCs w:val="24"/>
        </w:rPr>
        <w:t xml:space="preserve">particularly likely to be </w:t>
      </w:r>
      <w:r w:rsidRPr="00623D01">
        <w:rPr>
          <w:rFonts w:ascii="Times New Roman" w:hAnsi="Times New Roman" w:cs="Times New Roman"/>
          <w:sz w:val="24"/>
          <w:szCs w:val="24"/>
        </w:rPr>
        <w:t xml:space="preserve">listed as having never been married on their initial entry to the prison system (Table </w:t>
      </w:r>
      <w:r w:rsidR="00703FF4">
        <w:rPr>
          <w:rFonts w:ascii="Times New Roman" w:hAnsi="Times New Roman" w:cs="Times New Roman"/>
          <w:sz w:val="24"/>
          <w:szCs w:val="24"/>
        </w:rPr>
        <w:t>4</w:t>
      </w:r>
      <w:r w:rsidRPr="00623D01">
        <w:rPr>
          <w:rFonts w:ascii="Times New Roman" w:hAnsi="Times New Roman" w:cs="Times New Roman"/>
          <w:sz w:val="24"/>
          <w:szCs w:val="24"/>
        </w:rPr>
        <w:t>).</w:t>
      </w:r>
      <w:r w:rsidR="009D10D6">
        <w:rPr>
          <w:rFonts w:ascii="Times New Roman" w:hAnsi="Times New Roman" w:cs="Times New Roman"/>
          <w:sz w:val="24"/>
          <w:szCs w:val="24"/>
        </w:rPr>
        <w:t xml:space="preserve"> </w:t>
      </w:r>
    </w:p>
    <w:p w14:paraId="0E7D53C4" w14:textId="5485D187" w:rsidR="00FB3618" w:rsidRDefault="00FB3618" w:rsidP="00623D01">
      <w:pPr>
        <w:spacing w:line="480" w:lineRule="auto"/>
        <w:ind w:firstLine="720"/>
        <w:rPr>
          <w:rFonts w:ascii="Times New Roman" w:hAnsi="Times New Roman" w:cs="Times New Roman"/>
          <w:sz w:val="24"/>
          <w:szCs w:val="24"/>
        </w:rPr>
      </w:pPr>
      <w:r w:rsidRPr="00623D01">
        <w:rPr>
          <w:rFonts w:ascii="Times New Roman" w:hAnsi="Times New Roman" w:cs="Times New Roman"/>
          <w:sz w:val="24"/>
          <w:szCs w:val="24"/>
        </w:rPr>
        <w:t xml:space="preserve">Rural women, on the other hand, accounted for an increased proportion of those first convicted after 30 years of age and whose last conviction did not take place until they were over 50 years old, as well as those who were widowed on first entry to gaol. This may indicate a particular ‘problem’ group of older women in rural or regional communities who in the absence of strong familial bonds – and perhaps with declining employment prospects – found themselves cast on the support of the justice system. The elevated proportions of rural women imprisoned for drunkenness and indecent language may indicate that these were the primary ways such women were policed, or that such behaviours became more common </w:t>
      </w:r>
      <w:r w:rsidR="00064A11">
        <w:rPr>
          <w:rFonts w:ascii="Times New Roman" w:hAnsi="Times New Roman" w:cs="Times New Roman"/>
          <w:sz w:val="24"/>
          <w:szCs w:val="24"/>
        </w:rPr>
        <w:t xml:space="preserve">among rural women </w:t>
      </w:r>
      <w:r w:rsidRPr="00623D01">
        <w:rPr>
          <w:rFonts w:ascii="Times New Roman" w:hAnsi="Times New Roman" w:cs="Times New Roman"/>
          <w:sz w:val="24"/>
          <w:szCs w:val="24"/>
        </w:rPr>
        <w:t xml:space="preserve">with age and the </w:t>
      </w:r>
      <w:r w:rsidR="00064A11">
        <w:rPr>
          <w:rFonts w:ascii="Times New Roman" w:hAnsi="Times New Roman" w:cs="Times New Roman"/>
          <w:sz w:val="24"/>
          <w:szCs w:val="24"/>
        </w:rPr>
        <w:t>removal</w:t>
      </w:r>
      <w:r w:rsidR="00064A11" w:rsidRPr="00623D01">
        <w:rPr>
          <w:rFonts w:ascii="Times New Roman" w:hAnsi="Times New Roman" w:cs="Times New Roman"/>
          <w:sz w:val="24"/>
          <w:szCs w:val="24"/>
        </w:rPr>
        <w:t xml:space="preserve"> </w:t>
      </w:r>
      <w:r w:rsidRPr="00623D01">
        <w:rPr>
          <w:rFonts w:ascii="Times New Roman" w:hAnsi="Times New Roman" w:cs="Times New Roman"/>
          <w:sz w:val="24"/>
          <w:szCs w:val="24"/>
        </w:rPr>
        <w:t xml:space="preserve">of social controls exerted by patriarchal figures. </w:t>
      </w:r>
    </w:p>
    <w:p w14:paraId="2CC4063B" w14:textId="77777777" w:rsidR="00A66047" w:rsidRPr="00623D01" w:rsidRDefault="00A66047" w:rsidP="00623D01">
      <w:pPr>
        <w:spacing w:line="480" w:lineRule="auto"/>
        <w:ind w:firstLine="720"/>
        <w:rPr>
          <w:rFonts w:ascii="Times New Roman" w:hAnsi="Times New Roman" w:cs="Times New Roman"/>
          <w:sz w:val="24"/>
          <w:szCs w:val="24"/>
        </w:rPr>
      </w:pPr>
    </w:p>
    <w:p w14:paraId="790347B0" w14:textId="6BC93004" w:rsidR="00FB3618" w:rsidRPr="00623D01" w:rsidRDefault="00205F8F" w:rsidP="00205F8F">
      <w:pPr>
        <w:spacing w:line="480" w:lineRule="auto"/>
        <w:rPr>
          <w:rFonts w:ascii="Times New Roman" w:hAnsi="Times New Roman" w:cs="Times New Roman"/>
        </w:rPr>
      </w:pPr>
      <w:r w:rsidRPr="009A7DF2">
        <w:rPr>
          <w:rFonts w:ascii="Times New Roman" w:hAnsi="Times New Roman" w:cs="Times New Roman"/>
          <w:b/>
          <w:sz w:val="24"/>
          <w:szCs w:val="24"/>
        </w:rPr>
        <w:t xml:space="preserve">Table </w:t>
      </w:r>
      <w:r>
        <w:rPr>
          <w:rFonts w:ascii="Times New Roman" w:hAnsi="Times New Roman" w:cs="Times New Roman"/>
          <w:b/>
          <w:sz w:val="24"/>
          <w:szCs w:val="24"/>
        </w:rPr>
        <w:t>4</w:t>
      </w:r>
      <w:r w:rsidRPr="009A7DF2">
        <w:rPr>
          <w:rFonts w:ascii="Times New Roman" w:hAnsi="Times New Roman" w:cs="Times New Roman"/>
          <w:b/>
          <w:sz w:val="24"/>
          <w:szCs w:val="24"/>
        </w:rPr>
        <w:t>. Background characteristics of urban, rural and mobile offenders</w:t>
      </w:r>
    </w:p>
    <w:tbl>
      <w:tblPr>
        <w:tblStyle w:val="TableGrid"/>
        <w:tblW w:w="0" w:type="auto"/>
        <w:tblLook w:val="04A0" w:firstRow="1" w:lastRow="0" w:firstColumn="1" w:lastColumn="0" w:noHBand="0" w:noVBand="1"/>
      </w:tblPr>
      <w:tblGrid>
        <w:gridCol w:w="1550"/>
        <w:gridCol w:w="2356"/>
        <w:gridCol w:w="1096"/>
        <w:gridCol w:w="1123"/>
        <w:gridCol w:w="1123"/>
        <w:gridCol w:w="1361"/>
      </w:tblGrid>
      <w:tr w:rsidR="00FB3618" w:rsidRPr="009A7DF2" w14:paraId="2688D877" w14:textId="77777777" w:rsidTr="00205F8F">
        <w:tc>
          <w:tcPr>
            <w:tcW w:w="1550" w:type="dxa"/>
          </w:tcPr>
          <w:p w14:paraId="5378C1C9"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Variable</w:t>
            </w:r>
          </w:p>
        </w:tc>
        <w:tc>
          <w:tcPr>
            <w:tcW w:w="2356" w:type="dxa"/>
          </w:tcPr>
          <w:p w14:paraId="5AAF23A5"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Characteristic</w:t>
            </w:r>
          </w:p>
        </w:tc>
        <w:tc>
          <w:tcPr>
            <w:tcW w:w="1096" w:type="dxa"/>
          </w:tcPr>
          <w:p w14:paraId="0BF752C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Number of female prisoners</w:t>
            </w:r>
          </w:p>
        </w:tc>
        <w:tc>
          <w:tcPr>
            <w:tcW w:w="1123" w:type="dxa"/>
          </w:tcPr>
          <w:p w14:paraId="2A303E7E"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Urban offenders %</w:t>
            </w:r>
          </w:p>
        </w:tc>
        <w:tc>
          <w:tcPr>
            <w:tcW w:w="1123" w:type="dxa"/>
          </w:tcPr>
          <w:p w14:paraId="17DA2E35"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Rural offenders %</w:t>
            </w:r>
          </w:p>
        </w:tc>
        <w:tc>
          <w:tcPr>
            <w:tcW w:w="1361" w:type="dxa"/>
          </w:tcPr>
          <w:p w14:paraId="282B7734"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Mobile offenders %</w:t>
            </w:r>
          </w:p>
        </w:tc>
      </w:tr>
      <w:tr w:rsidR="00FB3618" w:rsidRPr="009A7DF2" w14:paraId="1157884E" w14:textId="77777777" w:rsidTr="00205F8F">
        <w:tc>
          <w:tcPr>
            <w:tcW w:w="1550" w:type="dxa"/>
            <w:vMerge w:val="restart"/>
            <w:vAlign w:val="center"/>
          </w:tcPr>
          <w:p w14:paraId="6AE50726" w14:textId="77777777" w:rsidR="00FB3618" w:rsidRPr="009A7DF2" w:rsidRDefault="00FB3618" w:rsidP="00623D01">
            <w:pPr>
              <w:spacing w:line="480" w:lineRule="auto"/>
              <w:jc w:val="center"/>
              <w:rPr>
                <w:rFonts w:ascii="Times New Roman" w:hAnsi="Times New Roman" w:cs="Times New Roman"/>
                <w:sz w:val="24"/>
                <w:szCs w:val="24"/>
                <w:vertAlign w:val="superscript"/>
              </w:rPr>
            </w:pPr>
            <w:r w:rsidRPr="009A7DF2">
              <w:rPr>
                <w:rFonts w:ascii="Times New Roman" w:hAnsi="Times New Roman" w:cs="Times New Roman"/>
                <w:sz w:val="24"/>
                <w:szCs w:val="24"/>
              </w:rPr>
              <w:t xml:space="preserve">Age range at first conviction </w:t>
            </w:r>
            <w:r w:rsidRPr="009A7DF2">
              <w:rPr>
                <w:rFonts w:ascii="Times New Roman" w:hAnsi="Times New Roman" w:cs="Times New Roman"/>
                <w:sz w:val="24"/>
                <w:szCs w:val="24"/>
                <w:vertAlign w:val="superscript"/>
              </w:rPr>
              <w:t>a</w:t>
            </w:r>
          </w:p>
        </w:tc>
        <w:tc>
          <w:tcPr>
            <w:tcW w:w="2356" w:type="dxa"/>
            <w:vAlign w:val="center"/>
          </w:tcPr>
          <w:p w14:paraId="6F50264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&lt;=18 years</w:t>
            </w:r>
          </w:p>
        </w:tc>
        <w:tc>
          <w:tcPr>
            <w:tcW w:w="1096" w:type="dxa"/>
            <w:vAlign w:val="center"/>
          </w:tcPr>
          <w:p w14:paraId="70DA4E95"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589</w:t>
            </w:r>
          </w:p>
        </w:tc>
        <w:tc>
          <w:tcPr>
            <w:tcW w:w="1123" w:type="dxa"/>
            <w:vAlign w:val="center"/>
          </w:tcPr>
          <w:p w14:paraId="020598A7"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77.2</w:t>
            </w:r>
          </w:p>
        </w:tc>
        <w:tc>
          <w:tcPr>
            <w:tcW w:w="1123" w:type="dxa"/>
            <w:vAlign w:val="center"/>
          </w:tcPr>
          <w:p w14:paraId="2BBDEF26"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19.7</w:t>
            </w:r>
          </w:p>
        </w:tc>
        <w:tc>
          <w:tcPr>
            <w:tcW w:w="1361" w:type="dxa"/>
            <w:vAlign w:val="center"/>
          </w:tcPr>
          <w:p w14:paraId="308C4C4A"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3.1</w:t>
            </w:r>
          </w:p>
        </w:tc>
      </w:tr>
      <w:tr w:rsidR="00FB3618" w:rsidRPr="009A7DF2" w14:paraId="7B6EF51D" w14:textId="77777777" w:rsidTr="00205F8F">
        <w:tc>
          <w:tcPr>
            <w:tcW w:w="1550" w:type="dxa"/>
            <w:vMerge/>
            <w:vAlign w:val="center"/>
          </w:tcPr>
          <w:p w14:paraId="6614CE82"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47433794"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19-30 years</w:t>
            </w:r>
          </w:p>
        </w:tc>
        <w:tc>
          <w:tcPr>
            <w:tcW w:w="1096" w:type="dxa"/>
            <w:vAlign w:val="center"/>
          </w:tcPr>
          <w:p w14:paraId="78B8073F"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2395</w:t>
            </w:r>
          </w:p>
        </w:tc>
        <w:tc>
          <w:tcPr>
            <w:tcW w:w="1123" w:type="dxa"/>
            <w:vAlign w:val="center"/>
          </w:tcPr>
          <w:p w14:paraId="46FAFDF6"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76</w:t>
            </w:r>
          </w:p>
        </w:tc>
        <w:tc>
          <w:tcPr>
            <w:tcW w:w="1123" w:type="dxa"/>
            <w:vAlign w:val="center"/>
          </w:tcPr>
          <w:p w14:paraId="25EDACCC"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19.4</w:t>
            </w:r>
          </w:p>
        </w:tc>
        <w:tc>
          <w:tcPr>
            <w:tcW w:w="1361" w:type="dxa"/>
            <w:vAlign w:val="center"/>
          </w:tcPr>
          <w:p w14:paraId="2A0ACD33"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4.6</w:t>
            </w:r>
          </w:p>
        </w:tc>
      </w:tr>
      <w:tr w:rsidR="00FB3618" w:rsidRPr="009A7DF2" w14:paraId="298A366D" w14:textId="77777777" w:rsidTr="00205F8F">
        <w:tc>
          <w:tcPr>
            <w:tcW w:w="1550" w:type="dxa"/>
            <w:vMerge/>
            <w:vAlign w:val="center"/>
          </w:tcPr>
          <w:p w14:paraId="6ABE66B3"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2576C2F6"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&gt;30 years</w:t>
            </w:r>
          </w:p>
        </w:tc>
        <w:tc>
          <w:tcPr>
            <w:tcW w:w="1096" w:type="dxa"/>
            <w:vAlign w:val="center"/>
          </w:tcPr>
          <w:p w14:paraId="58221A5A"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3008</w:t>
            </w:r>
          </w:p>
        </w:tc>
        <w:tc>
          <w:tcPr>
            <w:tcW w:w="1123" w:type="dxa"/>
            <w:vAlign w:val="center"/>
          </w:tcPr>
          <w:p w14:paraId="2F59D75F"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64.9</w:t>
            </w:r>
          </w:p>
        </w:tc>
        <w:tc>
          <w:tcPr>
            <w:tcW w:w="1123" w:type="dxa"/>
            <w:vAlign w:val="center"/>
          </w:tcPr>
          <w:p w14:paraId="24A827D6"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30.2</w:t>
            </w:r>
          </w:p>
        </w:tc>
        <w:tc>
          <w:tcPr>
            <w:tcW w:w="1361" w:type="dxa"/>
            <w:vAlign w:val="center"/>
          </w:tcPr>
          <w:p w14:paraId="620D0BCA"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4.9</w:t>
            </w:r>
          </w:p>
        </w:tc>
      </w:tr>
      <w:tr w:rsidR="00FB3618" w:rsidRPr="009A7DF2" w14:paraId="53DF6D3E" w14:textId="77777777" w:rsidTr="00205F8F">
        <w:tc>
          <w:tcPr>
            <w:tcW w:w="1550" w:type="dxa"/>
            <w:vMerge w:val="restart"/>
            <w:vAlign w:val="center"/>
          </w:tcPr>
          <w:p w14:paraId="3656B89C" w14:textId="77777777" w:rsidR="00FB3618" w:rsidRPr="009A7DF2" w:rsidRDefault="00FB3618" w:rsidP="00623D01">
            <w:pPr>
              <w:spacing w:line="480" w:lineRule="auto"/>
              <w:jc w:val="center"/>
              <w:rPr>
                <w:rFonts w:ascii="Times New Roman" w:hAnsi="Times New Roman" w:cs="Times New Roman"/>
                <w:sz w:val="24"/>
                <w:szCs w:val="24"/>
                <w:vertAlign w:val="superscript"/>
              </w:rPr>
            </w:pPr>
            <w:r w:rsidRPr="009A7DF2">
              <w:rPr>
                <w:rFonts w:ascii="Times New Roman" w:hAnsi="Times New Roman" w:cs="Times New Roman"/>
                <w:sz w:val="24"/>
                <w:szCs w:val="24"/>
              </w:rPr>
              <w:t xml:space="preserve">Age range at last conviction </w:t>
            </w:r>
            <w:r w:rsidRPr="009A7DF2">
              <w:rPr>
                <w:rFonts w:ascii="Times New Roman" w:hAnsi="Times New Roman" w:cs="Times New Roman"/>
                <w:sz w:val="24"/>
                <w:szCs w:val="24"/>
                <w:vertAlign w:val="superscript"/>
              </w:rPr>
              <w:t>b</w:t>
            </w:r>
          </w:p>
        </w:tc>
        <w:tc>
          <w:tcPr>
            <w:tcW w:w="2356" w:type="dxa"/>
            <w:vAlign w:val="center"/>
          </w:tcPr>
          <w:p w14:paraId="37F4F750"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&lt;30 years</w:t>
            </w:r>
          </w:p>
        </w:tc>
        <w:tc>
          <w:tcPr>
            <w:tcW w:w="1096" w:type="dxa"/>
            <w:vAlign w:val="center"/>
          </w:tcPr>
          <w:p w14:paraId="4BC08C35"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2109</w:t>
            </w:r>
          </w:p>
        </w:tc>
        <w:tc>
          <w:tcPr>
            <w:tcW w:w="1123" w:type="dxa"/>
            <w:vAlign w:val="center"/>
          </w:tcPr>
          <w:p w14:paraId="34CFA66B"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77.1</w:t>
            </w:r>
          </w:p>
        </w:tc>
        <w:tc>
          <w:tcPr>
            <w:tcW w:w="1123" w:type="dxa"/>
            <w:vAlign w:val="center"/>
          </w:tcPr>
          <w:p w14:paraId="1D30368F"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21.1</w:t>
            </w:r>
          </w:p>
        </w:tc>
        <w:tc>
          <w:tcPr>
            <w:tcW w:w="1361" w:type="dxa"/>
            <w:vAlign w:val="center"/>
          </w:tcPr>
          <w:p w14:paraId="5DA9BDB3"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1.8</w:t>
            </w:r>
          </w:p>
        </w:tc>
      </w:tr>
      <w:tr w:rsidR="00FB3618" w:rsidRPr="009A7DF2" w14:paraId="1EDC7AB4" w14:textId="77777777" w:rsidTr="00205F8F">
        <w:tc>
          <w:tcPr>
            <w:tcW w:w="1550" w:type="dxa"/>
            <w:vMerge/>
            <w:vAlign w:val="center"/>
          </w:tcPr>
          <w:p w14:paraId="3D6ECEF9"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5F06EC10"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30-49 years</w:t>
            </w:r>
          </w:p>
        </w:tc>
        <w:tc>
          <w:tcPr>
            <w:tcW w:w="1096" w:type="dxa"/>
            <w:vAlign w:val="center"/>
          </w:tcPr>
          <w:p w14:paraId="279B1833"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2811</w:t>
            </w:r>
          </w:p>
        </w:tc>
        <w:tc>
          <w:tcPr>
            <w:tcW w:w="1123" w:type="dxa"/>
            <w:vAlign w:val="center"/>
          </w:tcPr>
          <w:p w14:paraId="03FC3612"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69.9</w:t>
            </w:r>
          </w:p>
        </w:tc>
        <w:tc>
          <w:tcPr>
            <w:tcW w:w="1123" w:type="dxa"/>
            <w:vAlign w:val="center"/>
          </w:tcPr>
          <w:p w14:paraId="7DB30656"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26</w:t>
            </w:r>
          </w:p>
        </w:tc>
        <w:tc>
          <w:tcPr>
            <w:tcW w:w="1361" w:type="dxa"/>
            <w:vAlign w:val="center"/>
          </w:tcPr>
          <w:p w14:paraId="5806FB1D"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4.1</w:t>
            </w:r>
          </w:p>
        </w:tc>
      </w:tr>
      <w:tr w:rsidR="00FB3618" w:rsidRPr="009A7DF2" w14:paraId="0EC31A5E" w14:textId="77777777" w:rsidTr="00205F8F">
        <w:tc>
          <w:tcPr>
            <w:tcW w:w="1550" w:type="dxa"/>
            <w:vMerge/>
            <w:vAlign w:val="center"/>
          </w:tcPr>
          <w:p w14:paraId="0B5C05D7"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6458B04B"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 xml:space="preserve">&gt;=50 years </w:t>
            </w:r>
          </w:p>
        </w:tc>
        <w:tc>
          <w:tcPr>
            <w:tcW w:w="1096" w:type="dxa"/>
            <w:vAlign w:val="center"/>
          </w:tcPr>
          <w:p w14:paraId="39700703"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1072</w:t>
            </w:r>
          </w:p>
        </w:tc>
        <w:tc>
          <w:tcPr>
            <w:tcW w:w="1123" w:type="dxa"/>
            <w:vAlign w:val="center"/>
          </w:tcPr>
          <w:p w14:paraId="19C9C8CC"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59.4</w:t>
            </w:r>
          </w:p>
        </w:tc>
        <w:tc>
          <w:tcPr>
            <w:tcW w:w="1123" w:type="dxa"/>
            <w:vAlign w:val="center"/>
          </w:tcPr>
          <w:p w14:paraId="6D28F141"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29.4</w:t>
            </w:r>
          </w:p>
        </w:tc>
        <w:tc>
          <w:tcPr>
            <w:tcW w:w="1361" w:type="dxa"/>
            <w:vAlign w:val="center"/>
          </w:tcPr>
          <w:p w14:paraId="56BC3ED3"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11.2</w:t>
            </w:r>
          </w:p>
        </w:tc>
      </w:tr>
      <w:tr w:rsidR="00FB3618" w:rsidRPr="009A7DF2" w14:paraId="3472C89A" w14:textId="77777777" w:rsidTr="00205F8F">
        <w:tc>
          <w:tcPr>
            <w:tcW w:w="1550" w:type="dxa"/>
            <w:vMerge w:val="restart"/>
            <w:vAlign w:val="center"/>
          </w:tcPr>
          <w:p w14:paraId="6DD74955" w14:textId="77777777" w:rsidR="00FB3618" w:rsidRPr="009A7DF2" w:rsidRDefault="00FB3618" w:rsidP="00623D01">
            <w:pPr>
              <w:spacing w:line="480" w:lineRule="auto"/>
              <w:jc w:val="center"/>
              <w:rPr>
                <w:rFonts w:ascii="Times New Roman" w:hAnsi="Times New Roman" w:cs="Times New Roman"/>
                <w:sz w:val="24"/>
                <w:szCs w:val="24"/>
                <w:vertAlign w:val="superscript"/>
              </w:rPr>
            </w:pPr>
            <w:r w:rsidRPr="009A7DF2">
              <w:rPr>
                <w:rFonts w:ascii="Times New Roman" w:hAnsi="Times New Roman" w:cs="Times New Roman"/>
                <w:sz w:val="24"/>
                <w:szCs w:val="24"/>
              </w:rPr>
              <w:t xml:space="preserve">Marital status </w:t>
            </w:r>
            <w:r w:rsidRPr="009A7DF2">
              <w:rPr>
                <w:rFonts w:ascii="Times New Roman" w:hAnsi="Times New Roman" w:cs="Times New Roman"/>
                <w:sz w:val="24"/>
                <w:szCs w:val="24"/>
                <w:vertAlign w:val="superscript"/>
              </w:rPr>
              <w:t>c</w:t>
            </w:r>
          </w:p>
        </w:tc>
        <w:tc>
          <w:tcPr>
            <w:tcW w:w="2356" w:type="dxa"/>
            <w:vAlign w:val="center"/>
          </w:tcPr>
          <w:p w14:paraId="77254321"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Married</w:t>
            </w:r>
          </w:p>
        </w:tc>
        <w:tc>
          <w:tcPr>
            <w:tcW w:w="1096" w:type="dxa"/>
            <w:vAlign w:val="center"/>
          </w:tcPr>
          <w:p w14:paraId="6B8D2F90"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1304</w:t>
            </w:r>
          </w:p>
        </w:tc>
        <w:tc>
          <w:tcPr>
            <w:tcW w:w="1123" w:type="dxa"/>
            <w:vAlign w:val="center"/>
          </w:tcPr>
          <w:p w14:paraId="22669AC7"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59.7</w:t>
            </w:r>
          </w:p>
        </w:tc>
        <w:tc>
          <w:tcPr>
            <w:tcW w:w="1123" w:type="dxa"/>
            <w:vAlign w:val="center"/>
          </w:tcPr>
          <w:p w14:paraId="554C9AAF"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26.2</w:t>
            </w:r>
          </w:p>
        </w:tc>
        <w:tc>
          <w:tcPr>
            <w:tcW w:w="1361" w:type="dxa"/>
            <w:vAlign w:val="center"/>
          </w:tcPr>
          <w:p w14:paraId="76D715F8"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4.1</w:t>
            </w:r>
          </w:p>
        </w:tc>
      </w:tr>
      <w:tr w:rsidR="00FB3618" w:rsidRPr="009A7DF2" w14:paraId="56440DC4" w14:textId="77777777" w:rsidTr="00205F8F">
        <w:tc>
          <w:tcPr>
            <w:tcW w:w="1550" w:type="dxa"/>
            <w:vMerge/>
            <w:vAlign w:val="center"/>
          </w:tcPr>
          <w:p w14:paraId="32867903"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6BDD435A"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Never married</w:t>
            </w:r>
          </w:p>
        </w:tc>
        <w:tc>
          <w:tcPr>
            <w:tcW w:w="1096" w:type="dxa"/>
            <w:vAlign w:val="center"/>
          </w:tcPr>
          <w:p w14:paraId="226DB6A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638</w:t>
            </w:r>
          </w:p>
        </w:tc>
        <w:tc>
          <w:tcPr>
            <w:tcW w:w="1123" w:type="dxa"/>
            <w:vAlign w:val="center"/>
          </w:tcPr>
          <w:p w14:paraId="6605E2B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75.4</w:t>
            </w:r>
          </w:p>
        </w:tc>
        <w:tc>
          <w:tcPr>
            <w:tcW w:w="1123" w:type="dxa"/>
            <w:vAlign w:val="center"/>
          </w:tcPr>
          <w:p w14:paraId="0AD848FA"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18</w:t>
            </w:r>
          </w:p>
        </w:tc>
        <w:tc>
          <w:tcPr>
            <w:tcW w:w="1361" w:type="dxa"/>
            <w:vAlign w:val="center"/>
          </w:tcPr>
          <w:p w14:paraId="267449E8"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6.6</w:t>
            </w:r>
          </w:p>
        </w:tc>
      </w:tr>
      <w:tr w:rsidR="00FB3618" w:rsidRPr="009A7DF2" w14:paraId="46F9D084" w14:textId="77777777" w:rsidTr="00205F8F">
        <w:tc>
          <w:tcPr>
            <w:tcW w:w="1550" w:type="dxa"/>
            <w:vMerge/>
            <w:vAlign w:val="center"/>
          </w:tcPr>
          <w:p w14:paraId="0BD0F2CC"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69FF205F"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Widowed</w:t>
            </w:r>
          </w:p>
        </w:tc>
        <w:tc>
          <w:tcPr>
            <w:tcW w:w="1096" w:type="dxa"/>
            <w:vAlign w:val="center"/>
          </w:tcPr>
          <w:p w14:paraId="7B89D96A"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368</w:t>
            </w:r>
          </w:p>
        </w:tc>
        <w:tc>
          <w:tcPr>
            <w:tcW w:w="1123" w:type="dxa"/>
            <w:vAlign w:val="center"/>
          </w:tcPr>
          <w:p w14:paraId="7266AFD7"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58.2</w:t>
            </w:r>
          </w:p>
        </w:tc>
        <w:tc>
          <w:tcPr>
            <w:tcW w:w="1123" w:type="dxa"/>
            <w:vAlign w:val="center"/>
          </w:tcPr>
          <w:p w14:paraId="6874C084"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35.6</w:t>
            </w:r>
          </w:p>
        </w:tc>
        <w:tc>
          <w:tcPr>
            <w:tcW w:w="1361" w:type="dxa"/>
            <w:vAlign w:val="center"/>
          </w:tcPr>
          <w:p w14:paraId="620A7A11"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6.3</w:t>
            </w:r>
          </w:p>
        </w:tc>
      </w:tr>
      <w:tr w:rsidR="00FB3618" w:rsidRPr="009A7DF2" w14:paraId="433B6397" w14:textId="77777777" w:rsidTr="00205F8F">
        <w:tc>
          <w:tcPr>
            <w:tcW w:w="1550" w:type="dxa"/>
            <w:vMerge/>
            <w:vAlign w:val="center"/>
          </w:tcPr>
          <w:p w14:paraId="78C138D5"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27AE3E43"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Divorced</w:t>
            </w:r>
          </w:p>
        </w:tc>
        <w:tc>
          <w:tcPr>
            <w:tcW w:w="1096" w:type="dxa"/>
            <w:vAlign w:val="center"/>
          </w:tcPr>
          <w:p w14:paraId="629765FB"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w:t>
            </w:r>
          </w:p>
        </w:tc>
        <w:tc>
          <w:tcPr>
            <w:tcW w:w="1123" w:type="dxa"/>
            <w:vAlign w:val="center"/>
          </w:tcPr>
          <w:p w14:paraId="65303FA0"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100</w:t>
            </w:r>
          </w:p>
        </w:tc>
        <w:tc>
          <w:tcPr>
            <w:tcW w:w="1123" w:type="dxa"/>
            <w:vAlign w:val="center"/>
          </w:tcPr>
          <w:p w14:paraId="0705B71E"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0</w:t>
            </w:r>
          </w:p>
        </w:tc>
        <w:tc>
          <w:tcPr>
            <w:tcW w:w="1361" w:type="dxa"/>
            <w:vAlign w:val="center"/>
          </w:tcPr>
          <w:p w14:paraId="014EB326"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0</w:t>
            </w:r>
          </w:p>
        </w:tc>
      </w:tr>
      <w:tr w:rsidR="00FB3618" w:rsidRPr="009A7DF2" w14:paraId="223DE8EB" w14:textId="77777777" w:rsidTr="00205F8F">
        <w:tc>
          <w:tcPr>
            <w:tcW w:w="1550" w:type="dxa"/>
            <w:vMerge w:val="restart"/>
            <w:vAlign w:val="center"/>
          </w:tcPr>
          <w:p w14:paraId="586866D4" w14:textId="77777777" w:rsidR="00FB3618" w:rsidRPr="009A7DF2" w:rsidRDefault="00FB3618" w:rsidP="00623D01">
            <w:pPr>
              <w:spacing w:line="480" w:lineRule="auto"/>
              <w:jc w:val="center"/>
              <w:rPr>
                <w:rFonts w:ascii="Times New Roman" w:hAnsi="Times New Roman" w:cs="Times New Roman"/>
                <w:sz w:val="24"/>
                <w:szCs w:val="24"/>
                <w:vertAlign w:val="superscript"/>
              </w:rPr>
            </w:pPr>
            <w:r w:rsidRPr="009A7DF2">
              <w:rPr>
                <w:rFonts w:ascii="Times New Roman" w:hAnsi="Times New Roman" w:cs="Times New Roman"/>
                <w:sz w:val="24"/>
                <w:szCs w:val="24"/>
              </w:rPr>
              <w:t xml:space="preserve">Literacy </w:t>
            </w:r>
            <w:r w:rsidRPr="009A7DF2">
              <w:rPr>
                <w:rFonts w:ascii="Times New Roman" w:hAnsi="Times New Roman" w:cs="Times New Roman"/>
                <w:sz w:val="24"/>
                <w:szCs w:val="24"/>
                <w:vertAlign w:val="superscript"/>
              </w:rPr>
              <w:t>d</w:t>
            </w:r>
          </w:p>
        </w:tc>
        <w:tc>
          <w:tcPr>
            <w:tcW w:w="2356" w:type="dxa"/>
            <w:vAlign w:val="center"/>
          </w:tcPr>
          <w:p w14:paraId="383DC98E"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Illiterate or limited literacy</w:t>
            </w:r>
          </w:p>
        </w:tc>
        <w:tc>
          <w:tcPr>
            <w:tcW w:w="1096" w:type="dxa"/>
            <w:vAlign w:val="center"/>
          </w:tcPr>
          <w:p w14:paraId="356A0DB3"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2121</w:t>
            </w:r>
          </w:p>
        </w:tc>
        <w:tc>
          <w:tcPr>
            <w:tcW w:w="1123" w:type="dxa"/>
            <w:vAlign w:val="center"/>
          </w:tcPr>
          <w:p w14:paraId="409C5FF3"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72.5</w:t>
            </w:r>
          </w:p>
        </w:tc>
        <w:tc>
          <w:tcPr>
            <w:tcW w:w="1123" w:type="dxa"/>
            <w:vAlign w:val="center"/>
          </w:tcPr>
          <w:p w14:paraId="4A19B189"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23.3</w:t>
            </w:r>
          </w:p>
        </w:tc>
        <w:tc>
          <w:tcPr>
            <w:tcW w:w="1361" w:type="dxa"/>
            <w:vAlign w:val="center"/>
          </w:tcPr>
          <w:p w14:paraId="56BCC0D1"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4.2</w:t>
            </w:r>
          </w:p>
        </w:tc>
      </w:tr>
      <w:tr w:rsidR="00FB3618" w:rsidRPr="009A7DF2" w14:paraId="66725567" w14:textId="77777777" w:rsidTr="00205F8F">
        <w:tc>
          <w:tcPr>
            <w:tcW w:w="1550" w:type="dxa"/>
            <w:vMerge/>
            <w:vAlign w:val="center"/>
          </w:tcPr>
          <w:p w14:paraId="3C1D54CA"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4C4AA5EB"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Literate</w:t>
            </w:r>
          </w:p>
        </w:tc>
        <w:tc>
          <w:tcPr>
            <w:tcW w:w="1096" w:type="dxa"/>
            <w:vAlign w:val="center"/>
          </w:tcPr>
          <w:p w14:paraId="66CC0EB9"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3818</w:t>
            </w:r>
          </w:p>
        </w:tc>
        <w:tc>
          <w:tcPr>
            <w:tcW w:w="1123" w:type="dxa"/>
            <w:vAlign w:val="center"/>
          </w:tcPr>
          <w:p w14:paraId="3D5DADB1"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69.9</w:t>
            </w:r>
          </w:p>
        </w:tc>
        <w:tc>
          <w:tcPr>
            <w:tcW w:w="1123" w:type="dxa"/>
            <w:vAlign w:val="center"/>
          </w:tcPr>
          <w:p w14:paraId="4DDD3B03"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25.5</w:t>
            </w:r>
          </w:p>
        </w:tc>
        <w:tc>
          <w:tcPr>
            <w:tcW w:w="1361" w:type="dxa"/>
            <w:vAlign w:val="center"/>
          </w:tcPr>
          <w:p w14:paraId="3B2DC884"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4.6</w:t>
            </w:r>
          </w:p>
        </w:tc>
      </w:tr>
      <w:tr w:rsidR="00FB3618" w:rsidRPr="009A7DF2" w14:paraId="52A64D3B" w14:textId="77777777" w:rsidTr="00205F8F">
        <w:tc>
          <w:tcPr>
            <w:tcW w:w="1550" w:type="dxa"/>
            <w:vMerge w:val="restart"/>
            <w:vAlign w:val="center"/>
          </w:tcPr>
          <w:p w14:paraId="4B434E5F" w14:textId="77777777" w:rsidR="00FB3618" w:rsidRPr="009A7DF2" w:rsidRDefault="00FB3618" w:rsidP="00623D01">
            <w:pPr>
              <w:spacing w:line="480" w:lineRule="auto"/>
              <w:jc w:val="center"/>
              <w:rPr>
                <w:rFonts w:ascii="Times New Roman" w:hAnsi="Times New Roman" w:cs="Times New Roman"/>
                <w:sz w:val="24"/>
                <w:szCs w:val="24"/>
                <w:vertAlign w:val="superscript"/>
              </w:rPr>
            </w:pPr>
            <w:r w:rsidRPr="009A7DF2">
              <w:rPr>
                <w:rFonts w:ascii="Times New Roman" w:hAnsi="Times New Roman" w:cs="Times New Roman"/>
                <w:sz w:val="24"/>
                <w:szCs w:val="24"/>
              </w:rPr>
              <w:t xml:space="preserve">Place born </w:t>
            </w:r>
            <w:r w:rsidRPr="009A7DF2">
              <w:rPr>
                <w:rFonts w:ascii="Times New Roman" w:hAnsi="Times New Roman" w:cs="Times New Roman"/>
                <w:sz w:val="24"/>
                <w:szCs w:val="24"/>
                <w:vertAlign w:val="superscript"/>
              </w:rPr>
              <w:t>e</w:t>
            </w:r>
          </w:p>
        </w:tc>
        <w:tc>
          <w:tcPr>
            <w:tcW w:w="2356" w:type="dxa"/>
            <w:vAlign w:val="center"/>
          </w:tcPr>
          <w:p w14:paraId="70227950"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Victoria</w:t>
            </w:r>
          </w:p>
        </w:tc>
        <w:tc>
          <w:tcPr>
            <w:tcW w:w="1096" w:type="dxa"/>
            <w:vAlign w:val="center"/>
          </w:tcPr>
          <w:p w14:paraId="7594D3FE"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1674</w:t>
            </w:r>
          </w:p>
        </w:tc>
        <w:tc>
          <w:tcPr>
            <w:tcW w:w="1123" w:type="dxa"/>
            <w:vAlign w:val="center"/>
          </w:tcPr>
          <w:p w14:paraId="6995A0B2"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70.6</w:t>
            </w:r>
          </w:p>
        </w:tc>
        <w:tc>
          <w:tcPr>
            <w:tcW w:w="1123" w:type="dxa"/>
            <w:vAlign w:val="center"/>
          </w:tcPr>
          <w:p w14:paraId="2C42BC62"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24.7</w:t>
            </w:r>
          </w:p>
        </w:tc>
        <w:tc>
          <w:tcPr>
            <w:tcW w:w="1361" w:type="dxa"/>
            <w:vAlign w:val="center"/>
          </w:tcPr>
          <w:p w14:paraId="1741CEC6"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4.7</w:t>
            </w:r>
          </w:p>
        </w:tc>
      </w:tr>
      <w:tr w:rsidR="00FB3618" w:rsidRPr="009A7DF2" w14:paraId="0586747D" w14:textId="77777777" w:rsidTr="00205F8F">
        <w:tc>
          <w:tcPr>
            <w:tcW w:w="1550" w:type="dxa"/>
            <w:vMerge/>
            <w:vAlign w:val="center"/>
          </w:tcPr>
          <w:p w14:paraId="50EDBF54"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4BD1CCC3"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Elsewhere Australia or New Zealand</w:t>
            </w:r>
          </w:p>
        </w:tc>
        <w:tc>
          <w:tcPr>
            <w:tcW w:w="1096" w:type="dxa"/>
            <w:vAlign w:val="center"/>
          </w:tcPr>
          <w:p w14:paraId="4AA9271C"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734</w:t>
            </w:r>
          </w:p>
        </w:tc>
        <w:tc>
          <w:tcPr>
            <w:tcW w:w="1123" w:type="dxa"/>
            <w:vAlign w:val="center"/>
          </w:tcPr>
          <w:p w14:paraId="564E47F2"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78.3</w:t>
            </w:r>
          </w:p>
        </w:tc>
        <w:tc>
          <w:tcPr>
            <w:tcW w:w="1123" w:type="dxa"/>
            <w:vAlign w:val="center"/>
          </w:tcPr>
          <w:p w14:paraId="142AE289"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17.2</w:t>
            </w:r>
          </w:p>
        </w:tc>
        <w:tc>
          <w:tcPr>
            <w:tcW w:w="1361" w:type="dxa"/>
            <w:vAlign w:val="center"/>
          </w:tcPr>
          <w:p w14:paraId="4C417085"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4.5</w:t>
            </w:r>
          </w:p>
        </w:tc>
      </w:tr>
      <w:tr w:rsidR="00FB3618" w:rsidRPr="009A7DF2" w14:paraId="6B0C4774" w14:textId="77777777" w:rsidTr="00205F8F">
        <w:tc>
          <w:tcPr>
            <w:tcW w:w="1550" w:type="dxa"/>
            <w:vMerge/>
            <w:vAlign w:val="center"/>
          </w:tcPr>
          <w:p w14:paraId="122F8E8B"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457C27A3"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Great Britain</w:t>
            </w:r>
          </w:p>
        </w:tc>
        <w:tc>
          <w:tcPr>
            <w:tcW w:w="1096" w:type="dxa"/>
            <w:vAlign w:val="center"/>
          </w:tcPr>
          <w:p w14:paraId="47097A72"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3431</w:t>
            </w:r>
          </w:p>
        </w:tc>
        <w:tc>
          <w:tcPr>
            <w:tcW w:w="1123" w:type="dxa"/>
            <w:vAlign w:val="center"/>
          </w:tcPr>
          <w:p w14:paraId="51AB4646"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68.8</w:t>
            </w:r>
          </w:p>
        </w:tc>
        <w:tc>
          <w:tcPr>
            <w:tcW w:w="1123" w:type="dxa"/>
            <w:vAlign w:val="center"/>
          </w:tcPr>
          <w:p w14:paraId="32B3C39F"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26.7</w:t>
            </w:r>
          </w:p>
        </w:tc>
        <w:tc>
          <w:tcPr>
            <w:tcW w:w="1361" w:type="dxa"/>
            <w:vAlign w:val="center"/>
          </w:tcPr>
          <w:p w14:paraId="35647C96"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4.5</w:t>
            </w:r>
          </w:p>
        </w:tc>
      </w:tr>
      <w:tr w:rsidR="00FB3618" w:rsidRPr="009A7DF2" w14:paraId="73A692B8" w14:textId="77777777" w:rsidTr="00205F8F">
        <w:tc>
          <w:tcPr>
            <w:tcW w:w="1550" w:type="dxa"/>
            <w:vMerge/>
            <w:vAlign w:val="center"/>
          </w:tcPr>
          <w:p w14:paraId="511E197C"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0AC49D11"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Elsewhere overseas</w:t>
            </w:r>
          </w:p>
        </w:tc>
        <w:tc>
          <w:tcPr>
            <w:tcW w:w="1096" w:type="dxa"/>
            <w:vAlign w:val="center"/>
          </w:tcPr>
          <w:p w14:paraId="33CA41AF"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149</w:t>
            </w:r>
          </w:p>
        </w:tc>
        <w:tc>
          <w:tcPr>
            <w:tcW w:w="1123" w:type="dxa"/>
            <w:vAlign w:val="center"/>
          </w:tcPr>
          <w:p w14:paraId="7146AC5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74.5</w:t>
            </w:r>
          </w:p>
        </w:tc>
        <w:tc>
          <w:tcPr>
            <w:tcW w:w="1123" w:type="dxa"/>
            <w:vAlign w:val="center"/>
          </w:tcPr>
          <w:p w14:paraId="3F4F6B2A"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20.1</w:t>
            </w:r>
          </w:p>
        </w:tc>
        <w:tc>
          <w:tcPr>
            <w:tcW w:w="1361" w:type="dxa"/>
            <w:vAlign w:val="center"/>
          </w:tcPr>
          <w:p w14:paraId="64CEFC01"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5.4</w:t>
            </w:r>
          </w:p>
        </w:tc>
      </w:tr>
      <w:tr w:rsidR="00FB3618" w:rsidRPr="009A7DF2" w14:paraId="7497C0E3" w14:textId="77777777" w:rsidTr="00205F8F">
        <w:tc>
          <w:tcPr>
            <w:tcW w:w="1550" w:type="dxa"/>
            <w:vMerge w:val="restart"/>
            <w:vAlign w:val="center"/>
          </w:tcPr>
          <w:p w14:paraId="58578D4F" w14:textId="77777777" w:rsidR="00FB3618" w:rsidRPr="009A7DF2" w:rsidRDefault="00FB3618" w:rsidP="00623D01">
            <w:pPr>
              <w:spacing w:line="480" w:lineRule="auto"/>
              <w:jc w:val="center"/>
              <w:rPr>
                <w:rFonts w:ascii="Times New Roman" w:hAnsi="Times New Roman" w:cs="Times New Roman"/>
                <w:sz w:val="24"/>
                <w:szCs w:val="24"/>
                <w:vertAlign w:val="superscript"/>
              </w:rPr>
            </w:pPr>
            <w:r w:rsidRPr="009A7DF2">
              <w:rPr>
                <w:rFonts w:ascii="Times New Roman" w:hAnsi="Times New Roman" w:cs="Times New Roman"/>
                <w:sz w:val="24"/>
                <w:szCs w:val="24"/>
              </w:rPr>
              <w:t xml:space="preserve">Occupation </w:t>
            </w:r>
            <w:r w:rsidRPr="009A7DF2">
              <w:rPr>
                <w:rFonts w:ascii="Times New Roman" w:hAnsi="Times New Roman" w:cs="Times New Roman"/>
                <w:sz w:val="24"/>
                <w:szCs w:val="24"/>
                <w:vertAlign w:val="superscript"/>
              </w:rPr>
              <w:t>f</w:t>
            </w:r>
          </w:p>
        </w:tc>
        <w:tc>
          <w:tcPr>
            <w:tcW w:w="2356" w:type="dxa"/>
            <w:vAlign w:val="center"/>
          </w:tcPr>
          <w:p w14:paraId="31D50244"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Servant</w:t>
            </w:r>
          </w:p>
        </w:tc>
        <w:tc>
          <w:tcPr>
            <w:tcW w:w="1096" w:type="dxa"/>
            <w:vAlign w:val="center"/>
          </w:tcPr>
          <w:p w14:paraId="53C4BA20"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3804</w:t>
            </w:r>
          </w:p>
        </w:tc>
        <w:tc>
          <w:tcPr>
            <w:tcW w:w="1123" w:type="dxa"/>
            <w:vAlign w:val="center"/>
          </w:tcPr>
          <w:p w14:paraId="3D254C25"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73.5</w:t>
            </w:r>
          </w:p>
        </w:tc>
        <w:tc>
          <w:tcPr>
            <w:tcW w:w="1123" w:type="dxa"/>
            <w:vAlign w:val="center"/>
          </w:tcPr>
          <w:p w14:paraId="5AE6FE35"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21.7</w:t>
            </w:r>
          </w:p>
        </w:tc>
        <w:tc>
          <w:tcPr>
            <w:tcW w:w="1361" w:type="dxa"/>
            <w:vAlign w:val="center"/>
          </w:tcPr>
          <w:p w14:paraId="6AB31E21"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4.8</w:t>
            </w:r>
          </w:p>
        </w:tc>
      </w:tr>
      <w:tr w:rsidR="00FB3618" w:rsidRPr="009A7DF2" w14:paraId="569AEF7C" w14:textId="77777777" w:rsidTr="00205F8F">
        <w:tc>
          <w:tcPr>
            <w:tcW w:w="1550" w:type="dxa"/>
            <w:vMerge/>
            <w:vAlign w:val="center"/>
          </w:tcPr>
          <w:p w14:paraId="7CCFA9B1"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45ADD46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Other working-class occupation</w:t>
            </w:r>
          </w:p>
        </w:tc>
        <w:tc>
          <w:tcPr>
            <w:tcW w:w="1096" w:type="dxa"/>
            <w:vAlign w:val="center"/>
          </w:tcPr>
          <w:p w14:paraId="38BB2D71"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925</w:t>
            </w:r>
          </w:p>
        </w:tc>
        <w:tc>
          <w:tcPr>
            <w:tcW w:w="1123" w:type="dxa"/>
            <w:vAlign w:val="center"/>
          </w:tcPr>
          <w:p w14:paraId="7FCB2BB4"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77.4</w:t>
            </w:r>
          </w:p>
        </w:tc>
        <w:tc>
          <w:tcPr>
            <w:tcW w:w="1123" w:type="dxa"/>
            <w:vAlign w:val="center"/>
          </w:tcPr>
          <w:p w14:paraId="3058888F"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18.1</w:t>
            </w:r>
          </w:p>
        </w:tc>
        <w:tc>
          <w:tcPr>
            <w:tcW w:w="1361" w:type="dxa"/>
            <w:vAlign w:val="center"/>
          </w:tcPr>
          <w:p w14:paraId="4F7BACA4"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4.5</w:t>
            </w:r>
          </w:p>
        </w:tc>
      </w:tr>
      <w:tr w:rsidR="00FB3618" w:rsidRPr="009A7DF2" w14:paraId="5B230EF4" w14:textId="77777777" w:rsidTr="00205F8F">
        <w:tc>
          <w:tcPr>
            <w:tcW w:w="1550" w:type="dxa"/>
            <w:vMerge/>
            <w:vAlign w:val="center"/>
          </w:tcPr>
          <w:p w14:paraId="10E25512"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55E65207"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Household duties</w:t>
            </w:r>
          </w:p>
        </w:tc>
        <w:tc>
          <w:tcPr>
            <w:tcW w:w="1096" w:type="dxa"/>
            <w:vAlign w:val="center"/>
          </w:tcPr>
          <w:p w14:paraId="7FE5C31C"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258</w:t>
            </w:r>
          </w:p>
        </w:tc>
        <w:tc>
          <w:tcPr>
            <w:tcW w:w="1123" w:type="dxa"/>
            <w:vAlign w:val="center"/>
          </w:tcPr>
          <w:p w14:paraId="2C7B10F2"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3.5</w:t>
            </w:r>
          </w:p>
        </w:tc>
        <w:tc>
          <w:tcPr>
            <w:tcW w:w="1123" w:type="dxa"/>
            <w:vAlign w:val="center"/>
          </w:tcPr>
          <w:p w14:paraId="0845CC7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92.6</w:t>
            </w:r>
          </w:p>
        </w:tc>
        <w:tc>
          <w:tcPr>
            <w:tcW w:w="1361" w:type="dxa"/>
            <w:vAlign w:val="center"/>
          </w:tcPr>
          <w:p w14:paraId="78C29034"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3.9</w:t>
            </w:r>
          </w:p>
        </w:tc>
      </w:tr>
      <w:tr w:rsidR="00FB3618" w:rsidRPr="009A7DF2" w14:paraId="085720FD" w14:textId="77777777" w:rsidTr="00205F8F">
        <w:tc>
          <w:tcPr>
            <w:tcW w:w="1550" w:type="dxa"/>
            <w:vMerge/>
            <w:vAlign w:val="center"/>
          </w:tcPr>
          <w:p w14:paraId="6B018E6A"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35C1684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Middle-class occupation</w:t>
            </w:r>
          </w:p>
        </w:tc>
        <w:tc>
          <w:tcPr>
            <w:tcW w:w="1096" w:type="dxa"/>
            <w:vAlign w:val="center"/>
          </w:tcPr>
          <w:p w14:paraId="57CB2C1C"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111</w:t>
            </w:r>
          </w:p>
        </w:tc>
        <w:tc>
          <w:tcPr>
            <w:tcW w:w="1123" w:type="dxa"/>
            <w:vAlign w:val="center"/>
          </w:tcPr>
          <w:p w14:paraId="28681BB8"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80.2</w:t>
            </w:r>
          </w:p>
        </w:tc>
        <w:tc>
          <w:tcPr>
            <w:tcW w:w="1123" w:type="dxa"/>
            <w:vAlign w:val="center"/>
          </w:tcPr>
          <w:p w14:paraId="3CFC2AC0"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14.4</w:t>
            </w:r>
          </w:p>
        </w:tc>
        <w:tc>
          <w:tcPr>
            <w:tcW w:w="1361" w:type="dxa"/>
            <w:vAlign w:val="center"/>
          </w:tcPr>
          <w:p w14:paraId="3100D77A"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5.4</w:t>
            </w:r>
          </w:p>
        </w:tc>
      </w:tr>
      <w:tr w:rsidR="00FB3618" w:rsidRPr="009A7DF2" w14:paraId="5B71DDAE" w14:textId="77777777" w:rsidTr="00205F8F">
        <w:tc>
          <w:tcPr>
            <w:tcW w:w="1550" w:type="dxa"/>
            <w:vMerge w:val="restart"/>
            <w:vAlign w:val="center"/>
          </w:tcPr>
          <w:p w14:paraId="11995032" w14:textId="77777777" w:rsidR="00FB3618" w:rsidRPr="009A7DF2" w:rsidRDefault="00FB3618" w:rsidP="00623D01">
            <w:pPr>
              <w:spacing w:line="480" w:lineRule="auto"/>
              <w:jc w:val="center"/>
              <w:rPr>
                <w:rFonts w:ascii="Times New Roman" w:hAnsi="Times New Roman" w:cs="Times New Roman"/>
                <w:sz w:val="24"/>
                <w:szCs w:val="24"/>
                <w:vertAlign w:val="superscript"/>
              </w:rPr>
            </w:pPr>
            <w:r w:rsidRPr="009A7DF2">
              <w:rPr>
                <w:rFonts w:ascii="Times New Roman" w:hAnsi="Times New Roman" w:cs="Times New Roman"/>
                <w:sz w:val="24"/>
                <w:szCs w:val="24"/>
              </w:rPr>
              <w:lastRenderedPageBreak/>
              <w:t xml:space="preserve">Mental and physical condition </w:t>
            </w:r>
            <w:r w:rsidRPr="009A7DF2">
              <w:rPr>
                <w:rFonts w:ascii="Times New Roman" w:hAnsi="Times New Roman" w:cs="Times New Roman"/>
                <w:sz w:val="24"/>
                <w:szCs w:val="24"/>
                <w:vertAlign w:val="superscript"/>
              </w:rPr>
              <w:t>g</w:t>
            </w:r>
          </w:p>
        </w:tc>
        <w:tc>
          <w:tcPr>
            <w:tcW w:w="2356" w:type="dxa"/>
            <w:vAlign w:val="center"/>
          </w:tcPr>
          <w:p w14:paraId="41A6502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No disability noted</w:t>
            </w:r>
          </w:p>
        </w:tc>
        <w:tc>
          <w:tcPr>
            <w:tcW w:w="1096" w:type="dxa"/>
            <w:vAlign w:val="center"/>
          </w:tcPr>
          <w:p w14:paraId="245EA92A"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5978</w:t>
            </w:r>
          </w:p>
        </w:tc>
        <w:tc>
          <w:tcPr>
            <w:tcW w:w="1123" w:type="dxa"/>
            <w:vAlign w:val="center"/>
          </w:tcPr>
          <w:p w14:paraId="5E8C696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70.9</w:t>
            </w:r>
          </w:p>
        </w:tc>
        <w:tc>
          <w:tcPr>
            <w:tcW w:w="1123" w:type="dxa"/>
            <w:vAlign w:val="center"/>
          </w:tcPr>
          <w:p w14:paraId="4BB56B24"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24.6</w:t>
            </w:r>
          </w:p>
        </w:tc>
        <w:tc>
          <w:tcPr>
            <w:tcW w:w="1361" w:type="dxa"/>
            <w:vAlign w:val="center"/>
          </w:tcPr>
          <w:p w14:paraId="09DC172D"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4.5</w:t>
            </w:r>
          </w:p>
        </w:tc>
      </w:tr>
      <w:tr w:rsidR="00FB3618" w:rsidRPr="009A7DF2" w14:paraId="64330FD8" w14:textId="77777777" w:rsidTr="00205F8F">
        <w:tc>
          <w:tcPr>
            <w:tcW w:w="1550" w:type="dxa"/>
            <w:vMerge/>
            <w:vAlign w:val="center"/>
          </w:tcPr>
          <w:p w14:paraId="3A524F3A" w14:textId="77777777" w:rsidR="00FB3618" w:rsidRPr="009A7DF2" w:rsidRDefault="00FB3618" w:rsidP="00623D01">
            <w:pPr>
              <w:spacing w:line="480" w:lineRule="auto"/>
              <w:jc w:val="center"/>
              <w:rPr>
                <w:rFonts w:ascii="Times New Roman" w:hAnsi="Times New Roman" w:cs="Times New Roman"/>
                <w:sz w:val="24"/>
                <w:szCs w:val="24"/>
              </w:rPr>
            </w:pPr>
          </w:p>
        </w:tc>
        <w:tc>
          <w:tcPr>
            <w:tcW w:w="2356" w:type="dxa"/>
            <w:vAlign w:val="center"/>
          </w:tcPr>
          <w:p w14:paraId="02B636F2"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Disability noted</w:t>
            </w:r>
          </w:p>
        </w:tc>
        <w:tc>
          <w:tcPr>
            <w:tcW w:w="1096" w:type="dxa"/>
            <w:vAlign w:val="center"/>
          </w:tcPr>
          <w:p w14:paraId="23669159"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49</w:t>
            </w:r>
          </w:p>
        </w:tc>
        <w:tc>
          <w:tcPr>
            <w:tcW w:w="1123" w:type="dxa"/>
            <w:vAlign w:val="center"/>
          </w:tcPr>
          <w:p w14:paraId="30E2B5F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40.8</w:t>
            </w:r>
          </w:p>
        </w:tc>
        <w:tc>
          <w:tcPr>
            <w:tcW w:w="1123" w:type="dxa"/>
            <w:vAlign w:val="center"/>
          </w:tcPr>
          <w:p w14:paraId="046C6D4D" w14:textId="77777777" w:rsidR="00FB3618" w:rsidRPr="009A7DF2" w:rsidRDefault="00FB3618" w:rsidP="00623D01">
            <w:pPr>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51</w:t>
            </w:r>
          </w:p>
        </w:tc>
        <w:tc>
          <w:tcPr>
            <w:tcW w:w="1361" w:type="dxa"/>
            <w:vAlign w:val="center"/>
          </w:tcPr>
          <w:p w14:paraId="4EA9D3E6" w14:textId="77777777" w:rsidR="00FB3618" w:rsidRPr="009A7DF2" w:rsidRDefault="00FB3618" w:rsidP="00623D01">
            <w:pPr>
              <w:tabs>
                <w:tab w:val="left" w:pos="880"/>
              </w:tabs>
              <w:spacing w:line="480" w:lineRule="auto"/>
              <w:jc w:val="center"/>
              <w:rPr>
                <w:rFonts w:ascii="Times New Roman" w:hAnsi="Times New Roman" w:cs="Times New Roman"/>
                <w:sz w:val="24"/>
                <w:szCs w:val="24"/>
              </w:rPr>
            </w:pPr>
            <w:r w:rsidRPr="009A7DF2">
              <w:rPr>
                <w:rFonts w:ascii="Times New Roman" w:hAnsi="Times New Roman" w:cs="Times New Roman"/>
                <w:sz w:val="24"/>
                <w:szCs w:val="24"/>
              </w:rPr>
              <w:t>8.2</w:t>
            </w:r>
          </w:p>
        </w:tc>
      </w:tr>
      <w:tr w:rsidR="00FB3618" w:rsidRPr="009A7DF2" w14:paraId="7270259F" w14:textId="77777777" w:rsidTr="00205F8F">
        <w:tc>
          <w:tcPr>
            <w:tcW w:w="1550" w:type="dxa"/>
            <w:vAlign w:val="center"/>
          </w:tcPr>
          <w:p w14:paraId="15F3C3E3" w14:textId="77777777" w:rsidR="00FB3618" w:rsidRPr="009A7DF2" w:rsidRDefault="00FB3618" w:rsidP="00623D01">
            <w:pPr>
              <w:spacing w:line="480" w:lineRule="auto"/>
              <w:jc w:val="center"/>
              <w:rPr>
                <w:rFonts w:ascii="Times New Roman" w:hAnsi="Times New Roman" w:cs="Times New Roman"/>
                <w:b/>
                <w:i/>
                <w:sz w:val="24"/>
                <w:szCs w:val="24"/>
              </w:rPr>
            </w:pPr>
            <w:r w:rsidRPr="009A7DF2">
              <w:rPr>
                <w:rFonts w:ascii="Times New Roman" w:hAnsi="Times New Roman" w:cs="Times New Roman"/>
                <w:b/>
                <w:i/>
                <w:sz w:val="24"/>
                <w:szCs w:val="24"/>
              </w:rPr>
              <w:t>All prisoners</w:t>
            </w:r>
          </w:p>
        </w:tc>
        <w:tc>
          <w:tcPr>
            <w:tcW w:w="2356" w:type="dxa"/>
            <w:vAlign w:val="center"/>
          </w:tcPr>
          <w:p w14:paraId="43AE9CF4" w14:textId="77777777" w:rsidR="00FB3618" w:rsidRPr="009A7DF2" w:rsidRDefault="00FB3618" w:rsidP="00623D01">
            <w:pPr>
              <w:spacing w:line="480" w:lineRule="auto"/>
              <w:jc w:val="center"/>
              <w:rPr>
                <w:rFonts w:ascii="Times New Roman" w:hAnsi="Times New Roman" w:cs="Times New Roman"/>
                <w:b/>
                <w:i/>
                <w:sz w:val="24"/>
                <w:szCs w:val="24"/>
              </w:rPr>
            </w:pPr>
            <w:r w:rsidRPr="009A7DF2">
              <w:rPr>
                <w:rFonts w:ascii="Times New Roman" w:hAnsi="Times New Roman" w:cs="Times New Roman"/>
                <w:b/>
                <w:i/>
                <w:sz w:val="24"/>
                <w:szCs w:val="24"/>
              </w:rPr>
              <w:t>/</w:t>
            </w:r>
          </w:p>
        </w:tc>
        <w:tc>
          <w:tcPr>
            <w:tcW w:w="1096" w:type="dxa"/>
            <w:vAlign w:val="center"/>
          </w:tcPr>
          <w:p w14:paraId="1CC80D0B" w14:textId="77777777" w:rsidR="00FB3618" w:rsidRPr="009A7DF2" w:rsidRDefault="00FB3618" w:rsidP="00623D01">
            <w:pPr>
              <w:spacing w:line="480" w:lineRule="auto"/>
              <w:jc w:val="center"/>
              <w:rPr>
                <w:rFonts w:ascii="Times New Roman" w:hAnsi="Times New Roman" w:cs="Times New Roman"/>
                <w:b/>
                <w:i/>
                <w:sz w:val="24"/>
                <w:szCs w:val="24"/>
              </w:rPr>
            </w:pPr>
            <w:r w:rsidRPr="009A7DF2">
              <w:rPr>
                <w:rFonts w:ascii="Times New Roman" w:hAnsi="Times New Roman" w:cs="Times New Roman"/>
                <w:b/>
                <w:i/>
                <w:sz w:val="24"/>
                <w:szCs w:val="24"/>
              </w:rPr>
              <w:t>6027</w:t>
            </w:r>
          </w:p>
        </w:tc>
        <w:tc>
          <w:tcPr>
            <w:tcW w:w="1123" w:type="dxa"/>
            <w:vAlign w:val="center"/>
          </w:tcPr>
          <w:p w14:paraId="41A90EA7" w14:textId="77777777" w:rsidR="00FB3618" w:rsidRPr="009A7DF2" w:rsidRDefault="00FB3618" w:rsidP="00623D01">
            <w:pPr>
              <w:spacing w:line="480" w:lineRule="auto"/>
              <w:jc w:val="center"/>
              <w:rPr>
                <w:rFonts w:ascii="Times New Roman" w:hAnsi="Times New Roman" w:cs="Times New Roman"/>
                <w:b/>
                <w:i/>
                <w:sz w:val="24"/>
                <w:szCs w:val="24"/>
              </w:rPr>
            </w:pPr>
            <w:r w:rsidRPr="009A7DF2">
              <w:rPr>
                <w:rFonts w:ascii="Times New Roman" w:hAnsi="Times New Roman" w:cs="Times New Roman"/>
                <w:b/>
                <w:i/>
                <w:sz w:val="24"/>
                <w:szCs w:val="24"/>
              </w:rPr>
              <w:t>70.6</w:t>
            </w:r>
          </w:p>
        </w:tc>
        <w:tc>
          <w:tcPr>
            <w:tcW w:w="1123" w:type="dxa"/>
            <w:vAlign w:val="center"/>
          </w:tcPr>
          <w:p w14:paraId="0DA3E43A" w14:textId="77777777" w:rsidR="00FB3618" w:rsidRPr="009A7DF2" w:rsidRDefault="00FB3618" w:rsidP="00623D01">
            <w:pPr>
              <w:spacing w:line="480" w:lineRule="auto"/>
              <w:jc w:val="center"/>
              <w:rPr>
                <w:rFonts w:ascii="Times New Roman" w:hAnsi="Times New Roman" w:cs="Times New Roman"/>
                <w:b/>
                <w:i/>
                <w:sz w:val="24"/>
                <w:szCs w:val="24"/>
              </w:rPr>
            </w:pPr>
            <w:r w:rsidRPr="009A7DF2">
              <w:rPr>
                <w:rFonts w:ascii="Times New Roman" w:hAnsi="Times New Roman" w:cs="Times New Roman"/>
                <w:b/>
                <w:i/>
                <w:sz w:val="24"/>
                <w:szCs w:val="24"/>
              </w:rPr>
              <w:t>24.9</w:t>
            </w:r>
          </w:p>
        </w:tc>
        <w:tc>
          <w:tcPr>
            <w:tcW w:w="1361" w:type="dxa"/>
            <w:vAlign w:val="center"/>
          </w:tcPr>
          <w:p w14:paraId="63774A74" w14:textId="77777777" w:rsidR="00FB3618" w:rsidRPr="009A7DF2" w:rsidRDefault="00FB3618" w:rsidP="00623D01">
            <w:pPr>
              <w:tabs>
                <w:tab w:val="left" w:pos="880"/>
              </w:tabs>
              <w:spacing w:line="480" w:lineRule="auto"/>
              <w:jc w:val="center"/>
              <w:rPr>
                <w:rFonts w:ascii="Times New Roman" w:hAnsi="Times New Roman" w:cs="Times New Roman"/>
                <w:b/>
                <w:i/>
                <w:sz w:val="24"/>
                <w:szCs w:val="24"/>
              </w:rPr>
            </w:pPr>
            <w:r w:rsidRPr="009A7DF2">
              <w:rPr>
                <w:rFonts w:ascii="Times New Roman" w:hAnsi="Times New Roman" w:cs="Times New Roman"/>
                <w:b/>
                <w:i/>
                <w:sz w:val="24"/>
                <w:szCs w:val="24"/>
              </w:rPr>
              <w:t>4.5</w:t>
            </w:r>
          </w:p>
        </w:tc>
      </w:tr>
      <w:tr w:rsidR="00FB3618" w:rsidRPr="009A7DF2" w14:paraId="096C46DD" w14:textId="77777777" w:rsidTr="00205F8F">
        <w:tc>
          <w:tcPr>
            <w:tcW w:w="8609" w:type="dxa"/>
            <w:gridSpan w:val="6"/>
            <w:vAlign w:val="center"/>
          </w:tcPr>
          <w:p w14:paraId="53602AAA" w14:textId="77777777" w:rsidR="00FB3618" w:rsidRPr="009A7DF2" w:rsidRDefault="00FB3618" w:rsidP="00623D01">
            <w:pPr>
              <w:spacing w:line="480" w:lineRule="auto"/>
              <w:rPr>
                <w:rFonts w:ascii="Times New Roman" w:hAnsi="Times New Roman" w:cs="Times New Roman"/>
                <w:sz w:val="24"/>
                <w:szCs w:val="24"/>
              </w:rPr>
            </w:pPr>
            <w:r w:rsidRPr="009A7DF2">
              <w:rPr>
                <w:rFonts w:ascii="Times New Roman" w:hAnsi="Times New Roman" w:cs="Times New Roman"/>
                <w:sz w:val="24"/>
                <w:szCs w:val="24"/>
                <w:vertAlign w:val="superscript"/>
              </w:rPr>
              <w:t>a.</w:t>
            </w:r>
            <w:r w:rsidRPr="009A7DF2">
              <w:rPr>
                <w:rFonts w:ascii="Times New Roman" w:hAnsi="Times New Roman" w:cs="Times New Roman"/>
                <w:sz w:val="24"/>
                <w:szCs w:val="24"/>
              </w:rPr>
              <w:t xml:space="preserve"> </w:t>
            </w:r>
            <w:r w:rsidRPr="009A7DF2">
              <w:rPr>
                <w:rFonts w:ascii="Times New Roman" w:hAnsi="Times New Roman" w:cs="Times New Roman"/>
                <w:sz w:val="24"/>
                <w:szCs w:val="24"/>
              </w:rPr>
              <w:sym w:font="Symbol" w:char="F063"/>
            </w:r>
            <w:r w:rsidRPr="009A7DF2">
              <w:rPr>
                <w:rFonts w:ascii="Times New Roman" w:hAnsi="Times New Roman" w:cs="Times New Roman"/>
                <w:sz w:val="24"/>
                <w:szCs w:val="24"/>
                <w:vertAlign w:val="superscript"/>
              </w:rPr>
              <w:t>2</w:t>
            </w:r>
            <w:r w:rsidRPr="009A7DF2">
              <w:rPr>
                <w:rFonts w:ascii="Times New Roman" w:hAnsi="Times New Roman" w:cs="Times New Roman"/>
                <w:sz w:val="24"/>
                <w:szCs w:val="24"/>
              </w:rPr>
              <w:t xml:space="preserve"> (4) = 100.54, </w:t>
            </w:r>
            <w:r w:rsidRPr="009A7DF2">
              <w:rPr>
                <w:rFonts w:ascii="Times New Roman" w:hAnsi="Times New Roman" w:cs="Times New Roman"/>
                <w:i/>
                <w:sz w:val="24"/>
                <w:szCs w:val="24"/>
              </w:rPr>
              <w:t xml:space="preserve">p </w:t>
            </w:r>
            <w:r w:rsidRPr="009A7DF2">
              <w:rPr>
                <w:rFonts w:ascii="Times New Roman" w:hAnsi="Times New Roman" w:cs="Times New Roman"/>
                <w:sz w:val="24"/>
                <w:szCs w:val="24"/>
              </w:rPr>
              <w:t>&lt; .001</w:t>
            </w:r>
          </w:p>
          <w:p w14:paraId="2B5196CC" w14:textId="77777777" w:rsidR="00FB3618" w:rsidRPr="009A7DF2" w:rsidRDefault="00FB3618" w:rsidP="00623D01">
            <w:pPr>
              <w:spacing w:line="480" w:lineRule="auto"/>
              <w:rPr>
                <w:rFonts w:ascii="Times New Roman" w:hAnsi="Times New Roman" w:cs="Times New Roman"/>
                <w:sz w:val="24"/>
                <w:szCs w:val="24"/>
              </w:rPr>
            </w:pPr>
            <w:r w:rsidRPr="009A7DF2">
              <w:rPr>
                <w:rFonts w:ascii="Times New Roman" w:hAnsi="Times New Roman" w:cs="Times New Roman"/>
                <w:sz w:val="24"/>
                <w:szCs w:val="24"/>
                <w:vertAlign w:val="superscript"/>
              </w:rPr>
              <w:t>b.</w:t>
            </w:r>
            <w:r w:rsidRPr="009A7DF2">
              <w:rPr>
                <w:rFonts w:ascii="Times New Roman" w:hAnsi="Times New Roman" w:cs="Times New Roman"/>
                <w:sz w:val="24"/>
                <w:szCs w:val="24"/>
              </w:rPr>
              <w:t xml:space="preserve"> </w:t>
            </w:r>
            <w:r w:rsidRPr="009A7DF2">
              <w:rPr>
                <w:rFonts w:ascii="Times New Roman" w:hAnsi="Times New Roman" w:cs="Times New Roman"/>
                <w:sz w:val="24"/>
                <w:szCs w:val="24"/>
              </w:rPr>
              <w:sym w:font="Symbol" w:char="F063"/>
            </w:r>
            <w:r w:rsidRPr="009A7DF2">
              <w:rPr>
                <w:rFonts w:ascii="Times New Roman" w:hAnsi="Times New Roman" w:cs="Times New Roman"/>
                <w:sz w:val="24"/>
                <w:szCs w:val="24"/>
                <w:vertAlign w:val="superscript"/>
              </w:rPr>
              <w:t>2</w:t>
            </w:r>
            <w:r w:rsidRPr="009A7DF2">
              <w:rPr>
                <w:rFonts w:ascii="Times New Roman" w:hAnsi="Times New Roman" w:cs="Times New Roman"/>
                <w:sz w:val="24"/>
                <w:szCs w:val="24"/>
              </w:rPr>
              <w:t xml:space="preserve"> (4) = 195.33, </w:t>
            </w:r>
            <w:r w:rsidRPr="009A7DF2">
              <w:rPr>
                <w:rFonts w:ascii="Times New Roman" w:hAnsi="Times New Roman" w:cs="Times New Roman"/>
                <w:i/>
                <w:sz w:val="24"/>
                <w:szCs w:val="24"/>
              </w:rPr>
              <w:t xml:space="preserve">p </w:t>
            </w:r>
            <w:r w:rsidRPr="009A7DF2">
              <w:rPr>
                <w:rFonts w:ascii="Times New Roman" w:hAnsi="Times New Roman" w:cs="Times New Roman"/>
                <w:sz w:val="24"/>
                <w:szCs w:val="24"/>
              </w:rPr>
              <w:t>&lt; .001</w:t>
            </w:r>
          </w:p>
          <w:p w14:paraId="7412DE2F" w14:textId="77777777" w:rsidR="00FB3618" w:rsidRPr="009A7DF2" w:rsidRDefault="00FB3618" w:rsidP="00623D01">
            <w:pPr>
              <w:spacing w:line="480" w:lineRule="auto"/>
              <w:rPr>
                <w:rFonts w:ascii="Times New Roman" w:hAnsi="Times New Roman" w:cs="Times New Roman"/>
                <w:sz w:val="24"/>
                <w:szCs w:val="24"/>
              </w:rPr>
            </w:pPr>
            <w:r w:rsidRPr="009A7DF2">
              <w:rPr>
                <w:rFonts w:ascii="Times New Roman" w:hAnsi="Times New Roman" w:cs="Times New Roman"/>
                <w:sz w:val="24"/>
                <w:szCs w:val="24"/>
                <w:vertAlign w:val="superscript"/>
              </w:rPr>
              <w:t xml:space="preserve">c. </w:t>
            </w:r>
            <w:r w:rsidRPr="009A7DF2">
              <w:rPr>
                <w:rFonts w:ascii="Times New Roman" w:hAnsi="Times New Roman" w:cs="Times New Roman"/>
                <w:sz w:val="24"/>
                <w:szCs w:val="24"/>
              </w:rPr>
              <w:sym w:font="Symbol" w:char="F063"/>
            </w:r>
            <w:r w:rsidRPr="009A7DF2">
              <w:rPr>
                <w:rFonts w:ascii="Times New Roman" w:hAnsi="Times New Roman" w:cs="Times New Roman"/>
                <w:sz w:val="24"/>
                <w:szCs w:val="24"/>
                <w:vertAlign w:val="superscript"/>
              </w:rPr>
              <w:t>2</w:t>
            </w:r>
            <w:r w:rsidRPr="009A7DF2">
              <w:rPr>
                <w:rFonts w:ascii="Times New Roman" w:hAnsi="Times New Roman" w:cs="Times New Roman"/>
                <w:sz w:val="24"/>
                <w:szCs w:val="24"/>
              </w:rPr>
              <w:t xml:space="preserve"> (6) = 47.29, </w:t>
            </w:r>
            <w:r w:rsidRPr="009A7DF2">
              <w:rPr>
                <w:rFonts w:ascii="Times New Roman" w:hAnsi="Times New Roman" w:cs="Times New Roman"/>
                <w:i/>
                <w:sz w:val="24"/>
                <w:szCs w:val="24"/>
              </w:rPr>
              <w:t xml:space="preserve">p </w:t>
            </w:r>
            <w:r w:rsidRPr="009A7DF2">
              <w:rPr>
                <w:rFonts w:ascii="Times New Roman" w:hAnsi="Times New Roman" w:cs="Times New Roman"/>
                <w:sz w:val="24"/>
                <w:szCs w:val="24"/>
              </w:rPr>
              <w:t>&lt; .001</w:t>
            </w:r>
          </w:p>
          <w:p w14:paraId="12E29542" w14:textId="77777777" w:rsidR="00FB3618" w:rsidRPr="009A7DF2" w:rsidRDefault="00FB3618" w:rsidP="00623D01">
            <w:pPr>
              <w:spacing w:line="480" w:lineRule="auto"/>
              <w:rPr>
                <w:rFonts w:ascii="Times New Roman" w:hAnsi="Times New Roman" w:cs="Times New Roman"/>
                <w:sz w:val="24"/>
                <w:szCs w:val="24"/>
              </w:rPr>
            </w:pPr>
            <w:r w:rsidRPr="009A7DF2">
              <w:rPr>
                <w:rFonts w:ascii="Times New Roman" w:hAnsi="Times New Roman" w:cs="Times New Roman"/>
                <w:sz w:val="24"/>
                <w:szCs w:val="24"/>
                <w:vertAlign w:val="superscript"/>
              </w:rPr>
              <w:t xml:space="preserve">d. </w:t>
            </w:r>
            <w:r w:rsidRPr="009A7DF2">
              <w:rPr>
                <w:rFonts w:ascii="Times New Roman" w:hAnsi="Times New Roman" w:cs="Times New Roman"/>
                <w:sz w:val="24"/>
                <w:szCs w:val="24"/>
              </w:rPr>
              <w:sym w:font="Symbol" w:char="F063"/>
            </w:r>
            <w:r w:rsidRPr="009A7DF2">
              <w:rPr>
                <w:rFonts w:ascii="Times New Roman" w:hAnsi="Times New Roman" w:cs="Times New Roman"/>
                <w:sz w:val="24"/>
                <w:szCs w:val="24"/>
                <w:vertAlign w:val="superscript"/>
              </w:rPr>
              <w:t>2</w:t>
            </w:r>
            <w:r w:rsidRPr="009A7DF2">
              <w:rPr>
                <w:rFonts w:ascii="Times New Roman" w:hAnsi="Times New Roman" w:cs="Times New Roman"/>
                <w:sz w:val="24"/>
                <w:szCs w:val="24"/>
              </w:rPr>
              <w:t xml:space="preserve"> (2) = 4.67, </w:t>
            </w:r>
            <w:r w:rsidRPr="009A7DF2">
              <w:rPr>
                <w:rFonts w:ascii="Times New Roman" w:hAnsi="Times New Roman" w:cs="Times New Roman"/>
                <w:i/>
                <w:sz w:val="24"/>
                <w:szCs w:val="24"/>
              </w:rPr>
              <w:t xml:space="preserve">p </w:t>
            </w:r>
            <w:r w:rsidRPr="009A7DF2">
              <w:rPr>
                <w:rFonts w:ascii="Times New Roman" w:hAnsi="Times New Roman" w:cs="Times New Roman"/>
                <w:sz w:val="24"/>
                <w:szCs w:val="24"/>
              </w:rPr>
              <w:t>&gt; .05</w:t>
            </w:r>
          </w:p>
          <w:p w14:paraId="1984B2E9" w14:textId="77777777" w:rsidR="00FB3618" w:rsidRPr="009A7DF2" w:rsidRDefault="00FB3618" w:rsidP="00623D01">
            <w:pPr>
              <w:spacing w:line="480" w:lineRule="auto"/>
              <w:rPr>
                <w:rFonts w:ascii="Times New Roman" w:hAnsi="Times New Roman" w:cs="Times New Roman"/>
                <w:sz w:val="24"/>
                <w:szCs w:val="24"/>
              </w:rPr>
            </w:pPr>
            <w:r w:rsidRPr="009A7DF2">
              <w:rPr>
                <w:rFonts w:ascii="Times New Roman" w:hAnsi="Times New Roman" w:cs="Times New Roman"/>
                <w:sz w:val="24"/>
                <w:szCs w:val="24"/>
                <w:vertAlign w:val="superscript"/>
              </w:rPr>
              <w:t xml:space="preserve">e. </w:t>
            </w:r>
            <w:r w:rsidRPr="009A7DF2">
              <w:rPr>
                <w:rFonts w:ascii="Times New Roman" w:hAnsi="Times New Roman" w:cs="Times New Roman"/>
                <w:sz w:val="24"/>
                <w:szCs w:val="24"/>
              </w:rPr>
              <w:sym w:font="Symbol" w:char="F063"/>
            </w:r>
            <w:r w:rsidRPr="009A7DF2">
              <w:rPr>
                <w:rFonts w:ascii="Times New Roman" w:hAnsi="Times New Roman" w:cs="Times New Roman"/>
                <w:sz w:val="24"/>
                <w:szCs w:val="24"/>
                <w:vertAlign w:val="superscript"/>
              </w:rPr>
              <w:t>2</w:t>
            </w:r>
            <w:r w:rsidRPr="009A7DF2">
              <w:rPr>
                <w:rFonts w:ascii="Times New Roman" w:hAnsi="Times New Roman" w:cs="Times New Roman"/>
                <w:sz w:val="24"/>
                <w:szCs w:val="24"/>
              </w:rPr>
              <w:t xml:space="preserve"> (6) = 31.9, </w:t>
            </w:r>
            <w:r w:rsidRPr="009A7DF2">
              <w:rPr>
                <w:rFonts w:ascii="Times New Roman" w:hAnsi="Times New Roman" w:cs="Times New Roman"/>
                <w:i/>
                <w:sz w:val="24"/>
                <w:szCs w:val="24"/>
              </w:rPr>
              <w:t xml:space="preserve">p </w:t>
            </w:r>
            <w:r w:rsidRPr="009A7DF2">
              <w:rPr>
                <w:rFonts w:ascii="Times New Roman" w:hAnsi="Times New Roman" w:cs="Times New Roman"/>
                <w:sz w:val="24"/>
                <w:szCs w:val="24"/>
              </w:rPr>
              <w:t>&lt; .001</w:t>
            </w:r>
          </w:p>
          <w:p w14:paraId="12D05563" w14:textId="77777777" w:rsidR="00FB3618" w:rsidRPr="009A7DF2" w:rsidRDefault="00FB3618" w:rsidP="00623D01">
            <w:pPr>
              <w:spacing w:line="480" w:lineRule="auto"/>
              <w:rPr>
                <w:rFonts w:ascii="Times New Roman" w:hAnsi="Times New Roman" w:cs="Times New Roman"/>
                <w:sz w:val="24"/>
                <w:szCs w:val="24"/>
              </w:rPr>
            </w:pPr>
            <w:r w:rsidRPr="009A7DF2">
              <w:rPr>
                <w:rFonts w:ascii="Times New Roman" w:hAnsi="Times New Roman" w:cs="Times New Roman"/>
                <w:sz w:val="24"/>
                <w:szCs w:val="24"/>
                <w:vertAlign w:val="superscript"/>
              </w:rPr>
              <w:t xml:space="preserve">f </w:t>
            </w:r>
            <w:r w:rsidRPr="009A7DF2">
              <w:rPr>
                <w:rFonts w:ascii="Times New Roman" w:hAnsi="Times New Roman" w:cs="Times New Roman"/>
                <w:sz w:val="24"/>
                <w:szCs w:val="24"/>
              </w:rPr>
              <w:sym w:font="Symbol" w:char="F063"/>
            </w:r>
            <w:r w:rsidRPr="009A7DF2">
              <w:rPr>
                <w:rFonts w:ascii="Times New Roman" w:hAnsi="Times New Roman" w:cs="Times New Roman"/>
                <w:sz w:val="24"/>
                <w:szCs w:val="24"/>
                <w:vertAlign w:val="superscript"/>
              </w:rPr>
              <w:t>2</w:t>
            </w:r>
            <w:r w:rsidRPr="009A7DF2">
              <w:rPr>
                <w:rFonts w:ascii="Times New Roman" w:hAnsi="Times New Roman" w:cs="Times New Roman"/>
                <w:sz w:val="24"/>
                <w:szCs w:val="24"/>
              </w:rPr>
              <w:t xml:space="preserve"> (6) = 699.67, </w:t>
            </w:r>
            <w:r w:rsidRPr="009A7DF2">
              <w:rPr>
                <w:rFonts w:ascii="Times New Roman" w:hAnsi="Times New Roman" w:cs="Times New Roman"/>
                <w:i/>
                <w:sz w:val="24"/>
                <w:szCs w:val="24"/>
              </w:rPr>
              <w:t xml:space="preserve">p </w:t>
            </w:r>
            <w:r w:rsidRPr="009A7DF2">
              <w:rPr>
                <w:rFonts w:ascii="Times New Roman" w:hAnsi="Times New Roman" w:cs="Times New Roman"/>
                <w:sz w:val="24"/>
                <w:szCs w:val="24"/>
              </w:rPr>
              <w:t>&lt; .001</w:t>
            </w:r>
          </w:p>
          <w:p w14:paraId="5D68680B" w14:textId="77777777" w:rsidR="00FB3618" w:rsidRPr="009A7DF2" w:rsidRDefault="00FB3618" w:rsidP="00623D01">
            <w:pPr>
              <w:spacing w:line="480" w:lineRule="auto"/>
              <w:rPr>
                <w:rFonts w:ascii="Times New Roman" w:hAnsi="Times New Roman" w:cs="Times New Roman"/>
                <w:sz w:val="24"/>
                <w:szCs w:val="24"/>
                <w:vertAlign w:val="superscript"/>
              </w:rPr>
            </w:pPr>
            <w:r w:rsidRPr="009A7DF2">
              <w:rPr>
                <w:rFonts w:ascii="Times New Roman" w:hAnsi="Times New Roman" w:cs="Times New Roman"/>
                <w:sz w:val="24"/>
                <w:szCs w:val="24"/>
                <w:vertAlign w:val="superscript"/>
              </w:rPr>
              <w:t xml:space="preserve">g </w:t>
            </w:r>
            <w:r w:rsidRPr="009A7DF2">
              <w:rPr>
                <w:rFonts w:ascii="Times New Roman" w:hAnsi="Times New Roman" w:cs="Times New Roman"/>
                <w:sz w:val="24"/>
                <w:szCs w:val="24"/>
              </w:rPr>
              <w:sym w:font="Symbol" w:char="F063"/>
            </w:r>
            <w:r w:rsidRPr="009A7DF2">
              <w:rPr>
                <w:rFonts w:ascii="Times New Roman" w:hAnsi="Times New Roman" w:cs="Times New Roman"/>
                <w:sz w:val="24"/>
                <w:szCs w:val="24"/>
                <w:vertAlign w:val="superscript"/>
              </w:rPr>
              <w:t>2</w:t>
            </w:r>
            <w:r w:rsidRPr="009A7DF2">
              <w:rPr>
                <w:rFonts w:ascii="Times New Roman" w:hAnsi="Times New Roman" w:cs="Times New Roman"/>
                <w:sz w:val="24"/>
                <w:szCs w:val="24"/>
              </w:rPr>
              <w:t xml:space="preserve"> (2) = 21.26, </w:t>
            </w:r>
            <w:r w:rsidRPr="009A7DF2">
              <w:rPr>
                <w:rFonts w:ascii="Times New Roman" w:hAnsi="Times New Roman" w:cs="Times New Roman"/>
                <w:i/>
                <w:sz w:val="24"/>
                <w:szCs w:val="24"/>
              </w:rPr>
              <w:t xml:space="preserve">p </w:t>
            </w:r>
            <w:r w:rsidRPr="009A7DF2">
              <w:rPr>
                <w:rFonts w:ascii="Times New Roman" w:hAnsi="Times New Roman" w:cs="Times New Roman"/>
                <w:sz w:val="24"/>
                <w:szCs w:val="24"/>
              </w:rPr>
              <w:t>&lt; .001</w:t>
            </w:r>
          </w:p>
        </w:tc>
      </w:tr>
    </w:tbl>
    <w:p w14:paraId="19E75019" w14:textId="77777777" w:rsidR="00FB3618" w:rsidRPr="009A7DF2" w:rsidRDefault="00FB3618" w:rsidP="00623D01">
      <w:pPr>
        <w:spacing w:line="480" w:lineRule="auto"/>
        <w:ind w:firstLine="720"/>
        <w:rPr>
          <w:rFonts w:ascii="Times New Roman" w:hAnsi="Times New Roman" w:cs="Times New Roman"/>
          <w:sz w:val="24"/>
          <w:szCs w:val="24"/>
        </w:rPr>
      </w:pPr>
    </w:p>
    <w:p w14:paraId="59F89151" w14:textId="26A2C472" w:rsidR="00FB3618" w:rsidRPr="009A7DF2" w:rsidRDefault="00FB3618" w:rsidP="00623D01">
      <w:pPr>
        <w:spacing w:line="480" w:lineRule="auto"/>
        <w:ind w:firstLine="720"/>
        <w:rPr>
          <w:rFonts w:ascii="Times New Roman" w:hAnsi="Times New Roman" w:cs="Times New Roman"/>
          <w:sz w:val="24"/>
          <w:szCs w:val="24"/>
        </w:rPr>
      </w:pPr>
      <w:r w:rsidRPr="009A7DF2">
        <w:rPr>
          <w:rFonts w:ascii="Times New Roman" w:hAnsi="Times New Roman" w:cs="Times New Roman"/>
          <w:sz w:val="24"/>
          <w:szCs w:val="24"/>
        </w:rPr>
        <w:t>Fewer social welfare resources in rural areas may have also presented a pathway to imprisonment for women outside Melbourne. Notations about women’s physical appearances and health upon their first entry to the prison system indicate that at least 49 women were suffering from either a physical disability, including blindness, deafness or missing limbs, or reduced mental powers, with prison officials making notations such as ‘weak intellect’ or ‘imbecile’. Over half of these disabled prisoners were rural offenders.</w:t>
      </w:r>
    </w:p>
    <w:p w14:paraId="2FEBC025" w14:textId="35C9AB3A" w:rsidR="00FB3618" w:rsidRPr="009A7DF2" w:rsidRDefault="00FB3618" w:rsidP="00623D01">
      <w:pPr>
        <w:spacing w:line="480" w:lineRule="auto"/>
        <w:ind w:firstLine="720"/>
        <w:rPr>
          <w:rFonts w:ascii="Times New Roman" w:hAnsi="Times New Roman" w:cs="Times New Roman"/>
          <w:sz w:val="24"/>
          <w:szCs w:val="24"/>
        </w:rPr>
      </w:pPr>
      <w:r w:rsidRPr="009A7DF2">
        <w:rPr>
          <w:rFonts w:ascii="Times New Roman" w:hAnsi="Times New Roman" w:cs="Times New Roman"/>
          <w:sz w:val="24"/>
          <w:szCs w:val="24"/>
        </w:rPr>
        <w:t xml:space="preserve">Occupation data taken from women on first imprisonment indicates that overall most women, both urban and rural, came from working-class backgrounds, with the vast bulk listing their occupation as servant. However, almost all those whose listed occupation indicated that they were employed in domestic duties within their own home came from rural areas, perhaps indicating the higher levels of employment of women outside the home in </w:t>
      </w:r>
      <w:r w:rsidRPr="009A7DF2">
        <w:rPr>
          <w:rFonts w:ascii="Times New Roman" w:hAnsi="Times New Roman" w:cs="Times New Roman"/>
          <w:sz w:val="24"/>
          <w:szCs w:val="24"/>
        </w:rPr>
        <w:lastRenderedPageBreak/>
        <w:t xml:space="preserve">urban areas. </w:t>
      </w:r>
      <w:r w:rsidR="00831AA3">
        <w:rPr>
          <w:rFonts w:ascii="Times New Roman" w:hAnsi="Times New Roman" w:cs="Times New Roman"/>
          <w:sz w:val="24"/>
          <w:szCs w:val="24"/>
        </w:rPr>
        <w:t>Likewise</w:t>
      </w:r>
      <w:r w:rsidRPr="009A7DF2">
        <w:rPr>
          <w:rFonts w:ascii="Times New Roman" w:hAnsi="Times New Roman" w:cs="Times New Roman"/>
          <w:sz w:val="24"/>
          <w:szCs w:val="24"/>
        </w:rPr>
        <w:t>, most of those engaged in more middle-class occupations, such as nursing, teaching, journalism, acting or shopkeeping, were urban offenders.</w:t>
      </w:r>
    </w:p>
    <w:p w14:paraId="61E14EEF" w14:textId="1F1092E8" w:rsidR="00FB3618" w:rsidRPr="009A7DF2" w:rsidRDefault="00FB3618" w:rsidP="00623D01">
      <w:pPr>
        <w:spacing w:line="480" w:lineRule="auto"/>
        <w:ind w:firstLine="720"/>
        <w:rPr>
          <w:rFonts w:ascii="Times New Roman" w:hAnsi="Times New Roman" w:cs="Times New Roman"/>
          <w:sz w:val="24"/>
          <w:szCs w:val="24"/>
        </w:rPr>
      </w:pPr>
      <w:r w:rsidRPr="009A7DF2">
        <w:rPr>
          <w:rFonts w:ascii="Times New Roman" w:hAnsi="Times New Roman" w:cs="Times New Roman"/>
          <w:sz w:val="24"/>
          <w:szCs w:val="24"/>
        </w:rPr>
        <w:t>Surprisingly, one socio-economic indicator that did not vary much by location was literacy levels. Despite concerns expressed during the late nineteenth</w:t>
      </w:r>
      <w:r w:rsidR="00353190">
        <w:rPr>
          <w:rFonts w:ascii="Times New Roman" w:hAnsi="Times New Roman" w:cs="Times New Roman"/>
          <w:sz w:val="24"/>
          <w:szCs w:val="24"/>
        </w:rPr>
        <w:t>-</w:t>
      </w:r>
      <w:r w:rsidRPr="009A7DF2">
        <w:rPr>
          <w:rFonts w:ascii="Times New Roman" w:hAnsi="Times New Roman" w:cs="Times New Roman"/>
          <w:sz w:val="24"/>
          <w:szCs w:val="24"/>
        </w:rPr>
        <w:t>century  about education levels in some parts of regional Victoria (</w:t>
      </w:r>
      <w:r w:rsidR="00514F0B">
        <w:rPr>
          <w:rFonts w:ascii="Times New Roman" w:hAnsi="Times New Roman" w:cs="Times New Roman"/>
          <w:sz w:val="24"/>
          <w:szCs w:val="24"/>
        </w:rPr>
        <w:t>Barcan 1980</w:t>
      </w:r>
      <w:r w:rsidRPr="009A7DF2">
        <w:rPr>
          <w:rFonts w:ascii="Times New Roman" w:hAnsi="Times New Roman" w:cs="Times New Roman"/>
          <w:sz w:val="24"/>
          <w:szCs w:val="24"/>
        </w:rPr>
        <w:t>), there was no significant decline in literacy among rural offenders. Historically those born in Australia enjoyed far higher literacy rates than those born overseas due to the early introduction of free and compulsory schooling (</w:t>
      </w:r>
      <w:r w:rsidR="00514F0B">
        <w:rPr>
          <w:rFonts w:ascii="Times New Roman" w:hAnsi="Times New Roman" w:cs="Times New Roman"/>
          <w:sz w:val="24"/>
          <w:szCs w:val="24"/>
        </w:rPr>
        <w:t>Lyons 2001</w:t>
      </w:r>
      <w:r w:rsidRPr="009A7DF2">
        <w:rPr>
          <w:rFonts w:ascii="Times New Roman" w:hAnsi="Times New Roman" w:cs="Times New Roman"/>
          <w:sz w:val="24"/>
          <w:szCs w:val="24"/>
        </w:rPr>
        <w:t>). Migration patterns did vary across rural and urban locations, with urban offenders less likely to have migrated from Great Britain and more likely to have been born in Australia. Interestingly, mobile offenders comprised an elevated proportion of those who had migrated from places other than Great Britain, indicating that coming from a non-English speaking background may have contributed to some mobile offenders</w:t>
      </w:r>
      <w:r w:rsidR="00113B1A" w:rsidRPr="009A7DF2">
        <w:rPr>
          <w:rFonts w:ascii="Times New Roman" w:hAnsi="Times New Roman" w:cs="Times New Roman"/>
          <w:sz w:val="24"/>
          <w:szCs w:val="24"/>
        </w:rPr>
        <w:t>’</w:t>
      </w:r>
      <w:r w:rsidRPr="009A7DF2">
        <w:rPr>
          <w:rFonts w:ascii="Times New Roman" w:hAnsi="Times New Roman" w:cs="Times New Roman"/>
          <w:sz w:val="24"/>
          <w:szCs w:val="24"/>
        </w:rPr>
        <w:t xml:space="preserve"> </w:t>
      </w:r>
      <w:r w:rsidR="00471D06">
        <w:rPr>
          <w:rFonts w:ascii="Times New Roman" w:hAnsi="Times New Roman" w:cs="Times New Roman"/>
          <w:sz w:val="24"/>
          <w:szCs w:val="24"/>
        </w:rPr>
        <w:t>struggle to avoid the cycle of imprisonment</w:t>
      </w:r>
      <w:r w:rsidRPr="009A7DF2">
        <w:rPr>
          <w:rFonts w:ascii="Times New Roman" w:hAnsi="Times New Roman" w:cs="Times New Roman"/>
          <w:sz w:val="24"/>
          <w:szCs w:val="24"/>
        </w:rPr>
        <w:t xml:space="preserve">, as well as </w:t>
      </w:r>
      <w:r w:rsidR="00113B1A" w:rsidRPr="009A7DF2">
        <w:rPr>
          <w:rFonts w:ascii="Times New Roman" w:hAnsi="Times New Roman" w:cs="Times New Roman"/>
          <w:sz w:val="24"/>
          <w:szCs w:val="24"/>
        </w:rPr>
        <w:t xml:space="preserve">showing </w:t>
      </w:r>
      <w:r w:rsidRPr="009A7DF2">
        <w:rPr>
          <w:rFonts w:ascii="Times New Roman" w:hAnsi="Times New Roman" w:cs="Times New Roman"/>
          <w:sz w:val="24"/>
          <w:szCs w:val="24"/>
        </w:rPr>
        <w:t xml:space="preserve">that </w:t>
      </w:r>
      <w:r w:rsidR="00113B1A" w:rsidRPr="009A7DF2">
        <w:rPr>
          <w:rFonts w:ascii="Times New Roman" w:hAnsi="Times New Roman" w:cs="Times New Roman"/>
          <w:sz w:val="24"/>
          <w:szCs w:val="24"/>
        </w:rPr>
        <w:t>mobility</w:t>
      </w:r>
      <w:r w:rsidRPr="009A7DF2">
        <w:rPr>
          <w:rFonts w:ascii="Times New Roman" w:hAnsi="Times New Roman" w:cs="Times New Roman"/>
          <w:sz w:val="24"/>
          <w:szCs w:val="24"/>
        </w:rPr>
        <w:t xml:space="preserve"> was already a significant part of their histories.</w:t>
      </w:r>
      <w:r w:rsidR="002415DB">
        <w:rPr>
          <w:rFonts w:ascii="Times New Roman" w:hAnsi="Times New Roman" w:cs="Times New Roman"/>
          <w:sz w:val="24"/>
          <w:szCs w:val="24"/>
        </w:rPr>
        <w:t xml:space="preserve"> </w:t>
      </w:r>
      <w:r w:rsidR="00FB783B">
        <w:rPr>
          <w:rFonts w:ascii="Times New Roman" w:hAnsi="Times New Roman" w:cs="Times New Roman"/>
          <w:sz w:val="24"/>
          <w:szCs w:val="24"/>
        </w:rPr>
        <w:t xml:space="preserve">More contemporary research has found migration in conjunction with coming from a non-English speaking background, social isolation and addiction </w:t>
      </w:r>
      <w:r w:rsidR="000F51A2">
        <w:rPr>
          <w:rFonts w:ascii="Times New Roman" w:hAnsi="Times New Roman" w:cs="Times New Roman"/>
          <w:sz w:val="24"/>
          <w:szCs w:val="24"/>
        </w:rPr>
        <w:t>has contributed</w:t>
      </w:r>
      <w:r w:rsidR="00FB783B">
        <w:rPr>
          <w:rFonts w:ascii="Times New Roman" w:hAnsi="Times New Roman" w:cs="Times New Roman"/>
          <w:sz w:val="24"/>
          <w:szCs w:val="24"/>
        </w:rPr>
        <w:t xml:space="preserve"> to an exponential rise of Vietnamese women in Victoria’s prisons (Francis 2014). </w:t>
      </w:r>
    </w:p>
    <w:p w14:paraId="1A386CA7" w14:textId="3B84D45D" w:rsidR="00FB3618" w:rsidRPr="004822CE" w:rsidRDefault="00FB3618" w:rsidP="00623D01">
      <w:pPr>
        <w:spacing w:line="480" w:lineRule="auto"/>
        <w:rPr>
          <w:rFonts w:ascii="Times New Roman" w:hAnsi="Times New Roman" w:cs="Times New Roman"/>
          <w:b/>
          <w:sz w:val="24"/>
          <w:szCs w:val="24"/>
        </w:rPr>
      </w:pPr>
      <w:r w:rsidRPr="004822CE">
        <w:rPr>
          <w:rFonts w:ascii="Times New Roman" w:hAnsi="Times New Roman" w:cs="Times New Roman"/>
          <w:b/>
          <w:sz w:val="24"/>
          <w:szCs w:val="24"/>
        </w:rPr>
        <w:t>Conclusion</w:t>
      </w:r>
    </w:p>
    <w:p w14:paraId="01AD0655" w14:textId="5A492975" w:rsidR="00FB3618" w:rsidRPr="004822CE" w:rsidRDefault="00FF5B0E" w:rsidP="00623D01">
      <w:pPr>
        <w:spacing w:line="480" w:lineRule="auto"/>
        <w:rPr>
          <w:rFonts w:ascii="Times New Roman" w:hAnsi="Times New Roman" w:cs="Times New Roman"/>
          <w:sz w:val="24"/>
          <w:szCs w:val="24"/>
        </w:rPr>
      </w:pPr>
      <w:r>
        <w:rPr>
          <w:rFonts w:ascii="Times New Roman" w:hAnsi="Times New Roman" w:cs="Times New Roman"/>
          <w:sz w:val="24"/>
          <w:szCs w:val="24"/>
        </w:rPr>
        <w:t>While for a large portion of the nineteenth and early</w:t>
      </w:r>
      <w:r w:rsidR="00471D06">
        <w:rPr>
          <w:rFonts w:ascii="Times New Roman" w:hAnsi="Times New Roman" w:cs="Times New Roman"/>
          <w:sz w:val="24"/>
          <w:szCs w:val="24"/>
        </w:rPr>
        <w:t xml:space="preserve"> </w:t>
      </w:r>
      <w:r>
        <w:rPr>
          <w:rFonts w:ascii="Times New Roman" w:hAnsi="Times New Roman" w:cs="Times New Roman"/>
          <w:sz w:val="24"/>
          <w:szCs w:val="24"/>
        </w:rPr>
        <w:t>twentieth centuries there were more women inhabiting rural communities in Victoria</w:t>
      </w:r>
      <w:r w:rsidR="00043307">
        <w:rPr>
          <w:rFonts w:ascii="Times New Roman" w:hAnsi="Times New Roman" w:cs="Times New Roman"/>
          <w:sz w:val="24"/>
          <w:szCs w:val="24"/>
        </w:rPr>
        <w:t xml:space="preserve">, offending was overwhelmingly located in Melbourne. </w:t>
      </w:r>
      <w:r w:rsidR="00E01515">
        <w:rPr>
          <w:rFonts w:ascii="Times New Roman" w:hAnsi="Times New Roman" w:cs="Times New Roman"/>
          <w:sz w:val="24"/>
          <w:szCs w:val="24"/>
        </w:rPr>
        <w:t xml:space="preserve">Although across all spatial </w:t>
      </w:r>
      <w:r w:rsidR="00536CFB">
        <w:rPr>
          <w:rFonts w:ascii="Times New Roman" w:hAnsi="Times New Roman" w:cs="Times New Roman"/>
          <w:sz w:val="24"/>
          <w:szCs w:val="24"/>
        </w:rPr>
        <w:t xml:space="preserve">locations women were most likely to find themselves imprisoned for public order or theft offences, there were differences between the demographics of urban, rural and mobile offenders. Social control, or rather the lack thereof, appears to have contributed to greater rates of urban and mobile women’s offending, </w:t>
      </w:r>
      <w:r w:rsidR="00536CFB">
        <w:rPr>
          <w:rFonts w:ascii="Times New Roman" w:hAnsi="Times New Roman" w:cs="Times New Roman"/>
          <w:sz w:val="24"/>
          <w:szCs w:val="24"/>
        </w:rPr>
        <w:lastRenderedPageBreak/>
        <w:t xml:space="preserve">however, rural women could often find themselves </w:t>
      </w:r>
      <w:r w:rsidR="00527045">
        <w:rPr>
          <w:rFonts w:ascii="Times New Roman" w:hAnsi="Times New Roman" w:cs="Times New Roman"/>
          <w:sz w:val="24"/>
          <w:szCs w:val="24"/>
        </w:rPr>
        <w:t>imprisoned</w:t>
      </w:r>
      <w:r w:rsidR="00536CFB">
        <w:rPr>
          <w:rFonts w:ascii="Times New Roman" w:hAnsi="Times New Roman" w:cs="Times New Roman"/>
          <w:sz w:val="24"/>
          <w:szCs w:val="24"/>
        </w:rPr>
        <w:t xml:space="preserve"> especially in their later years. </w:t>
      </w:r>
      <w:r w:rsidR="00416317">
        <w:rPr>
          <w:rFonts w:ascii="Times New Roman" w:hAnsi="Times New Roman" w:cs="Times New Roman"/>
          <w:sz w:val="24"/>
          <w:szCs w:val="24"/>
        </w:rPr>
        <w:t xml:space="preserve">Across all groups, offending, or rather imprisonment, was declining right through to 1920, albeit at different rates, and undoubtedly for various social reasons. Urban offending consistently was the greatest contributor to women’s imprisonment rates but this should not preclude more attention being paid to rural female criminality. Attention could most especially be paid to not only why crime in the metropolitan environment continued to be higher than the rural one, but what protective factors may have contributed to rural women’s decreased risk for criminal behaviour at a time when rural regions of Victoria were known for their crime and violence. </w:t>
      </w:r>
      <w:r w:rsidR="00536CFB">
        <w:rPr>
          <w:rFonts w:ascii="Times New Roman" w:hAnsi="Times New Roman" w:cs="Times New Roman"/>
          <w:sz w:val="24"/>
          <w:szCs w:val="24"/>
        </w:rPr>
        <w:t>Differences between the three groups of female offenders certainly highlights the importance of not only investigating the types of offences that women may have found themselves imprisoned for, but also the place from which women enter</w:t>
      </w:r>
      <w:r w:rsidR="00527045">
        <w:rPr>
          <w:rFonts w:ascii="Times New Roman" w:hAnsi="Times New Roman" w:cs="Times New Roman"/>
          <w:sz w:val="24"/>
          <w:szCs w:val="24"/>
        </w:rPr>
        <w:t>ed</w:t>
      </w:r>
      <w:r w:rsidR="00536CFB">
        <w:rPr>
          <w:rFonts w:ascii="Times New Roman" w:hAnsi="Times New Roman" w:cs="Times New Roman"/>
          <w:sz w:val="24"/>
          <w:szCs w:val="24"/>
        </w:rPr>
        <w:t xml:space="preserve"> the penal system</w:t>
      </w:r>
      <w:r w:rsidR="00883752">
        <w:rPr>
          <w:rFonts w:ascii="Times New Roman" w:hAnsi="Times New Roman" w:cs="Times New Roman"/>
          <w:sz w:val="24"/>
          <w:szCs w:val="24"/>
        </w:rPr>
        <w:t xml:space="preserve">, and from where re-entry would occur </w:t>
      </w:r>
      <w:r w:rsidR="001421F2">
        <w:rPr>
          <w:rFonts w:ascii="Times New Roman" w:hAnsi="Times New Roman" w:cs="Times New Roman"/>
          <w:sz w:val="24"/>
          <w:szCs w:val="24"/>
        </w:rPr>
        <w:t>in cases of recidivism</w:t>
      </w:r>
      <w:r w:rsidR="00536CFB">
        <w:rPr>
          <w:rFonts w:ascii="Times New Roman" w:hAnsi="Times New Roman" w:cs="Times New Roman"/>
          <w:sz w:val="24"/>
          <w:szCs w:val="24"/>
        </w:rPr>
        <w:t>.</w:t>
      </w:r>
      <w:r w:rsidR="001421F2">
        <w:rPr>
          <w:rFonts w:ascii="Times New Roman" w:hAnsi="Times New Roman" w:cs="Times New Roman"/>
          <w:sz w:val="24"/>
          <w:szCs w:val="24"/>
        </w:rPr>
        <w:t xml:space="preserve"> </w:t>
      </w:r>
      <w:r w:rsidR="006168C9">
        <w:rPr>
          <w:rFonts w:ascii="Times New Roman" w:hAnsi="Times New Roman" w:cs="Times New Roman"/>
          <w:sz w:val="24"/>
          <w:szCs w:val="24"/>
        </w:rPr>
        <w:t xml:space="preserve">The results from this study highlight the necessity for further research </w:t>
      </w:r>
      <w:r w:rsidR="00F52665">
        <w:rPr>
          <w:rFonts w:ascii="Times New Roman" w:hAnsi="Times New Roman" w:cs="Times New Roman"/>
          <w:sz w:val="24"/>
          <w:szCs w:val="24"/>
        </w:rPr>
        <w:t xml:space="preserve">and spatial analysis of women’s historic offending </w:t>
      </w:r>
      <w:r w:rsidR="009D10D6">
        <w:rPr>
          <w:rFonts w:ascii="Times New Roman" w:hAnsi="Times New Roman" w:cs="Times New Roman"/>
          <w:sz w:val="24"/>
          <w:szCs w:val="24"/>
        </w:rPr>
        <w:t xml:space="preserve">and imprisonment </w:t>
      </w:r>
      <w:r w:rsidR="00F52665">
        <w:rPr>
          <w:rFonts w:ascii="Times New Roman" w:hAnsi="Times New Roman" w:cs="Times New Roman"/>
          <w:sz w:val="24"/>
          <w:szCs w:val="24"/>
        </w:rPr>
        <w:t xml:space="preserve">in Victoria, including, but not limited to, women’s mobility across rural communities, </w:t>
      </w:r>
      <w:r w:rsidR="005F3157">
        <w:rPr>
          <w:rFonts w:ascii="Times New Roman" w:hAnsi="Times New Roman" w:cs="Times New Roman"/>
          <w:sz w:val="24"/>
          <w:szCs w:val="24"/>
        </w:rPr>
        <w:t>and</w:t>
      </w:r>
      <w:r w:rsidR="00F52665">
        <w:rPr>
          <w:rFonts w:ascii="Times New Roman" w:hAnsi="Times New Roman" w:cs="Times New Roman"/>
          <w:sz w:val="24"/>
          <w:szCs w:val="24"/>
        </w:rPr>
        <w:t xml:space="preserve"> movement within urban environments. </w:t>
      </w:r>
    </w:p>
    <w:p w14:paraId="362DE6A8" w14:textId="77777777" w:rsidR="001D53E6" w:rsidRPr="004822CE" w:rsidRDefault="001D53E6" w:rsidP="00623D01">
      <w:pPr>
        <w:spacing w:line="480" w:lineRule="auto"/>
        <w:rPr>
          <w:rFonts w:ascii="Times New Roman" w:hAnsi="Times New Roman" w:cs="Times New Roman"/>
          <w:b/>
          <w:sz w:val="24"/>
          <w:szCs w:val="24"/>
        </w:rPr>
      </w:pPr>
    </w:p>
    <w:p w14:paraId="3912CE6F" w14:textId="77777777" w:rsidR="00345B76" w:rsidRDefault="00345B76" w:rsidP="00623D01">
      <w:pPr>
        <w:spacing w:line="480" w:lineRule="auto"/>
        <w:rPr>
          <w:rFonts w:ascii="Times New Roman" w:hAnsi="Times New Roman" w:cs="Times New Roman"/>
          <w:b/>
          <w:sz w:val="24"/>
          <w:szCs w:val="24"/>
        </w:rPr>
      </w:pPr>
    </w:p>
    <w:p w14:paraId="75A05731" w14:textId="0AF02046" w:rsidR="00635A1D" w:rsidRPr="004822CE" w:rsidRDefault="000A39CF" w:rsidP="00623D01">
      <w:pPr>
        <w:spacing w:line="480" w:lineRule="auto"/>
        <w:rPr>
          <w:rFonts w:ascii="Times New Roman" w:hAnsi="Times New Roman" w:cs="Times New Roman"/>
          <w:b/>
          <w:sz w:val="24"/>
          <w:szCs w:val="24"/>
        </w:rPr>
      </w:pPr>
      <w:r w:rsidRPr="004822CE">
        <w:rPr>
          <w:rFonts w:ascii="Times New Roman" w:hAnsi="Times New Roman" w:cs="Times New Roman"/>
          <w:b/>
          <w:sz w:val="24"/>
          <w:szCs w:val="24"/>
        </w:rPr>
        <w:t>Reference List</w:t>
      </w:r>
    </w:p>
    <w:p w14:paraId="28F14DC6" w14:textId="2BC7FA0C" w:rsidR="00FB3618" w:rsidRDefault="00FB3618" w:rsidP="00623D01">
      <w:pPr>
        <w:widowControl w:val="0"/>
        <w:autoSpaceDE w:val="0"/>
        <w:autoSpaceDN w:val="0"/>
        <w:adjustRightInd w:val="0"/>
        <w:spacing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Allen, J</w:t>
      </w:r>
      <w:r w:rsidR="000A39CF" w:rsidRPr="004822CE">
        <w:rPr>
          <w:rFonts w:ascii="Times New Roman" w:hAnsi="Times New Roman" w:cs="Times New Roman"/>
          <w:sz w:val="24"/>
          <w:szCs w:val="24"/>
          <w:lang w:val="en-US"/>
        </w:rPr>
        <w:t>.</w:t>
      </w:r>
      <w:r w:rsidRPr="004822CE">
        <w:rPr>
          <w:rFonts w:ascii="Times New Roman" w:hAnsi="Times New Roman" w:cs="Times New Roman"/>
          <w:sz w:val="24"/>
          <w:szCs w:val="24"/>
          <w:lang w:val="en-US"/>
        </w:rPr>
        <w:t xml:space="preserve"> A. </w:t>
      </w:r>
      <w:r w:rsidR="000A39CF" w:rsidRPr="004822CE">
        <w:rPr>
          <w:rFonts w:ascii="Times New Roman" w:hAnsi="Times New Roman" w:cs="Times New Roman"/>
          <w:sz w:val="24"/>
          <w:szCs w:val="24"/>
          <w:lang w:val="en-US"/>
        </w:rPr>
        <w:t xml:space="preserve">(1990). </w:t>
      </w:r>
      <w:r w:rsidRPr="004822CE">
        <w:rPr>
          <w:rFonts w:ascii="Times New Roman" w:hAnsi="Times New Roman" w:cs="Times New Roman"/>
          <w:i/>
          <w:iCs/>
          <w:sz w:val="24"/>
          <w:szCs w:val="24"/>
          <w:lang w:val="en-US"/>
        </w:rPr>
        <w:t>Sex and Secrets: Crimes Involving Australian Women since 1880</w:t>
      </w:r>
      <w:r w:rsidRPr="004822CE">
        <w:rPr>
          <w:rFonts w:ascii="Times New Roman" w:hAnsi="Times New Roman" w:cs="Times New Roman"/>
          <w:sz w:val="24"/>
          <w:szCs w:val="24"/>
          <w:lang w:val="en-US"/>
        </w:rPr>
        <w:t>.  Melbourne: Oxford University Press</w:t>
      </w:r>
      <w:r w:rsidR="00393D4F" w:rsidRPr="004822CE">
        <w:rPr>
          <w:rFonts w:ascii="Times New Roman" w:hAnsi="Times New Roman" w:cs="Times New Roman"/>
          <w:sz w:val="24"/>
          <w:szCs w:val="24"/>
          <w:lang w:val="en-US"/>
        </w:rPr>
        <w:t>.</w:t>
      </w:r>
    </w:p>
    <w:p w14:paraId="31D06E4F" w14:textId="101669EE" w:rsidR="000F51A2" w:rsidRPr="000F51A2" w:rsidRDefault="000F51A2" w:rsidP="00623D01">
      <w:pPr>
        <w:widowControl w:val="0"/>
        <w:autoSpaceDE w:val="0"/>
        <w:autoSpaceDN w:val="0"/>
        <w:adjustRightInd w:val="0"/>
        <w:spacing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Australian Bureau of Statistics. (2014). </w:t>
      </w:r>
      <w:r>
        <w:rPr>
          <w:rFonts w:ascii="Times New Roman" w:hAnsi="Times New Roman" w:cs="Times New Roman"/>
          <w:i/>
          <w:sz w:val="24"/>
          <w:szCs w:val="24"/>
          <w:lang w:val="en-US"/>
        </w:rPr>
        <w:t>3105.65.001 Australian Historical Population Statistics</w:t>
      </w:r>
      <w:r>
        <w:rPr>
          <w:rFonts w:ascii="Times New Roman" w:hAnsi="Times New Roman" w:cs="Times New Roman"/>
          <w:sz w:val="24"/>
          <w:szCs w:val="24"/>
          <w:lang w:val="en-US"/>
        </w:rPr>
        <w:t>. Canberra: Australian Bureau of Statistics</w:t>
      </w:r>
    </w:p>
    <w:p w14:paraId="360D8BCF" w14:textId="413197F0" w:rsidR="004C76DA" w:rsidRDefault="004C76DA" w:rsidP="00623D01">
      <w:pPr>
        <w:widowControl w:val="0"/>
        <w:autoSpaceDE w:val="0"/>
        <w:autoSpaceDN w:val="0"/>
        <w:adjustRightInd w:val="0"/>
        <w:spacing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Australian Bureau of Statistics. (2017). </w:t>
      </w:r>
      <w:r>
        <w:rPr>
          <w:rFonts w:ascii="Times New Roman" w:hAnsi="Times New Roman" w:cs="Times New Roman"/>
          <w:i/>
          <w:sz w:val="24"/>
          <w:szCs w:val="24"/>
          <w:lang w:val="en-US"/>
        </w:rPr>
        <w:t xml:space="preserve">4519.0 Recorded Crime- Offenders 2015-16. </w:t>
      </w:r>
      <w:r>
        <w:rPr>
          <w:rFonts w:ascii="Times New Roman" w:hAnsi="Times New Roman" w:cs="Times New Roman"/>
          <w:sz w:val="24"/>
          <w:szCs w:val="24"/>
          <w:lang w:val="en-US"/>
        </w:rPr>
        <w:t xml:space="preserve">Canberra: Australian Bureau of Statistics. </w:t>
      </w:r>
    </w:p>
    <w:p w14:paraId="55FA1E9A" w14:textId="032CEA27" w:rsidR="00514F0B" w:rsidRPr="004C76DA" w:rsidRDefault="00514F0B" w:rsidP="00623D01">
      <w:pPr>
        <w:widowControl w:val="0"/>
        <w:autoSpaceDE w:val="0"/>
        <w:autoSpaceDN w:val="0"/>
        <w:adjustRightInd w:val="0"/>
        <w:spacing w:line="480" w:lineRule="auto"/>
        <w:ind w:left="720" w:hanging="720"/>
        <w:rPr>
          <w:rFonts w:ascii="Times New Roman" w:hAnsi="Times New Roman" w:cs="Times New Roman"/>
          <w:sz w:val="24"/>
          <w:szCs w:val="24"/>
          <w:lang w:val="en-US"/>
        </w:rPr>
      </w:pPr>
      <w:r w:rsidRPr="00511DA4">
        <w:rPr>
          <w:rFonts w:ascii="Times New Roman" w:hAnsi="Times New Roman" w:cs="Times New Roman"/>
          <w:sz w:val="24"/>
          <w:szCs w:val="24"/>
          <w:lang w:val="en-US"/>
        </w:rPr>
        <w:lastRenderedPageBreak/>
        <w:t xml:space="preserve">Barcan, A. (1980). </w:t>
      </w:r>
      <w:r w:rsidRPr="00511DA4">
        <w:rPr>
          <w:rFonts w:ascii="Times New Roman" w:hAnsi="Times New Roman" w:cs="Times New Roman"/>
          <w:i/>
          <w:iCs/>
          <w:sz w:val="24"/>
          <w:szCs w:val="24"/>
          <w:lang w:val="en-US"/>
        </w:rPr>
        <w:t>A History of Australian Education</w:t>
      </w:r>
      <w:r w:rsidRPr="00511DA4">
        <w:rPr>
          <w:rFonts w:ascii="Times New Roman" w:hAnsi="Times New Roman" w:cs="Times New Roman"/>
          <w:sz w:val="24"/>
          <w:szCs w:val="24"/>
          <w:lang w:val="en-US"/>
        </w:rPr>
        <w:t>. Melbourne: Oxford University Press.</w:t>
      </w:r>
    </w:p>
    <w:p w14:paraId="47E6EB25" w14:textId="474F8734" w:rsidR="00497018" w:rsidRDefault="00497018" w:rsidP="00623D01">
      <w:pPr>
        <w:widowControl w:val="0"/>
        <w:autoSpaceDE w:val="0"/>
        <w:autoSpaceDN w:val="0"/>
        <w:adjustRightInd w:val="0"/>
        <w:spacing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Barnett, C. &amp; Mencken, F.C. (2002). Social disorganization theory and the contextual nature of crime in nonmetropolitan counties, </w:t>
      </w:r>
      <w:r>
        <w:rPr>
          <w:rFonts w:ascii="Times New Roman" w:hAnsi="Times New Roman" w:cs="Times New Roman"/>
          <w:i/>
          <w:sz w:val="24"/>
          <w:szCs w:val="24"/>
          <w:lang w:val="en-US"/>
        </w:rPr>
        <w:t xml:space="preserve">Rural Sociology, 67(3), </w:t>
      </w:r>
      <w:r>
        <w:rPr>
          <w:rFonts w:ascii="Times New Roman" w:hAnsi="Times New Roman" w:cs="Times New Roman"/>
          <w:sz w:val="24"/>
          <w:szCs w:val="24"/>
          <w:lang w:val="en-US"/>
        </w:rPr>
        <w:t xml:space="preserve">372-93. </w:t>
      </w:r>
    </w:p>
    <w:p w14:paraId="5102BA12" w14:textId="1E2D79DF" w:rsidR="00F676BF" w:rsidRPr="00F676BF" w:rsidRDefault="00F676BF" w:rsidP="00623D01">
      <w:pPr>
        <w:widowControl w:val="0"/>
        <w:autoSpaceDE w:val="0"/>
        <w:autoSpaceDN w:val="0"/>
        <w:adjustRightInd w:val="0"/>
        <w:spacing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Blackler, J. (2000). Historical influences on Australian policing, in T.Coady, S. James, S. Miller &amp; M. O’Keefe (eds.). </w:t>
      </w:r>
      <w:r>
        <w:rPr>
          <w:rFonts w:ascii="Times New Roman" w:hAnsi="Times New Roman" w:cs="Times New Roman"/>
          <w:i/>
          <w:sz w:val="24"/>
          <w:szCs w:val="24"/>
          <w:lang w:val="en-US"/>
        </w:rPr>
        <w:t xml:space="preserve">Violence and Police Culture, </w:t>
      </w:r>
      <w:r>
        <w:rPr>
          <w:rFonts w:ascii="Times New Roman" w:hAnsi="Times New Roman" w:cs="Times New Roman"/>
          <w:sz w:val="24"/>
          <w:szCs w:val="24"/>
          <w:lang w:val="en-US"/>
        </w:rPr>
        <w:t xml:space="preserve">Carlton: Melbourne University Press, pp. 14-31. </w:t>
      </w:r>
    </w:p>
    <w:p w14:paraId="735F3DC3" w14:textId="0FD7BB74" w:rsidR="00FB3618" w:rsidRPr="004822CE" w:rsidRDefault="00FB3618" w:rsidP="00623D01">
      <w:pPr>
        <w:widowControl w:val="0"/>
        <w:autoSpaceDE w:val="0"/>
        <w:autoSpaceDN w:val="0"/>
        <w:adjustRightInd w:val="0"/>
        <w:spacing w:line="480" w:lineRule="auto"/>
        <w:ind w:left="720" w:hanging="720"/>
        <w:rPr>
          <w:rFonts w:ascii="Times New Roman" w:hAnsi="Times New Roman" w:cs="Times New Roman"/>
          <w:sz w:val="24"/>
          <w:szCs w:val="24"/>
        </w:rPr>
      </w:pPr>
      <w:r w:rsidRPr="004822CE">
        <w:rPr>
          <w:rFonts w:ascii="Times New Roman" w:hAnsi="Times New Roman" w:cs="Times New Roman"/>
          <w:sz w:val="24"/>
          <w:szCs w:val="24"/>
        </w:rPr>
        <w:t>Brown, A.</w:t>
      </w:r>
      <w:r w:rsidR="000A39CF" w:rsidRPr="004822CE">
        <w:rPr>
          <w:rFonts w:ascii="Times New Roman" w:hAnsi="Times New Roman" w:cs="Times New Roman"/>
          <w:sz w:val="24"/>
          <w:szCs w:val="24"/>
        </w:rPr>
        <w:t xml:space="preserve"> (2011).</w:t>
      </w:r>
      <w:r w:rsidRPr="004822CE">
        <w:rPr>
          <w:rFonts w:ascii="Times New Roman" w:hAnsi="Times New Roman" w:cs="Times New Roman"/>
          <w:sz w:val="24"/>
          <w:szCs w:val="24"/>
        </w:rPr>
        <w:t xml:space="preserve"> Crime, Criminal Mobility and Serial Offenders in Early Twentieth-Century Britain.</w:t>
      </w:r>
      <w:r w:rsidR="004822CE">
        <w:rPr>
          <w:rFonts w:ascii="Times New Roman" w:hAnsi="Times New Roman" w:cs="Times New Roman"/>
          <w:sz w:val="24"/>
          <w:szCs w:val="24"/>
        </w:rPr>
        <w:t xml:space="preserve"> </w:t>
      </w:r>
      <w:r w:rsidRPr="004822CE">
        <w:rPr>
          <w:rFonts w:ascii="Times New Roman" w:hAnsi="Times New Roman" w:cs="Times New Roman"/>
          <w:i/>
          <w:iCs/>
          <w:sz w:val="24"/>
          <w:szCs w:val="24"/>
        </w:rPr>
        <w:t xml:space="preserve">Contemporary British History </w:t>
      </w:r>
      <w:r w:rsidRPr="004822CE">
        <w:rPr>
          <w:rFonts w:ascii="Times New Roman" w:hAnsi="Times New Roman" w:cs="Times New Roman"/>
          <w:i/>
          <w:sz w:val="24"/>
          <w:szCs w:val="24"/>
        </w:rPr>
        <w:t>25</w:t>
      </w:r>
      <w:r w:rsidR="00393D4F" w:rsidRPr="004822CE">
        <w:rPr>
          <w:rFonts w:ascii="Times New Roman" w:hAnsi="Times New Roman" w:cs="Times New Roman"/>
          <w:i/>
          <w:sz w:val="24"/>
          <w:szCs w:val="24"/>
        </w:rPr>
        <w:t>(</w:t>
      </w:r>
      <w:r w:rsidRPr="004822CE">
        <w:rPr>
          <w:rFonts w:ascii="Times New Roman" w:hAnsi="Times New Roman" w:cs="Times New Roman"/>
          <w:i/>
          <w:sz w:val="24"/>
          <w:szCs w:val="24"/>
        </w:rPr>
        <w:t>4</w:t>
      </w:r>
      <w:r w:rsidR="00393D4F" w:rsidRPr="004822CE">
        <w:rPr>
          <w:rFonts w:ascii="Times New Roman" w:hAnsi="Times New Roman" w:cs="Times New Roman"/>
          <w:i/>
          <w:sz w:val="24"/>
          <w:szCs w:val="24"/>
        </w:rPr>
        <w:t>)</w:t>
      </w:r>
      <w:r w:rsidR="00AE38F4" w:rsidRPr="004822CE">
        <w:rPr>
          <w:rFonts w:ascii="Times New Roman" w:hAnsi="Times New Roman" w:cs="Times New Roman"/>
          <w:sz w:val="24"/>
          <w:szCs w:val="24"/>
        </w:rPr>
        <w:t>,</w:t>
      </w:r>
      <w:r w:rsidRPr="004822CE">
        <w:rPr>
          <w:rFonts w:ascii="Times New Roman" w:hAnsi="Times New Roman" w:cs="Times New Roman"/>
          <w:sz w:val="24"/>
          <w:szCs w:val="24"/>
        </w:rPr>
        <w:t>551-68.</w:t>
      </w:r>
    </w:p>
    <w:p w14:paraId="27070D9B" w14:textId="13212563" w:rsidR="00FB3618" w:rsidRDefault="00FB3618" w:rsidP="00623D01">
      <w:pPr>
        <w:spacing w:line="480" w:lineRule="auto"/>
        <w:ind w:left="720" w:hanging="720"/>
        <w:rPr>
          <w:rFonts w:ascii="Times New Roman" w:hAnsi="Times New Roman" w:cs="Times New Roman"/>
          <w:sz w:val="24"/>
          <w:szCs w:val="24"/>
        </w:rPr>
      </w:pPr>
      <w:r w:rsidRPr="004822CE">
        <w:rPr>
          <w:rFonts w:ascii="Times New Roman" w:hAnsi="Times New Roman" w:cs="Times New Roman"/>
          <w:sz w:val="24"/>
          <w:szCs w:val="24"/>
        </w:rPr>
        <w:t xml:space="preserve">Candler, </w:t>
      </w:r>
      <w:r w:rsidR="00AE38F4" w:rsidRPr="004822CE">
        <w:rPr>
          <w:rFonts w:ascii="Times New Roman" w:hAnsi="Times New Roman" w:cs="Times New Roman"/>
          <w:sz w:val="24"/>
          <w:szCs w:val="24"/>
        </w:rPr>
        <w:t>S. C. (1867-68)</w:t>
      </w:r>
      <w:r w:rsidRPr="004822CE">
        <w:rPr>
          <w:rFonts w:ascii="Times New Roman" w:hAnsi="Times New Roman" w:cs="Times New Roman"/>
          <w:sz w:val="24"/>
          <w:szCs w:val="24"/>
        </w:rPr>
        <w:t xml:space="preserve"> </w:t>
      </w:r>
      <w:r w:rsidRPr="004822CE">
        <w:rPr>
          <w:rFonts w:ascii="Times New Roman" w:hAnsi="Times New Roman" w:cs="Times New Roman"/>
          <w:i/>
          <w:sz w:val="24"/>
          <w:szCs w:val="24"/>
        </w:rPr>
        <w:t>Notes About Melbourne, and Diaries</w:t>
      </w:r>
      <w:r w:rsidRPr="004822CE">
        <w:rPr>
          <w:rFonts w:ascii="Times New Roman" w:hAnsi="Times New Roman" w:cs="Times New Roman"/>
          <w:sz w:val="24"/>
          <w:szCs w:val="24"/>
        </w:rPr>
        <w:t>. Melbourne: Victoria State Library</w:t>
      </w:r>
      <w:r w:rsidR="00393D4F" w:rsidRPr="004822CE">
        <w:rPr>
          <w:rFonts w:ascii="Times New Roman" w:hAnsi="Times New Roman" w:cs="Times New Roman"/>
          <w:sz w:val="24"/>
          <w:szCs w:val="24"/>
        </w:rPr>
        <w:t>.</w:t>
      </w:r>
    </w:p>
    <w:p w14:paraId="79A40108" w14:textId="1315C2BE" w:rsidR="007E7613" w:rsidRPr="00837BD5" w:rsidRDefault="007E7613"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Cannon, M. (1994). </w:t>
      </w:r>
      <w:r>
        <w:rPr>
          <w:rFonts w:ascii="Times New Roman" w:hAnsi="Times New Roman" w:cs="Times New Roman"/>
          <w:i/>
          <w:sz w:val="24"/>
          <w:szCs w:val="24"/>
        </w:rPr>
        <w:t xml:space="preserve">The Woman as Murderer. </w:t>
      </w:r>
      <w:r w:rsidR="00837BD5">
        <w:rPr>
          <w:rFonts w:ascii="Times New Roman" w:hAnsi="Times New Roman" w:cs="Times New Roman"/>
          <w:sz w:val="24"/>
          <w:szCs w:val="24"/>
        </w:rPr>
        <w:t xml:space="preserve">Mornington: Today’s Australia Publishing Company. </w:t>
      </w:r>
    </w:p>
    <w:p w14:paraId="3F1C57F0" w14:textId="15738AAC" w:rsidR="009F15C0" w:rsidRPr="009F15C0" w:rsidRDefault="009F15C0"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Carach, C. (2000). Size, accessibility and crime in regional Australia. </w:t>
      </w:r>
      <w:r>
        <w:rPr>
          <w:rFonts w:ascii="Times New Roman" w:hAnsi="Times New Roman" w:cs="Times New Roman"/>
          <w:i/>
          <w:sz w:val="24"/>
          <w:szCs w:val="24"/>
        </w:rPr>
        <w:t xml:space="preserve">Trends and Issues in Crime and Criminal Justice, No.175. </w:t>
      </w:r>
      <w:r>
        <w:rPr>
          <w:rFonts w:ascii="Times New Roman" w:hAnsi="Times New Roman" w:cs="Times New Roman"/>
          <w:sz w:val="24"/>
          <w:szCs w:val="24"/>
        </w:rPr>
        <w:t xml:space="preserve">Canberra: AIC. </w:t>
      </w:r>
    </w:p>
    <w:p w14:paraId="6406EA45" w14:textId="7300D6D9" w:rsidR="006B53C8" w:rsidRPr="00F965BA" w:rsidRDefault="006B53C8"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Carrington, K. (2007)</w:t>
      </w:r>
      <w:r w:rsidR="00A97B02">
        <w:rPr>
          <w:rFonts w:ascii="Times New Roman" w:hAnsi="Times New Roman" w:cs="Times New Roman"/>
          <w:sz w:val="24"/>
          <w:szCs w:val="24"/>
        </w:rPr>
        <w:t>. Crime in rural and regional areas. In Barclay, E.</w:t>
      </w:r>
      <w:r w:rsidR="00F965BA">
        <w:rPr>
          <w:rFonts w:ascii="Times New Roman" w:hAnsi="Times New Roman" w:cs="Times New Roman"/>
          <w:sz w:val="24"/>
          <w:szCs w:val="24"/>
        </w:rPr>
        <w:t xml:space="preserve">, Donnermeyer, JF., Scott, J. &amp; Hogg, R. </w:t>
      </w:r>
      <w:r w:rsidR="00F965BA">
        <w:rPr>
          <w:rFonts w:ascii="Times New Roman" w:hAnsi="Times New Roman" w:cs="Times New Roman"/>
          <w:i/>
          <w:sz w:val="24"/>
          <w:szCs w:val="24"/>
        </w:rPr>
        <w:t xml:space="preserve">Crime in Rural Australia. </w:t>
      </w:r>
      <w:r w:rsidR="00F965BA">
        <w:rPr>
          <w:rFonts w:ascii="Times New Roman" w:hAnsi="Times New Roman" w:cs="Times New Roman"/>
          <w:sz w:val="24"/>
          <w:szCs w:val="24"/>
        </w:rPr>
        <w:t>Annandale: Federation Press, 27-43.</w:t>
      </w:r>
    </w:p>
    <w:p w14:paraId="36E0FD10" w14:textId="02E69C4D" w:rsidR="004822CE" w:rsidRDefault="004822CE" w:rsidP="00623D01">
      <w:pPr>
        <w:spacing w:line="480" w:lineRule="auto"/>
        <w:ind w:left="720" w:hanging="720"/>
        <w:rPr>
          <w:rFonts w:ascii="Times New Roman" w:hAnsi="Times New Roman" w:cs="Times New Roman"/>
          <w:sz w:val="24"/>
          <w:szCs w:val="24"/>
        </w:rPr>
      </w:pPr>
      <w:r w:rsidRPr="004822CE">
        <w:rPr>
          <w:rFonts w:ascii="Times New Roman" w:hAnsi="Times New Roman" w:cs="Times New Roman"/>
          <w:sz w:val="24"/>
          <w:szCs w:val="24"/>
        </w:rPr>
        <w:t xml:space="preserve">Carrington, K. (2013). Girls and violence: The case for a feminist theory of female violence. </w:t>
      </w:r>
      <w:r w:rsidRPr="00510913">
        <w:rPr>
          <w:rFonts w:ascii="Times New Roman" w:hAnsi="Times New Roman" w:cs="Times New Roman"/>
          <w:i/>
          <w:sz w:val="24"/>
          <w:szCs w:val="24"/>
        </w:rPr>
        <w:t>International Journal for Crime, Justice and Social Democracy, 2(2),</w:t>
      </w:r>
      <w:r w:rsidRPr="004822CE">
        <w:rPr>
          <w:rFonts w:ascii="Times New Roman" w:hAnsi="Times New Roman" w:cs="Times New Roman"/>
          <w:sz w:val="24"/>
          <w:szCs w:val="24"/>
        </w:rPr>
        <w:t xml:space="preserve"> 63-79. DOI: 10.5204/ijcjsd.v2i2.101</w:t>
      </w:r>
    </w:p>
    <w:p w14:paraId="4430210D" w14:textId="60DC994E" w:rsidR="009A0F7D" w:rsidRDefault="009A0F7D"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Covington, S.S &amp; Bloom, B.E. (2003). Gendered justice: Women in the criminal justice system. In Bloom, B.E. (Ed.), </w:t>
      </w:r>
      <w:r>
        <w:rPr>
          <w:rFonts w:ascii="Times New Roman" w:hAnsi="Times New Roman" w:cs="Times New Roman"/>
          <w:i/>
          <w:sz w:val="24"/>
          <w:szCs w:val="24"/>
        </w:rPr>
        <w:t xml:space="preserve">Gendered Justice: Addressing Female Offenders, </w:t>
      </w:r>
      <w:r>
        <w:rPr>
          <w:rFonts w:ascii="Times New Roman" w:hAnsi="Times New Roman" w:cs="Times New Roman"/>
          <w:sz w:val="24"/>
          <w:szCs w:val="24"/>
        </w:rPr>
        <w:t xml:space="preserve">Durham: Carolina Academic Press.  </w:t>
      </w:r>
    </w:p>
    <w:p w14:paraId="6B79EAC8" w14:textId="3F30FB62" w:rsidR="00DA4565" w:rsidRPr="00DA4565" w:rsidRDefault="00DA4565" w:rsidP="00623D01">
      <w:pPr>
        <w:spacing w:line="480" w:lineRule="auto"/>
        <w:ind w:left="720" w:hanging="720"/>
        <w:rPr>
          <w:rFonts w:ascii="Times New Roman" w:hAnsi="Times New Roman" w:cs="Times New Roman"/>
          <w:sz w:val="24"/>
          <w:szCs w:val="24"/>
        </w:rPr>
      </w:pPr>
      <w:r w:rsidRPr="00511DA4">
        <w:rPr>
          <w:rFonts w:ascii="Times New Roman" w:hAnsi="Times New Roman" w:cs="Times New Roman"/>
          <w:sz w:val="24"/>
          <w:szCs w:val="24"/>
          <w:lang w:val="en-US"/>
        </w:rPr>
        <w:lastRenderedPageBreak/>
        <w:t xml:space="preserve">Davison, G., &amp; Dunstan, D. (1985). 'This moral pandemonium' images of low life. In G. Davison, D. Dunstan &amp; C. McConville (Eds.), </w:t>
      </w:r>
      <w:r w:rsidRPr="00511DA4">
        <w:rPr>
          <w:rFonts w:ascii="Times New Roman" w:hAnsi="Times New Roman" w:cs="Times New Roman"/>
          <w:i/>
          <w:iCs/>
          <w:sz w:val="24"/>
          <w:szCs w:val="24"/>
          <w:lang w:val="en-US"/>
        </w:rPr>
        <w:t>The outcasts of Melbourne: essays in social history</w:t>
      </w:r>
      <w:r w:rsidRPr="00511DA4">
        <w:rPr>
          <w:rFonts w:ascii="Times New Roman" w:hAnsi="Times New Roman" w:cs="Times New Roman"/>
          <w:sz w:val="24"/>
          <w:szCs w:val="24"/>
          <w:lang w:val="en-US"/>
        </w:rPr>
        <w:t xml:space="preserve"> (pp. 29-57). Sydney: Allen &amp; Unwin.</w:t>
      </w:r>
    </w:p>
    <w:p w14:paraId="09F23B6D" w14:textId="63013B37" w:rsidR="002569F1" w:rsidRPr="00C41CF5" w:rsidRDefault="002569F1"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D’Cruze, S. (ed.). (2000). </w:t>
      </w:r>
      <w:r w:rsidR="00C41CF5">
        <w:rPr>
          <w:rFonts w:ascii="Times New Roman" w:hAnsi="Times New Roman" w:cs="Times New Roman"/>
          <w:i/>
          <w:sz w:val="24"/>
          <w:szCs w:val="24"/>
        </w:rPr>
        <w:t xml:space="preserve">Everyday Violence in Britain, 1850-1950: Gender and Class. </w:t>
      </w:r>
      <w:r w:rsidR="00C41CF5">
        <w:rPr>
          <w:rFonts w:ascii="Times New Roman" w:hAnsi="Times New Roman" w:cs="Times New Roman"/>
          <w:sz w:val="24"/>
          <w:szCs w:val="24"/>
        </w:rPr>
        <w:t>Harlow: Pearson Education.</w:t>
      </w:r>
    </w:p>
    <w:p w14:paraId="1E8CA947" w14:textId="42C9B1A5" w:rsidR="003A2F2A" w:rsidRDefault="003A2F2A" w:rsidP="00623D01">
      <w:pPr>
        <w:spacing w:line="480" w:lineRule="auto"/>
        <w:ind w:left="720" w:hanging="720"/>
        <w:rPr>
          <w:rFonts w:ascii="Times New Roman" w:hAnsi="Times New Roman" w:cs="Times New Roman"/>
          <w:sz w:val="24"/>
          <w:szCs w:val="24"/>
        </w:rPr>
      </w:pPr>
      <w:r w:rsidRPr="003A2F2A">
        <w:rPr>
          <w:rFonts w:ascii="Times New Roman" w:hAnsi="Times New Roman" w:cs="Times New Roman"/>
          <w:sz w:val="24"/>
          <w:szCs w:val="24"/>
        </w:rPr>
        <w:t xml:space="preserve">DeKeseredy, W.S. (2015). New directions in feminist understandings of rural crime. </w:t>
      </w:r>
      <w:r w:rsidRPr="006A44E6">
        <w:rPr>
          <w:rFonts w:ascii="Times New Roman" w:hAnsi="Times New Roman" w:cs="Times New Roman"/>
          <w:i/>
          <w:sz w:val="24"/>
          <w:szCs w:val="24"/>
        </w:rPr>
        <w:t>Journal of Rural Studies, 39,</w:t>
      </w:r>
      <w:r w:rsidRPr="003A2F2A">
        <w:rPr>
          <w:rFonts w:ascii="Times New Roman" w:hAnsi="Times New Roman" w:cs="Times New Roman"/>
          <w:sz w:val="24"/>
          <w:szCs w:val="24"/>
        </w:rPr>
        <w:t xml:space="preserve"> 180-187.</w:t>
      </w:r>
    </w:p>
    <w:p w14:paraId="4EB0D6BD" w14:textId="2995C0DB" w:rsidR="00EF14FC" w:rsidRDefault="00EF14FC"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Disher,</w:t>
      </w:r>
      <w:r w:rsidRPr="00EF14FC">
        <w:t xml:space="preserve"> </w:t>
      </w:r>
      <w:r w:rsidRPr="00EF14FC">
        <w:rPr>
          <w:rFonts w:ascii="Times New Roman" w:hAnsi="Times New Roman" w:cs="Times New Roman"/>
          <w:sz w:val="24"/>
          <w:szCs w:val="24"/>
        </w:rPr>
        <w:t xml:space="preserve">G. (1981) </w:t>
      </w:r>
      <w:r w:rsidRPr="00DD7F37">
        <w:rPr>
          <w:rFonts w:ascii="Times New Roman" w:hAnsi="Times New Roman" w:cs="Times New Roman"/>
          <w:i/>
          <w:sz w:val="24"/>
          <w:szCs w:val="24"/>
        </w:rPr>
        <w:t>Wretches and Rebels.</w:t>
      </w:r>
      <w:r w:rsidRPr="00EF14FC">
        <w:rPr>
          <w:rFonts w:ascii="Times New Roman" w:hAnsi="Times New Roman" w:cs="Times New Roman"/>
          <w:sz w:val="24"/>
          <w:szCs w:val="24"/>
        </w:rPr>
        <w:t xml:space="preserve"> Oxford: Melbourne. </w:t>
      </w:r>
      <w:r>
        <w:rPr>
          <w:rFonts w:ascii="Times New Roman" w:hAnsi="Times New Roman" w:cs="Times New Roman"/>
          <w:sz w:val="24"/>
          <w:szCs w:val="24"/>
        </w:rPr>
        <w:t xml:space="preserve"> </w:t>
      </w:r>
    </w:p>
    <w:p w14:paraId="60E6D9C1" w14:textId="1AE02C55" w:rsidR="008A0E11" w:rsidRPr="004822CE" w:rsidRDefault="002848B8" w:rsidP="008A0E1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Durkheim, E. (2007). </w:t>
      </w:r>
      <w:r w:rsidRPr="002848B8">
        <w:rPr>
          <w:rFonts w:ascii="Times New Roman" w:hAnsi="Times New Roman" w:cs="Times New Roman"/>
          <w:sz w:val="24"/>
          <w:szCs w:val="24"/>
        </w:rPr>
        <w:t>The rule</w:t>
      </w:r>
      <w:r>
        <w:rPr>
          <w:rFonts w:ascii="Times New Roman" w:hAnsi="Times New Roman" w:cs="Times New Roman"/>
          <w:sz w:val="24"/>
          <w:szCs w:val="24"/>
        </w:rPr>
        <w:t>s of sociological method (1895)</w:t>
      </w:r>
      <w:r w:rsidRPr="002848B8">
        <w:rPr>
          <w:rFonts w:ascii="Times New Roman" w:hAnsi="Times New Roman" w:cs="Times New Roman"/>
          <w:sz w:val="24"/>
          <w:szCs w:val="24"/>
        </w:rPr>
        <w:t>. In Appelrouth, S</w:t>
      </w:r>
      <w:r>
        <w:rPr>
          <w:rFonts w:ascii="Times New Roman" w:hAnsi="Times New Roman" w:cs="Times New Roman"/>
          <w:sz w:val="24"/>
          <w:szCs w:val="24"/>
        </w:rPr>
        <w:t xml:space="preserve"> &amp;</w:t>
      </w:r>
      <w:r w:rsidRPr="002848B8">
        <w:rPr>
          <w:rFonts w:ascii="Times New Roman" w:hAnsi="Times New Roman" w:cs="Times New Roman"/>
          <w:sz w:val="24"/>
          <w:szCs w:val="24"/>
        </w:rPr>
        <w:t xml:space="preserve"> Edles, L D</w:t>
      </w:r>
      <w:r>
        <w:rPr>
          <w:rFonts w:ascii="Times New Roman" w:hAnsi="Times New Roman" w:cs="Times New Roman"/>
          <w:sz w:val="24"/>
          <w:szCs w:val="24"/>
        </w:rPr>
        <w:t xml:space="preserve"> (Eds).</w:t>
      </w:r>
      <w:r w:rsidRPr="002848B8">
        <w:rPr>
          <w:rFonts w:ascii="Times New Roman" w:hAnsi="Times New Roman" w:cs="Times New Roman"/>
          <w:sz w:val="24"/>
          <w:szCs w:val="24"/>
        </w:rPr>
        <w:t xml:space="preserve"> </w:t>
      </w:r>
      <w:r w:rsidRPr="006A44E6">
        <w:rPr>
          <w:rFonts w:ascii="Times New Roman" w:hAnsi="Times New Roman" w:cs="Times New Roman"/>
          <w:i/>
          <w:sz w:val="24"/>
          <w:szCs w:val="24"/>
        </w:rPr>
        <w:t>Classical and Contemporary Sociological Theory: Text and Readings.</w:t>
      </w:r>
      <w:r w:rsidRPr="002848B8">
        <w:rPr>
          <w:rFonts w:ascii="Times New Roman" w:hAnsi="Times New Roman" w:cs="Times New Roman"/>
          <w:sz w:val="24"/>
          <w:szCs w:val="24"/>
        </w:rPr>
        <w:t xml:space="preserve"> Thous</w:t>
      </w:r>
      <w:r>
        <w:rPr>
          <w:rFonts w:ascii="Times New Roman" w:hAnsi="Times New Roman" w:cs="Times New Roman"/>
          <w:sz w:val="24"/>
          <w:szCs w:val="24"/>
        </w:rPr>
        <w:t xml:space="preserve">and Oaks, CA: Pine Forge Press, </w:t>
      </w:r>
      <w:r w:rsidRPr="002848B8">
        <w:rPr>
          <w:rFonts w:ascii="Times New Roman" w:hAnsi="Times New Roman" w:cs="Times New Roman"/>
          <w:sz w:val="24"/>
          <w:szCs w:val="24"/>
        </w:rPr>
        <w:t>95–102.</w:t>
      </w:r>
    </w:p>
    <w:p w14:paraId="1B386B5D" w14:textId="3BE79C69" w:rsidR="00635A1D" w:rsidRDefault="00635A1D"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Finch, L</w:t>
      </w:r>
      <w:r w:rsidR="00AE38F4" w:rsidRPr="004822CE">
        <w:rPr>
          <w:rFonts w:ascii="Times New Roman" w:hAnsi="Times New Roman" w:cs="Times New Roman"/>
          <w:sz w:val="24"/>
          <w:szCs w:val="24"/>
          <w:lang w:val="en-US"/>
        </w:rPr>
        <w:t>.</w:t>
      </w:r>
      <w:r w:rsidRPr="004822CE">
        <w:rPr>
          <w:rFonts w:ascii="Times New Roman" w:hAnsi="Times New Roman" w:cs="Times New Roman"/>
          <w:sz w:val="24"/>
          <w:szCs w:val="24"/>
          <w:lang w:val="en-US"/>
        </w:rPr>
        <w:t xml:space="preserve"> </w:t>
      </w:r>
      <w:r w:rsidR="00AE38F4" w:rsidRPr="004822CE">
        <w:rPr>
          <w:rFonts w:ascii="Times New Roman" w:hAnsi="Times New Roman" w:cs="Times New Roman"/>
          <w:sz w:val="24"/>
          <w:szCs w:val="24"/>
          <w:lang w:val="en-US"/>
        </w:rPr>
        <w:t xml:space="preserve">&amp; </w:t>
      </w:r>
      <w:r w:rsidRPr="004822CE">
        <w:rPr>
          <w:rFonts w:ascii="Times New Roman" w:hAnsi="Times New Roman" w:cs="Times New Roman"/>
          <w:sz w:val="24"/>
          <w:szCs w:val="24"/>
          <w:lang w:val="en-US"/>
        </w:rPr>
        <w:t>Stratton</w:t>
      </w:r>
      <w:r w:rsidR="00AE38F4" w:rsidRPr="004822CE">
        <w:rPr>
          <w:rFonts w:ascii="Times New Roman" w:hAnsi="Times New Roman" w:cs="Times New Roman"/>
          <w:sz w:val="24"/>
          <w:szCs w:val="24"/>
          <w:lang w:val="en-US"/>
        </w:rPr>
        <w:t>, J</w:t>
      </w:r>
      <w:r w:rsidRPr="004822CE">
        <w:rPr>
          <w:rFonts w:ascii="Times New Roman" w:hAnsi="Times New Roman" w:cs="Times New Roman"/>
          <w:sz w:val="24"/>
          <w:szCs w:val="24"/>
          <w:lang w:val="en-US"/>
        </w:rPr>
        <w:t>.</w:t>
      </w:r>
      <w:r w:rsidR="00AE38F4" w:rsidRPr="004822CE">
        <w:rPr>
          <w:rFonts w:ascii="Times New Roman" w:hAnsi="Times New Roman" w:cs="Times New Roman"/>
          <w:sz w:val="24"/>
          <w:szCs w:val="24"/>
          <w:lang w:val="en-US"/>
        </w:rPr>
        <w:t xml:space="preserve"> (1988).</w:t>
      </w:r>
      <w:r w:rsidRPr="004822CE">
        <w:rPr>
          <w:rFonts w:ascii="Times New Roman" w:hAnsi="Times New Roman" w:cs="Times New Roman"/>
          <w:sz w:val="24"/>
          <w:szCs w:val="24"/>
          <w:lang w:val="en-US"/>
        </w:rPr>
        <w:t xml:space="preserve"> The Australian Working Class and the Practice of Abortion 1880-1939. </w:t>
      </w:r>
      <w:r w:rsidRPr="004822CE">
        <w:rPr>
          <w:rFonts w:ascii="Times New Roman" w:hAnsi="Times New Roman" w:cs="Times New Roman"/>
          <w:i/>
          <w:iCs/>
          <w:sz w:val="24"/>
          <w:szCs w:val="24"/>
          <w:lang w:val="en-US"/>
        </w:rPr>
        <w:t xml:space="preserve">Journal of Australian Studies </w:t>
      </w:r>
      <w:r w:rsidRPr="004822CE">
        <w:rPr>
          <w:rFonts w:ascii="Times New Roman" w:hAnsi="Times New Roman" w:cs="Times New Roman"/>
          <w:i/>
          <w:sz w:val="24"/>
          <w:szCs w:val="24"/>
          <w:lang w:val="en-US"/>
        </w:rPr>
        <w:t>12</w:t>
      </w:r>
      <w:r w:rsidR="00393D4F" w:rsidRPr="004822CE">
        <w:rPr>
          <w:rFonts w:ascii="Times New Roman" w:hAnsi="Times New Roman" w:cs="Times New Roman"/>
          <w:i/>
          <w:sz w:val="24"/>
          <w:szCs w:val="24"/>
          <w:lang w:val="en-US"/>
        </w:rPr>
        <w:t>(</w:t>
      </w:r>
      <w:r w:rsidRPr="004822CE">
        <w:rPr>
          <w:rFonts w:ascii="Times New Roman" w:hAnsi="Times New Roman" w:cs="Times New Roman"/>
          <w:i/>
          <w:sz w:val="24"/>
          <w:szCs w:val="24"/>
          <w:lang w:val="en-US"/>
        </w:rPr>
        <w:t>23</w:t>
      </w:r>
      <w:r w:rsidR="00393D4F" w:rsidRPr="004822CE">
        <w:rPr>
          <w:rFonts w:ascii="Times New Roman" w:hAnsi="Times New Roman" w:cs="Times New Roman"/>
          <w:i/>
          <w:sz w:val="24"/>
          <w:szCs w:val="24"/>
          <w:lang w:val="en-US"/>
        </w:rPr>
        <w:t>)</w:t>
      </w:r>
      <w:r w:rsidR="00AE38F4" w:rsidRPr="004822CE">
        <w:rPr>
          <w:rFonts w:ascii="Times New Roman" w:hAnsi="Times New Roman" w:cs="Times New Roman"/>
          <w:sz w:val="24"/>
          <w:szCs w:val="24"/>
          <w:lang w:val="en-US"/>
        </w:rPr>
        <w:t>,</w:t>
      </w:r>
      <w:r w:rsidR="004822CE">
        <w:rPr>
          <w:rFonts w:ascii="Times New Roman" w:hAnsi="Times New Roman" w:cs="Times New Roman"/>
          <w:sz w:val="24"/>
          <w:szCs w:val="24"/>
          <w:lang w:val="en-US"/>
        </w:rPr>
        <w:t xml:space="preserve"> </w:t>
      </w:r>
      <w:r w:rsidRPr="004822CE">
        <w:rPr>
          <w:rFonts w:ascii="Times New Roman" w:hAnsi="Times New Roman" w:cs="Times New Roman"/>
          <w:sz w:val="24"/>
          <w:szCs w:val="24"/>
          <w:lang w:val="en-US"/>
        </w:rPr>
        <w:t>45-64.</w:t>
      </w:r>
    </w:p>
    <w:p w14:paraId="4FEACA6A" w14:textId="7D642084" w:rsidR="0067498B" w:rsidRPr="0067498B" w:rsidRDefault="0067498B"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511DA4">
        <w:rPr>
          <w:rFonts w:ascii="Times New Roman" w:hAnsi="Times New Roman" w:cs="Times New Roman"/>
          <w:sz w:val="24"/>
          <w:szCs w:val="24"/>
          <w:lang w:val="en-US"/>
        </w:rPr>
        <w:t xml:space="preserve">Finnane, M. (1997). </w:t>
      </w:r>
      <w:r w:rsidRPr="00511DA4">
        <w:rPr>
          <w:rFonts w:ascii="Times New Roman" w:hAnsi="Times New Roman" w:cs="Times New Roman"/>
          <w:i/>
          <w:iCs/>
          <w:sz w:val="24"/>
          <w:szCs w:val="24"/>
          <w:lang w:val="en-US"/>
        </w:rPr>
        <w:t>Punishment in Australian society</w:t>
      </w:r>
      <w:r w:rsidRPr="00511DA4">
        <w:rPr>
          <w:rFonts w:ascii="Times New Roman" w:hAnsi="Times New Roman" w:cs="Times New Roman"/>
          <w:sz w:val="24"/>
          <w:szCs w:val="24"/>
          <w:lang w:val="en-US"/>
        </w:rPr>
        <w:t>. Melbourne: Oxford University Press.</w:t>
      </w:r>
    </w:p>
    <w:p w14:paraId="333F73F7" w14:textId="77777777" w:rsidR="00F24CA8" w:rsidRPr="006302AC" w:rsidRDefault="00F24CA8" w:rsidP="00F24CA8">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Frances, R. (1993). </w:t>
      </w:r>
      <w:r>
        <w:rPr>
          <w:rFonts w:ascii="Times New Roman" w:hAnsi="Times New Roman" w:cs="Times New Roman"/>
          <w:i/>
          <w:sz w:val="24"/>
          <w:szCs w:val="24"/>
          <w:lang w:val="en-US"/>
        </w:rPr>
        <w:t xml:space="preserve">The Politics of Work: Gender and Labour in Victoria, 1880-1939. </w:t>
      </w:r>
      <w:r>
        <w:rPr>
          <w:rFonts w:ascii="Times New Roman" w:hAnsi="Times New Roman" w:cs="Times New Roman"/>
          <w:sz w:val="24"/>
          <w:szCs w:val="24"/>
          <w:lang w:val="en-US"/>
        </w:rPr>
        <w:t>Cambridge: Cambridge University Press.</w:t>
      </w:r>
    </w:p>
    <w:p w14:paraId="3547A4D7" w14:textId="016CC540" w:rsidR="00635A1D" w:rsidRDefault="00635A1D"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 xml:space="preserve">Frances, R. </w:t>
      </w:r>
      <w:r w:rsidR="00393D4F" w:rsidRPr="004822CE">
        <w:rPr>
          <w:rFonts w:ascii="Times New Roman" w:hAnsi="Times New Roman" w:cs="Times New Roman"/>
          <w:sz w:val="24"/>
          <w:szCs w:val="24"/>
          <w:lang w:val="en-US"/>
        </w:rPr>
        <w:t xml:space="preserve">(2007). </w:t>
      </w:r>
      <w:r w:rsidRPr="004822CE">
        <w:rPr>
          <w:rFonts w:ascii="Times New Roman" w:hAnsi="Times New Roman" w:cs="Times New Roman"/>
          <w:i/>
          <w:iCs/>
          <w:sz w:val="24"/>
          <w:szCs w:val="24"/>
          <w:lang w:val="en-US"/>
        </w:rPr>
        <w:t>Selling Sex: A Hidden History of Prostitution</w:t>
      </w:r>
      <w:r w:rsidRPr="004822CE">
        <w:rPr>
          <w:rFonts w:ascii="Times New Roman" w:hAnsi="Times New Roman" w:cs="Times New Roman"/>
          <w:sz w:val="24"/>
          <w:szCs w:val="24"/>
          <w:lang w:val="en-US"/>
        </w:rPr>
        <w:t>.  Sydney: University of New South Wales Press</w:t>
      </w:r>
      <w:r w:rsidR="00393D4F" w:rsidRPr="004822CE">
        <w:rPr>
          <w:rFonts w:ascii="Times New Roman" w:hAnsi="Times New Roman" w:cs="Times New Roman"/>
          <w:sz w:val="24"/>
          <w:szCs w:val="24"/>
          <w:lang w:val="en-US"/>
        </w:rPr>
        <w:t>.</w:t>
      </w:r>
    </w:p>
    <w:p w14:paraId="44D7DB5A" w14:textId="6DDB6A62" w:rsidR="006849AF" w:rsidRPr="006849AF" w:rsidRDefault="006849AF"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Francis, R. (2014). </w:t>
      </w:r>
      <w:r>
        <w:rPr>
          <w:rFonts w:ascii="Times New Roman" w:hAnsi="Times New Roman" w:cs="Times New Roman"/>
          <w:i/>
          <w:sz w:val="24"/>
          <w:szCs w:val="24"/>
          <w:lang w:val="en-US"/>
        </w:rPr>
        <w:t xml:space="preserve">Birthplace, migration and crime: The Australian experience. </w:t>
      </w:r>
      <w:r>
        <w:rPr>
          <w:rFonts w:ascii="Times New Roman" w:hAnsi="Times New Roman" w:cs="Times New Roman"/>
          <w:sz w:val="24"/>
          <w:szCs w:val="24"/>
          <w:lang w:val="en-US"/>
        </w:rPr>
        <w:t xml:space="preserve">Houndsmills, Basingstoke: Palgrave Macmillan. </w:t>
      </w:r>
    </w:p>
    <w:p w14:paraId="5CBE2E31" w14:textId="4E2D956C" w:rsidR="00FB3618" w:rsidRDefault="00FB3618" w:rsidP="00623D01">
      <w:pPr>
        <w:spacing w:line="480" w:lineRule="auto"/>
        <w:ind w:left="720" w:hanging="720"/>
        <w:rPr>
          <w:rFonts w:ascii="Times New Roman" w:hAnsi="Times New Roman" w:cs="Times New Roman"/>
          <w:sz w:val="24"/>
          <w:szCs w:val="24"/>
        </w:rPr>
      </w:pPr>
      <w:r w:rsidRPr="004822CE">
        <w:rPr>
          <w:rFonts w:ascii="Times New Roman" w:hAnsi="Times New Roman" w:cs="Times New Roman"/>
          <w:sz w:val="24"/>
          <w:szCs w:val="24"/>
        </w:rPr>
        <w:t>Freeman, J</w:t>
      </w:r>
      <w:r w:rsidR="00393D4F" w:rsidRPr="004822CE">
        <w:rPr>
          <w:rFonts w:ascii="Times New Roman" w:hAnsi="Times New Roman" w:cs="Times New Roman"/>
          <w:sz w:val="24"/>
          <w:szCs w:val="24"/>
        </w:rPr>
        <w:t>. (1888)</w:t>
      </w:r>
      <w:r w:rsidRPr="004822CE">
        <w:rPr>
          <w:rFonts w:ascii="Times New Roman" w:hAnsi="Times New Roman" w:cs="Times New Roman"/>
          <w:sz w:val="24"/>
          <w:szCs w:val="24"/>
        </w:rPr>
        <w:t xml:space="preserve">. </w:t>
      </w:r>
      <w:r w:rsidRPr="004822CE">
        <w:rPr>
          <w:rFonts w:ascii="Times New Roman" w:hAnsi="Times New Roman" w:cs="Times New Roman"/>
          <w:i/>
          <w:iCs/>
          <w:sz w:val="24"/>
          <w:szCs w:val="24"/>
        </w:rPr>
        <w:t>Lights and Shadows of Melbourne Life</w:t>
      </w:r>
      <w:r w:rsidRPr="004822CE">
        <w:rPr>
          <w:rFonts w:ascii="Times New Roman" w:hAnsi="Times New Roman" w:cs="Times New Roman"/>
          <w:sz w:val="24"/>
          <w:szCs w:val="24"/>
        </w:rPr>
        <w:t>.  London: Sampson Low, Marston, Searle and Rivington</w:t>
      </w:r>
      <w:r w:rsidR="00393D4F" w:rsidRPr="004822CE">
        <w:rPr>
          <w:rFonts w:ascii="Times New Roman" w:hAnsi="Times New Roman" w:cs="Times New Roman"/>
          <w:sz w:val="24"/>
          <w:szCs w:val="24"/>
        </w:rPr>
        <w:t>.</w:t>
      </w:r>
    </w:p>
    <w:p w14:paraId="7F39672C" w14:textId="087FFD97" w:rsidR="00760860" w:rsidRDefault="00AC6EB9" w:rsidP="0076086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Goc, N. (2013). </w:t>
      </w:r>
      <w:r>
        <w:rPr>
          <w:rFonts w:ascii="Times New Roman" w:hAnsi="Times New Roman" w:cs="Times New Roman"/>
          <w:i/>
          <w:sz w:val="24"/>
          <w:szCs w:val="24"/>
        </w:rPr>
        <w:t>Infanti</w:t>
      </w:r>
      <w:r w:rsidR="00500F23">
        <w:rPr>
          <w:rFonts w:ascii="Times New Roman" w:hAnsi="Times New Roman" w:cs="Times New Roman"/>
          <w:i/>
          <w:sz w:val="24"/>
          <w:szCs w:val="24"/>
        </w:rPr>
        <w:t>cide and the Press 1822-1922: News Narratives from England and Australia</w:t>
      </w:r>
      <w:r w:rsidR="00500F23">
        <w:rPr>
          <w:rFonts w:ascii="Times New Roman" w:hAnsi="Times New Roman" w:cs="Times New Roman"/>
          <w:sz w:val="24"/>
          <w:szCs w:val="24"/>
        </w:rPr>
        <w:t>. Farnham, Surrey: Ashgate, 2013.</w:t>
      </w:r>
    </w:p>
    <w:p w14:paraId="3130523D" w14:textId="0BD9880B" w:rsidR="008A0E11" w:rsidRPr="008A0E11" w:rsidRDefault="008A0E11" w:rsidP="00760860">
      <w:pPr>
        <w:spacing w:line="480" w:lineRule="auto"/>
        <w:ind w:left="720" w:hanging="720"/>
        <w:rPr>
          <w:rFonts w:ascii="Times New Roman" w:hAnsi="Times New Roman" w:cs="Times New Roman"/>
          <w:sz w:val="24"/>
          <w:szCs w:val="24"/>
        </w:rPr>
      </w:pPr>
      <w:r w:rsidRPr="003032B2">
        <w:rPr>
          <w:rFonts w:ascii="Times New Roman" w:hAnsi="Times New Roman" w:cs="Times New Roman"/>
          <w:sz w:val="24"/>
          <w:szCs w:val="24"/>
        </w:rPr>
        <w:lastRenderedPageBreak/>
        <w:t xml:space="preserve">Grant, E 2014, ‘The Incarceration of Australian Aboriginal Women and Children’, in P Ashton &amp; JZ Wilson, (eds.), </w:t>
      </w:r>
      <w:r w:rsidRPr="003032B2">
        <w:rPr>
          <w:rFonts w:ascii="Times New Roman" w:hAnsi="Times New Roman" w:cs="Times New Roman"/>
          <w:i/>
          <w:iCs/>
          <w:sz w:val="24"/>
          <w:szCs w:val="24"/>
        </w:rPr>
        <w:t>Silent System: Forgotten Australians and the Institutionalisation of Women and Children</w:t>
      </w:r>
      <w:r w:rsidRPr="003032B2">
        <w:rPr>
          <w:rFonts w:ascii="Times New Roman" w:hAnsi="Times New Roman" w:cs="Times New Roman"/>
          <w:sz w:val="24"/>
          <w:szCs w:val="24"/>
        </w:rPr>
        <w:t>, pp. 43-58. Australian Scholarly Publishing, Melbourne</w:t>
      </w:r>
    </w:p>
    <w:p w14:paraId="45CA2667" w14:textId="6C1764F4" w:rsidR="00DF0C89" w:rsidRPr="004822CE" w:rsidRDefault="00DF0C89"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Highland, G. (1994). A tangle of paradoxes: Race, justice and criminal law in North Queensland 1882-1894. In Philips, D. &amp; Davies, S (Eds.), </w:t>
      </w:r>
      <w:r>
        <w:rPr>
          <w:rFonts w:ascii="Times New Roman" w:hAnsi="Times New Roman" w:cs="Times New Roman"/>
          <w:i/>
          <w:sz w:val="24"/>
          <w:szCs w:val="24"/>
        </w:rPr>
        <w:t xml:space="preserve">A Nation of Rogues? Crime, Law and Punishment in Colonial Australia. </w:t>
      </w:r>
      <w:r>
        <w:rPr>
          <w:rFonts w:ascii="Times New Roman" w:hAnsi="Times New Roman" w:cs="Times New Roman"/>
          <w:sz w:val="24"/>
          <w:szCs w:val="24"/>
        </w:rPr>
        <w:t xml:space="preserve">Carlton: Melbourne University Press, 123-140. </w:t>
      </w:r>
    </w:p>
    <w:p w14:paraId="7DFF1E87" w14:textId="652344A4" w:rsidR="00FB3618" w:rsidRDefault="00FB3618" w:rsidP="00623D01">
      <w:pPr>
        <w:spacing w:line="480" w:lineRule="auto"/>
        <w:ind w:left="720" w:hanging="720"/>
        <w:rPr>
          <w:rFonts w:ascii="Times New Roman" w:hAnsi="Times New Roman" w:cs="Times New Roman"/>
          <w:sz w:val="24"/>
          <w:szCs w:val="24"/>
        </w:rPr>
      </w:pPr>
      <w:r w:rsidRPr="004822CE">
        <w:rPr>
          <w:rFonts w:ascii="Times New Roman" w:hAnsi="Times New Roman" w:cs="Times New Roman"/>
          <w:sz w:val="24"/>
          <w:szCs w:val="24"/>
        </w:rPr>
        <w:t>Hogg, R</w:t>
      </w:r>
      <w:r w:rsidR="00393D4F" w:rsidRPr="004822CE">
        <w:rPr>
          <w:rFonts w:ascii="Times New Roman" w:hAnsi="Times New Roman" w:cs="Times New Roman"/>
          <w:sz w:val="24"/>
          <w:szCs w:val="24"/>
        </w:rPr>
        <w:t>.&amp;</w:t>
      </w:r>
      <w:r w:rsidRPr="004822CE">
        <w:rPr>
          <w:rFonts w:ascii="Times New Roman" w:hAnsi="Times New Roman" w:cs="Times New Roman"/>
          <w:sz w:val="24"/>
          <w:szCs w:val="24"/>
        </w:rPr>
        <w:t xml:space="preserve"> Carrington</w:t>
      </w:r>
      <w:r w:rsidR="00393D4F" w:rsidRPr="004822CE">
        <w:rPr>
          <w:rFonts w:ascii="Times New Roman" w:hAnsi="Times New Roman" w:cs="Times New Roman"/>
          <w:sz w:val="24"/>
          <w:szCs w:val="24"/>
        </w:rPr>
        <w:t>, K</w:t>
      </w:r>
      <w:r w:rsidRPr="004822CE">
        <w:rPr>
          <w:rFonts w:ascii="Times New Roman" w:hAnsi="Times New Roman" w:cs="Times New Roman"/>
          <w:sz w:val="24"/>
          <w:szCs w:val="24"/>
        </w:rPr>
        <w:t>.</w:t>
      </w:r>
      <w:r w:rsidR="00393D4F" w:rsidRPr="004822CE">
        <w:rPr>
          <w:rFonts w:ascii="Times New Roman" w:hAnsi="Times New Roman" w:cs="Times New Roman"/>
          <w:sz w:val="24"/>
          <w:szCs w:val="24"/>
        </w:rPr>
        <w:t xml:space="preserve"> (2006).</w:t>
      </w:r>
      <w:r w:rsidRPr="004822CE">
        <w:rPr>
          <w:rFonts w:ascii="Times New Roman" w:hAnsi="Times New Roman" w:cs="Times New Roman"/>
          <w:sz w:val="24"/>
          <w:szCs w:val="24"/>
        </w:rPr>
        <w:t xml:space="preserve"> </w:t>
      </w:r>
      <w:r w:rsidRPr="004822CE">
        <w:rPr>
          <w:rFonts w:ascii="Times New Roman" w:hAnsi="Times New Roman" w:cs="Times New Roman"/>
          <w:i/>
          <w:iCs/>
          <w:sz w:val="24"/>
          <w:szCs w:val="24"/>
        </w:rPr>
        <w:t>Policing the Rural Crisis</w:t>
      </w:r>
      <w:r w:rsidR="00393D4F" w:rsidRPr="004822CE">
        <w:rPr>
          <w:rFonts w:ascii="Times New Roman" w:hAnsi="Times New Roman" w:cs="Times New Roman"/>
          <w:i/>
          <w:iCs/>
          <w:sz w:val="24"/>
          <w:szCs w:val="24"/>
        </w:rPr>
        <w:t>.</w:t>
      </w:r>
      <w:r w:rsidRPr="004822CE">
        <w:rPr>
          <w:rFonts w:ascii="Times New Roman" w:hAnsi="Times New Roman" w:cs="Times New Roman"/>
          <w:i/>
          <w:iCs/>
          <w:sz w:val="24"/>
          <w:szCs w:val="24"/>
        </w:rPr>
        <w:t xml:space="preserve"> </w:t>
      </w:r>
      <w:r w:rsidRPr="004822CE">
        <w:rPr>
          <w:rFonts w:ascii="Times New Roman" w:hAnsi="Times New Roman" w:cs="Times New Roman"/>
          <w:sz w:val="24"/>
          <w:szCs w:val="24"/>
        </w:rPr>
        <w:t>Sydney: Federation Press</w:t>
      </w:r>
    </w:p>
    <w:p w14:paraId="150D2A43" w14:textId="13FF13DD" w:rsidR="00181E08" w:rsidRPr="00181E08" w:rsidRDefault="00181E08"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James, K. (Ed.) (1989). </w:t>
      </w:r>
      <w:r>
        <w:rPr>
          <w:rFonts w:ascii="Times New Roman" w:hAnsi="Times New Roman" w:cs="Times New Roman"/>
          <w:i/>
          <w:sz w:val="24"/>
          <w:szCs w:val="24"/>
        </w:rPr>
        <w:t xml:space="preserve">Women in Rural Australia. </w:t>
      </w:r>
      <w:r>
        <w:rPr>
          <w:rFonts w:ascii="Times New Roman" w:hAnsi="Times New Roman" w:cs="Times New Roman"/>
          <w:sz w:val="24"/>
          <w:szCs w:val="24"/>
        </w:rPr>
        <w:t>St. Lucia: University of Queensland Press.</w:t>
      </w:r>
    </w:p>
    <w:p w14:paraId="4BCEDA83" w14:textId="55B351B5" w:rsidR="00C929B4" w:rsidRDefault="00FB3618" w:rsidP="00623D01">
      <w:pPr>
        <w:spacing w:line="480" w:lineRule="auto"/>
        <w:ind w:left="720" w:hanging="720"/>
        <w:rPr>
          <w:rFonts w:ascii="Times New Roman" w:hAnsi="Times New Roman" w:cs="Times New Roman"/>
          <w:sz w:val="24"/>
          <w:szCs w:val="24"/>
        </w:rPr>
      </w:pPr>
      <w:r w:rsidRPr="004822CE">
        <w:rPr>
          <w:rFonts w:ascii="Times New Roman" w:hAnsi="Times New Roman" w:cs="Times New Roman"/>
          <w:sz w:val="24"/>
          <w:szCs w:val="24"/>
        </w:rPr>
        <w:t>Kimber, J.</w:t>
      </w:r>
      <w:r w:rsidR="00393D4F" w:rsidRPr="004822CE">
        <w:rPr>
          <w:rFonts w:ascii="Times New Roman" w:hAnsi="Times New Roman" w:cs="Times New Roman"/>
          <w:sz w:val="24"/>
          <w:szCs w:val="24"/>
        </w:rPr>
        <w:t xml:space="preserve"> (2010).</w:t>
      </w:r>
      <w:r w:rsidRPr="004822CE">
        <w:rPr>
          <w:rFonts w:ascii="Times New Roman" w:hAnsi="Times New Roman" w:cs="Times New Roman"/>
          <w:sz w:val="24"/>
          <w:szCs w:val="24"/>
        </w:rPr>
        <w:t xml:space="preserve"> 'A Nuisance to the Community': Policing the Vagrant Woman. </w:t>
      </w:r>
      <w:r w:rsidRPr="004822CE">
        <w:rPr>
          <w:rFonts w:ascii="Times New Roman" w:hAnsi="Times New Roman" w:cs="Times New Roman"/>
          <w:i/>
          <w:iCs/>
          <w:sz w:val="24"/>
          <w:szCs w:val="24"/>
        </w:rPr>
        <w:t xml:space="preserve">Journal of Australian Studies </w:t>
      </w:r>
      <w:r w:rsidRPr="004822CE">
        <w:rPr>
          <w:rFonts w:ascii="Times New Roman" w:hAnsi="Times New Roman" w:cs="Times New Roman"/>
          <w:i/>
          <w:sz w:val="24"/>
          <w:szCs w:val="24"/>
        </w:rPr>
        <w:t>34</w:t>
      </w:r>
      <w:r w:rsidR="00393D4F" w:rsidRPr="004822CE">
        <w:rPr>
          <w:rFonts w:ascii="Times New Roman" w:hAnsi="Times New Roman" w:cs="Times New Roman"/>
          <w:i/>
          <w:sz w:val="24"/>
          <w:szCs w:val="24"/>
        </w:rPr>
        <w:t xml:space="preserve"> (</w:t>
      </w:r>
      <w:r w:rsidRPr="004822CE">
        <w:rPr>
          <w:rFonts w:ascii="Times New Roman" w:hAnsi="Times New Roman" w:cs="Times New Roman"/>
          <w:i/>
          <w:sz w:val="24"/>
          <w:szCs w:val="24"/>
        </w:rPr>
        <w:t>3</w:t>
      </w:r>
      <w:r w:rsidR="00393D4F" w:rsidRPr="004822CE">
        <w:rPr>
          <w:rFonts w:ascii="Times New Roman" w:hAnsi="Times New Roman" w:cs="Times New Roman"/>
          <w:i/>
          <w:sz w:val="24"/>
          <w:szCs w:val="24"/>
        </w:rPr>
        <w:t>),</w:t>
      </w:r>
      <w:r w:rsidRPr="004822CE">
        <w:rPr>
          <w:rFonts w:ascii="Times New Roman" w:hAnsi="Times New Roman" w:cs="Times New Roman"/>
          <w:sz w:val="24"/>
          <w:szCs w:val="24"/>
        </w:rPr>
        <w:t xml:space="preserve"> 275 </w:t>
      </w:r>
      <w:r w:rsidR="00C929B4">
        <w:rPr>
          <w:rFonts w:ascii="Times New Roman" w:hAnsi="Times New Roman" w:cs="Times New Roman"/>
          <w:sz w:val="24"/>
          <w:szCs w:val="24"/>
        </w:rPr>
        <w:t>–</w:t>
      </w:r>
      <w:r w:rsidRPr="004822CE">
        <w:rPr>
          <w:rFonts w:ascii="Times New Roman" w:hAnsi="Times New Roman" w:cs="Times New Roman"/>
          <w:sz w:val="24"/>
          <w:szCs w:val="24"/>
        </w:rPr>
        <w:t xml:space="preserve"> 93</w:t>
      </w:r>
    </w:p>
    <w:p w14:paraId="4F207BD8" w14:textId="2C3BF672" w:rsidR="000B4E44" w:rsidRPr="000B4E44" w:rsidRDefault="000B4E44" w:rsidP="00623D01">
      <w:pPr>
        <w:spacing w:line="480" w:lineRule="auto"/>
        <w:ind w:left="720" w:hanging="720"/>
        <w:rPr>
          <w:rFonts w:ascii="Times New Roman" w:hAnsi="Times New Roman" w:cs="Times New Roman"/>
          <w:sz w:val="24"/>
          <w:szCs w:val="24"/>
        </w:rPr>
      </w:pPr>
      <w:r w:rsidRPr="00511DA4">
        <w:rPr>
          <w:rFonts w:ascii="Times New Roman" w:hAnsi="Times New Roman" w:cs="Times New Roman"/>
          <w:sz w:val="24"/>
          <w:szCs w:val="24"/>
          <w:lang w:val="en-US"/>
        </w:rPr>
        <w:t xml:space="preserve">Kingston, B. (1980). </w:t>
      </w:r>
      <w:r w:rsidRPr="00511DA4">
        <w:rPr>
          <w:rFonts w:ascii="Times New Roman" w:hAnsi="Times New Roman" w:cs="Times New Roman"/>
          <w:i/>
          <w:iCs/>
          <w:sz w:val="24"/>
          <w:szCs w:val="24"/>
          <w:lang w:val="en-US"/>
        </w:rPr>
        <w:t>My Wife, My Daughter and Poor Mary Ann: Women and Work in Australia</w:t>
      </w:r>
      <w:r w:rsidRPr="00511DA4">
        <w:rPr>
          <w:rFonts w:ascii="Times New Roman" w:hAnsi="Times New Roman" w:cs="Times New Roman"/>
          <w:sz w:val="24"/>
          <w:szCs w:val="24"/>
          <w:lang w:val="en-US"/>
        </w:rPr>
        <w:t>. Melbourne: Thomas Nelson Australia.</w:t>
      </w:r>
    </w:p>
    <w:p w14:paraId="60E8FB00" w14:textId="0D7EE1BC" w:rsidR="00FB3618" w:rsidRDefault="00C929B4" w:rsidP="00623D01">
      <w:pPr>
        <w:spacing w:line="480" w:lineRule="auto"/>
        <w:ind w:left="720" w:hanging="720"/>
        <w:rPr>
          <w:rFonts w:ascii="Times New Roman" w:hAnsi="Times New Roman" w:cs="Times New Roman"/>
          <w:sz w:val="24"/>
          <w:szCs w:val="24"/>
        </w:rPr>
      </w:pPr>
      <w:r w:rsidRPr="00511DA4">
        <w:rPr>
          <w:rFonts w:ascii="Times New Roman" w:hAnsi="Times New Roman" w:cs="Times New Roman"/>
          <w:sz w:val="24"/>
          <w:szCs w:val="24"/>
          <w:lang w:val="en-US"/>
        </w:rPr>
        <w:t xml:space="preserve">Lake, M. (1985). The trials of Ellen Kelly. In M. Lake &amp; F. Kelly (Eds.), </w:t>
      </w:r>
      <w:r w:rsidRPr="00511DA4">
        <w:rPr>
          <w:rFonts w:ascii="Times New Roman" w:hAnsi="Times New Roman" w:cs="Times New Roman"/>
          <w:i/>
          <w:iCs/>
          <w:sz w:val="24"/>
          <w:szCs w:val="24"/>
          <w:lang w:val="en-US"/>
        </w:rPr>
        <w:t>Double Time: Women in Victoria, 150 years</w:t>
      </w:r>
      <w:r w:rsidRPr="00511DA4">
        <w:rPr>
          <w:rFonts w:ascii="Times New Roman" w:hAnsi="Times New Roman" w:cs="Times New Roman"/>
          <w:sz w:val="24"/>
          <w:szCs w:val="24"/>
          <w:lang w:val="en-US"/>
        </w:rPr>
        <w:t xml:space="preserve"> (86-96). Ringwood: Penguin Books.</w:t>
      </w:r>
      <w:r w:rsidR="00FB3618" w:rsidRPr="00C929B4">
        <w:rPr>
          <w:rFonts w:ascii="Times New Roman" w:hAnsi="Times New Roman" w:cs="Times New Roman"/>
          <w:sz w:val="24"/>
          <w:szCs w:val="24"/>
        </w:rPr>
        <w:t xml:space="preserve"> </w:t>
      </w:r>
    </w:p>
    <w:p w14:paraId="0F73127E" w14:textId="1E52BACA" w:rsidR="00F24CA8" w:rsidRPr="00F24CA8" w:rsidRDefault="00F24CA8" w:rsidP="00623D01">
      <w:pPr>
        <w:spacing w:line="480" w:lineRule="auto"/>
        <w:ind w:left="720" w:hanging="720"/>
        <w:rPr>
          <w:rFonts w:ascii="Times New Roman" w:hAnsi="Times New Roman" w:cs="Times New Roman"/>
          <w:sz w:val="24"/>
          <w:szCs w:val="24"/>
        </w:rPr>
      </w:pPr>
      <w:r w:rsidRPr="00511DA4">
        <w:rPr>
          <w:rFonts w:ascii="Times New Roman" w:hAnsi="Times New Roman" w:cs="Times New Roman"/>
          <w:sz w:val="24"/>
          <w:szCs w:val="24"/>
          <w:lang w:val="en-US"/>
        </w:rPr>
        <w:t xml:space="preserve">Lake, M. (1986). The politics of respectability: Identifying the masculine context. </w:t>
      </w:r>
      <w:r w:rsidRPr="00511DA4">
        <w:rPr>
          <w:rFonts w:ascii="Times New Roman" w:hAnsi="Times New Roman" w:cs="Times New Roman"/>
          <w:i/>
          <w:iCs/>
          <w:sz w:val="24"/>
          <w:szCs w:val="24"/>
          <w:lang w:val="en-US"/>
        </w:rPr>
        <w:t>Historical Studies, 22</w:t>
      </w:r>
      <w:r w:rsidRPr="00511DA4">
        <w:rPr>
          <w:rFonts w:ascii="Times New Roman" w:hAnsi="Times New Roman" w:cs="Times New Roman"/>
          <w:sz w:val="24"/>
          <w:szCs w:val="24"/>
          <w:lang w:val="en-US"/>
        </w:rPr>
        <w:t>(86), 116-131.</w:t>
      </w:r>
    </w:p>
    <w:p w14:paraId="3D3F820F" w14:textId="6FE51BF8" w:rsidR="00635A1D" w:rsidRDefault="00635A1D"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Laster, K</w:t>
      </w:r>
      <w:r w:rsidR="00393D4F" w:rsidRPr="004822CE">
        <w:rPr>
          <w:rFonts w:ascii="Times New Roman" w:hAnsi="Times New Roman" w:cs="Times New Roman"/>
          <w:sz w:val="24"/>
          <w:szCs w:val="24"/>
          <w:lang w:val="en-US"/>
        </w:rPr>
        <w:t>. (1989 September).</w:t>
      </w:r>
      <w:r w:rsidRPr="004822CE">
        <w:rPr>
          <w:rFonts w:ascii="Times New Roman" w:hAnsi="Times New Roman" w:cs="Times New Roman"/>
          <w:sz w:val="24"/>
          <w:szCs w:val="24"/>
          <w:lang w:val="en-US"/>
        </w:rPr>
        <w:t xml:space="preserve"> Infanticide: A Litmus Test for Feminist Criminological Theory. </w:t>
      </w:r>
      <w:r w:rsidRPr="004822CE">
        <w:rPr>
          <w:rFonts w:ascii="Times New Roman" w:hAnsi="Times New Roman" w:cs="Times New Roman"/>
          <w:i/>
          <w:iCs/>
          <w:sz w:val="24"/>
          <w:szCs w:val="24"/>
          <w:lang w:val="en-US"/>
        </w:rPr>
        <w:t xml:space="preserve">Australia and New Zealand Journal of Criminology </w:t>
      </w:r>
      <w:r w:rsidRPr="004822CE">
        <w:rPr>
          <w:rFonts w:ascii="Times New Roman" w:hAnsi="Times New Roman" w:cs="Times New Roman"/>
          <w:i/>
          <w:sz w:val="24"/>
          <w:szCs w:val="24"/>
          <w:lang w:val="en-US"/>
        </w:rPr>
        <w:t>22</w:t>
      </w:r>
      <w:r w:rsidR="00393D4F" w:rsidRPr="004822CE">
        <w:rPr>
          <w:rFonts w:ascii="Times New Roman" w:hAnsi="Times New Roman" w:cs="Times New Roman"/>
          <w:i/>
          <w:sz w:val="24"/>
          <w:szCs w:val="24"/>
          <w:lang w:val="en-US"/>
        </w:rPr>
        <w:t>,</w:t>
      </w:r>
      <w:r w:rsidRPr="004822CE">
        <w:rPr>
          <w:rFonts w:ascii="Times New Roman" w:hAnsi="Times New Roman" w:cs="Times New Roman"/>
          <w:sz w:val="24"/>
          <w:szCs w:val="24"/>
          <w:lang w:val="en-US"/>
        </w:rPr>
        <w:t xml:space="preserve"> 151-66.</w:t>
      </w:r>
    </w:p>
    <w:p w14:paraId="436EE344" w14:textId="3A09F47C" w:rsidR="00D67D76" w:rsidRDefault="00D67D76"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Laster, K. (1994). Arbitrary chivalry: Women and capital punishment in Victoria, 1842-1967</w:t>
      </w:r>
      <w:r w:rsidR="00A97B02">
        <w:rPr>
          <w:rFonts w:ascii="Times New Roman" w:hAnsi="Times New Roman" w:cs="Times New Roman"/>
          <w:sz w:val="24"/>
          <w:szCs w:val="24"/>
          <w:lang w:val="en-US"/>
        </w:rPr>
        <w:t>. In</w:t>
      </w:r>
      <w:r w:rsidR="00A97B02" w:rsidRPr="00A97B02">
        <w:rPr>
          <w:rFonts w:ascii="Times New Roman" w:hAnsi="Times New Roman" w:cs="Times New Roman"/>
          <w:sz w:val="24"/>
          <w:szCs w:val="24"/>
          <w:lang w:val="en-US"/>
        </w:rPr>
        <w:t xml:space="preserve"> Philips, D. &amp; Davies, S (Eds.), A Nation of Rogues? Crime, Law and Punishment </w:t>
      </w:r>
      <w:r w:rsidR="00A97B02" w:rsidRPr="00A97B02">
        <w:rPr>
          <w:rFonts w:ascii="Times New Roman" w:hAnsi="Times New Roman" w:cs="Times New Roman"/>
          <w:sz w:val="24"/>
          <w:szCs w:val="24"/>
          <w:lang w:val="en-US"/>
        </w:rPr>
        <w:lastRenderedPageBreak/>
        <w:t>in Colonial Australia. Carlton: Melbourne University Press,</w:t>
      </w:r>
      <w:r w:rsidR="00A97B02">
        <w:rPr>
          <w:rFonts w:ascii="Times New Roman" w:hAnsi="Times New Roman" w:cs="Times New Roman"/>
          <w:sz w:val="24"/>
          <w:szCs w:val="24"/>
          <w:lang w:val="en-US"/>
        </w:rPr>
        <w:t xml:space="preserve"> 166-186.</w:t>
      </w:r>
    </w:p>
    <w:p w14:paraId="4EEE4754" w14:textId="16874316" w:rsidR="00514F0B" w:rsidRPr="00514F0B" w:rsidRDefault="00514F0B"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511DA4">
        <w:rPr>
          <w:rFonts w:ascii="Times New Roman" w:hAnsi="Times New Roman" w:cs="Times New Roman"/>
          <w:sz w:val="24"/>
          <w:szCs w:val="24"/>
          <w:lang w:val="en-US"/>
        </w:rPr>
        <w:t xml:space="preserve">Lyons, M. (2001). Introduction. In M. Lyons &amp; J. Arnold (Eds.), </w:t>
      </w:r>
      <w:r w:rsidRPr="00511DA4">
        <w:rPr>
          <w:rFonts w:ascii="Times New Roman" w:hAnsi="Times New Roman" w:cs="Times New Roman"/>
          <w:i/>
          <w:iCs/>
          <w:sz w:val="24"/>
          <w:szCs w:val="24"/>
          <w:lang w:val="en-US"/>
        </w:rPr>
        <w:t>A History of the Book in Australia 1891-1945: A National Culture in a Colonised Market</w:t>
      </w:r>
      <w:r w:rsidRPr="00511DA4">
        <w:rPr>
          <w:rFonts w:ascii="Times New Roman" w:hAnsi="Times New Roman" w:cs="Times New Roman"/>
          <w:sz w:val="24"/>
          <w:szCs w:val="24"/>
          <w:lang w:val="en-US"/>
        </w:rPr>
        <w:t xml:space="preserve"> (xiii-xix). St Lucia: University of Queensland Press.</w:t>
      </w:r>
    </w:p>
    <w:p w14:paraId="68B21775" w14:textId="745317B2" w:rsidR="00635A1D" w:rsidRDefault="00635A1D"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McConville, C.</w:t>
      </w:r>
      <w:r w:rsidR="00393D4F" w:rsidRPr="004822CE">
        <w:rPr>
          <w:rFonts w:ascii="Times New Roman" w:hAnsi="Times New Roman" w:cs="Times New Roman"/>
          <w:sz w:val="24"/>
          <w:szCs w:val="24"/>
          <w:lang w:val="en-US"/>
        </w:rPr>
        <w:t xml:space="preserve"> (1980).</w:t>
      </w:r>
      <w:r w:rsidRPr="004822CE">
        <w:rPr>
          <w:rFonts w:ascii="Times New Roman" w:hAnsi="Times New Roman" w:cs="Times New Roman"/>
          <w:sz w:val="24"/>
          <w:szCs w:val="24"/>
          <w:lang w:val="en-US"/>
        </w:rPr>
        <w:t xml:space="preserve"> The Location of Melbourne's Prostitutes, 1870-1920. </w:t>
      </w:r>
      <w:r w:rsidRPr="004822CE">
        <w:rPr>
          <w:rFonts w:ascii="Times New Roman" w:hAnsi="Times New Roman" w:cs="Times New Roman"/>
          <w:i/>
          <w:iCs/>
          <w:sz w:val="24"/>
          <w:szCs w:val="24"/>
          <w:lang w:val="en-US"/>
        </w:rPr>
        <w:t xml:space="preserve">Australian Historical Studies </w:t>
      </w:r>
      <w:r w:rsidRPr="004822CE">
        <w:rPr>
          <w:rFonts w:ascii="Times New Roman" w:hAnsi="Times New Roman" w:cs="Times New Roman"/>
          <w:i/>
          <w:sz w:val="24"/>
          <w:szCs w:val="24"/>
          <w:lang w:val="en-US"/>
        </w:rPr>
        <w:t>19</w:t>
      </w:r>
      <w:r w:rsidR="00393D4F" w:rsidRPr="004822CE">
        <w:rPr>
          <w:rFonts w:ascii="Times New Roman" w:hAnsi="Times New Roman" w:cs="Times New Roman"/>
          <w:i/>
          <w:sz w:val="24"/>
          <w:szCs w:val="24"/>
          <w:lang w:val="en-US"/>
        </w:rPr>
        <w:t>(</w:t>
      </w:r>
      <w:r w:rsidRPr="004822CE">
        <w:rPr>
          <w:rFonts w:ascii="Times New Roman" w:hAnsi="Times New Roman" w:cs="Times New Roman"/>
          <w:i/>
          <w:sz w:val="24"/>
          <w:szCs w:val="24"/>
          <w:lang w:val="en-US"/>
        </w:rPr>
        <w:t>74</w:t>
      </w:r>
      <w:r w:rsidR="00393D4F" w:rsidRPr="004822CE">
        <w:rPr>
          <w:rFonts w:ascii="Times New Roman" w:hAnsi="Times New Roman" w:cs="Times New Roman"/>
          <w:i/>
          <w:sz w:val="24"/>
          <w:szCs w:val="24"/>
          <w:lang w:val="en-US"/>
        </w:rPr>
        <w:t>),</w:t>
      </w:r>
      <w:r w:rsidRPr="004822CE">
        <w:rPr>
          <w:rFonts w:ascii="Times New Roman" w:hAnsi="Times New Roman" w:cs="Times New Roman"/>
          <w:sz w:val="24"/>
          <w:szCs w:val="24"/>
          <w:lang w:val="en-US"/>
        </w:rPr>
        <w:t xml:space="preserve"> 86-97.</w:t>
      </w:r>
    </w:p>
    <w:p w14:paraId="32C10625" w14:textId="2BAF52DA" w:rsidR="00B82E2D" w:rsidRPr="00B82E2D" w:rsidRDefault="00B82E2D"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Mazerolle, P. (2008). The poverty of a gender neutral criminology: Introduction to the Special Issue on current approaches to understanding female offending. </w:t>
      </w:r>
      <w:r>
        <w:rPr>
          <w:rFonts w:ascii="Times New Roman" w:hAnsi="Times New Roman" w:cs="Times New Roman"/>
          <w:i/>
          <w:sz w:val="24"/>
          <w:szCs w:val="24"/>
          <w:lang w:val="en-US"/>
        </w:rPr>
        <w:t xml:space="preserve">The Australian and New Zealand Journal of Criminology, 41(1), </w:t>
      </w:r>
      <w:r>
        <w:rPr>
          <w:rFonts w:ascii="Times New Roman" w:hAnsi="Times New Roman" w:cs="Times New Roman"/>
          <w:sz w:val="24"/>
          <w:szCs w:val="24"/>
          <w:lang w:val="en-US"/>
        </w:rPr>
        <w:t xml:space="preserve">1-8. </w:t>
      </w:r>
    </w:p>
    <w:p w14:paraId="700B20D2" w14:textId="02647003" w:rsidR="00FB3618" w:rsidRDefault="00FB3618" w:rsidP="00623D01">
      <w:pPr>
        <w:spacing w:line="480" w:lineRule="auto"/>
        <w:ind w:left="720" w:hanging="720"/>
        <w:rPr>
          <w:rFonts w:ascii="Times New Roman" w:hAnsi="Times New Roman" w:cs="Times New Roman"/>
          <w:sz w:val="24"/>
          <w:szCs w:val="24"/>
        </w:rPr>
      </w:pPr>
      <w:r w:rsidRPr="004822CE">
        <w:rPr>
          <w:rFonts w:ascii="Times New Roman" w:hAnsi="Times New Roman" w:cs="Times New Roman"/>
          <w:sz w:val="24"/>
          <w:szCs w:val="24"/>
        </w:rPr>
        <w:t>Meier, W M.</w:t>
      </w:r>
      <w:r w:rsidR="00393D4F" w:rsidRPr="004822CE">
        <w:rPr>
          <w:rFonts w:ascii="Times New Roman" w:hAnsi="Times New Roman" w:cs="Times New Roman"/>
          <w:sz w:val="24"/>
          <w:szCs w:val="24"/>
        </w:rPr>
        <w:t xml:space="preserve"> (2011).</w:t>
      </w:r>
      <w:r w:rsidRPr="004822CE">
        <w:rPr>
          <w:rFonts w:ascii="Times New Roman" w:hAnsi="Times New Roman" w:cs="Times New Roman"/>
          <w:sz w:val="24"/>
          <w:szCs w:val="24"/>
        </w:rPr>
        <w:t xml:space="preserve"> </w:t>
      </w:r>
      <w:r w:rsidRPr="004822CE">
        <w:rPr>
          <w:rFonts w:ascii="Times New Roman" w:hAnsi="Times New Roman" w:cs="Times New Roman"/>
          <w:i/>
          <w:iCs/>
          <w:sz w:val="24"/>
          <w:szCs w:val="24"/>
        </w:rPr>
        <w:t>Property Crime in London, 1850-Present</w:t>
      </w:r>
      <w:r w:rsidRPr="004822CE">
        <w:rPr>
          <w:rFonts w:ascii="Times New Roman" w:hAnsi="Times New Roman" w:cs="Times New Roman"/>
          <w:sz w:val="24"/>
          <w:szCs w:val="24"/>
        </w:rPr>
        <w:t>.  New York: Palgrave Macmillan.</w:t>
      </w:r>
    </w:p>
    <w:p w14:paraId="6229D2D1" w14:textId="6B817DF0" w:rsidR="00D83FDD" w:rsidRDefault="00D83FDD"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Mukherjee, S., Walker, JR., &amp; Jacobsen, EN. (1986). </w:t>
      </w:r>
      <w:r>
        <w:rPr>
          <w:rFonts w:ascii="Times New Roman" w:hAnsi="Times New Roman" w:cs="Times New Roman"/>
          <w:i/>
          <w:sz w:val="24"/>
          <w:szCs w:val="24"/>
        </w:rPr>
        <w:t xml:space="preserve">Crime and Punishment in the Colonies: A Statistical Profile. </w:t>
      </w:r>
      <w:r>
        <w:rPr>
          <w:rFonts w:ascii="Times New Roman" w:hAnsi="Times New Roman" w:cs="Times New Roman"/>
          <w:sz w:val="24"/>
          <w:szCs w:val="24"/>
        </w:rPr>
        <w:t xml:space="preserve">Kensington: History Project Inc. </w:t>
      </w:r>
    </w:p>
    <w:p w14:paraId="61C941D1" w14:textId="0435DC32" w:rsidR="000A7DC3" w:rsidRPr="000A7DC3" w:rsidRDefault="000A7DC3"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Murphy, K. (2010). Rural womanhood and the ‘embellishment’ of rural life in urban Australia. In Davison, G. &amp; Brodie, M. </w:t>
      </w:r>
      <w:r>
        <w:rPr>
          <w:rFonts w:ascii="Times New Roman" w:hAnsi="Times New Roman" w:cs="Times New Roman"/>
          <w:i/>
          <w:sz w:val="24"/>
          <w:szCs w:val="24"/>
        </w:rPr>
        <w:t xml:space="preserve">Struggle Country: The Rural Ideal in Twentieth Century Australia. </w:t>
      </w:r>
      <w:r w:rsidR="00B60FBF">
        <w:rPr>
          <w:rFonts w:ascii="Times New Roman" w:hAnsi="Times New Roman" w:cs="Times New Roman"/>
          <w:sz w:val="24"/>
          <w:szCs w:val="24"/>
        </w:rPr>
        <w:t xml:space="preserve">Clayton: Monash University Publishing. </w:t>
      </w:r>
    </w:p>
    <w:p w14:paraId="272019EA" w14:textId="57F7D2D2" w:rsidR="004822CE" w:rsidRDefault="004822CE"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Nagy, V. (2015). </w:t>
      </w:r>
      <w:r w:rsidRPr="00510913">
        <w:rPr>
          <w:rFonts w:ascii="Times New Roman" w:hAnsi="Times New Roman" w:cs="Times New Roman"/>
          <w:i/>
          <w:sz w:val="24"/>
          <w:szCs w:val="24"/>
        </w:rPr>
        <w:t>Nineteenth-century female poisoners: Three English women who used arsenic to kill.</w:t>
      </w:r>
      <w:r>
        <w:rPr>
          <w:rFonts w:ascii="Times New Roman" w:hAnsi="Times New Roman" w:cs="Times New Roman"/>
          <w:sz w:val="24"/>
          <w:szCs w:val="24"/>
        </w:rPr>
        <w:t xml:space="preserve"> </w:t>
      </w:r>
      <w:r w:rsidR="00067621">
        <w:rPr>
          <w:rFonts w:ascii="Times New Roman" w:hAnsi="Times New Roman" w:cs="Times New Roman"/>
          <w:sz w:val="24"/>
          <w:szCs w:val="24"/>
        </w:rPr>
        <w:t xml:space="preserve">Houndsmills, </w:t>
      </w:r>
      <w:r>
        <w:rPr>
          <w:rFonts w:ascii="Times New Roman" w:hAnsi="Times New Roman" w:cs="Times New Roman"/>
          <w:sz w:val="24"/>
          <w:szCs w:val="24"/>
        </w:rPr>
        <w:t>Basingstoke</w:t>
      </w:r>
      <w:r w:rsidR="00067621">
        <w:rPr>
          <w:rFonts w:ascii="Times New Roman" w:hAnsi="Times New Roman" w:cs="Times New Roman"/>
          <w:sz w:val="24"/>
          <w:szCs w:val="24"/>
        </w:rPr>
        <w:t xml:space="preserve">: Palgrave Macmillan. </w:t>
      </w:r>
    </w:p>
    <w:p w14:paraId="595FA6EB" w14:textId="049DBB9B" w:rsidR="009D78B4" w:rsidRPr="009D78B4" w:rsidRDefault="009D78B4"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Overington, C. (2014). </w:t>
      </w:r>
      <w:r>
        <w:rPr>
          <w:rFonts w:ascii="Times New Roman" w:hAnsi="Times New Roman" w:cs="Times New Roman"/>
          <w:i/>
          <w:sz w:val="24"/>
          <w:szCs w:val="24"/>
        </w:rPr>
        <w:t xml:space="preserve">Last Woman Hanged: The Terrible, True Story of Louisa Collins. </w:t>
      </w:r>
      <w:r>
        <w:rPr>
          <w:rFonts w:ascii="Times New Roman" w:hAnsi="Times New Roman" w:cs="Times New Roman"/>
          <w:sz w:val="24"/>
          <w:szCs w:val="24"/>
        </w:rPr>
        <w:t xml:space="preserve">Sydney: HarperCollins. </w:t>
      </w:r>
    </w:p>
    <w:p w14:paraId="4A7357FA" w14:textId="1B0C9E9C" w:rsidR="00DF0C89" w:rsidRPr="00DF0C89" w:rsidRDefault="00DF0C89" w:rsidP="00623D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Philips, D. (1994). Anatomy of a rape case, 1888. In Philips, D. &amp; Davies, S (Eds.), </w:t>
      </w:r>
      <w:r>
        <w:rPr>
          <w:rFonts w:ascii="Times New Roman" w:hAnsi="Times New Roman" w:cs="Times New Roman"/>
          <w:i/>
          <w:sz w:val="24"/>
          <w:szCs w:val="24"/>
        </w:rPr>
        <w:t xml:space="preserve">A Nation of Rogues? Crime, Law and Punishment in Colonial Australia. </w:t>
      </w:r>
      <w:r>
        <w:rPr>
          <w:rFonts w:ascii="Times New Roman" w:hAnsi="Times New Roman" w:cs="Times New Roman"/>
          <w:sz w:val="24"/>
          <w:szCs w:val="24"/>
        </w:rPr>
        <w:t>Carlton: Melbourne University Press, 97-122.</w:t>
      </w:r>
    </w:p>
    <w:p w14:paraId="49BAC3E1" w14:textId="33B4AA07" w:rsidR="009C14D0" w:rsidRDefault="009C14D0"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Piper, A</w:t>
      </w:r>
      <w:r w:rsidR="00393D4F" w:rsidRPr="004822CE">
        <w:rPr>
          <w:rFonts w:ascii="Times New Roman" w:hAnsi="Times New Roman" w:cs="Times New Roman"/>
          <w:sz w:val="24"/>
          <w:szCs w:val="24"/>
          <w:lang w:val="en-US"/>
        </w:rPr>
        <w:t>.</w:t>
      </w:r>
      <w:r w:rsidRPr="004822CE">
        <w:rPr>
          <w:rFonts w:ascii="Times New Roman" w:hAnsi="Times New Roman" w:cs="Times New Roman"/>
          <w:sz w:val="24"/>
          <w:szCs w:val="24"/>
          <w:lang w:val="en-US"/>
        </w:rPr>
        <w:t xml:space="preserve"> J.</w:t>
      </w:r>
      <w:r w:rsidR="00393D4F" w:rsidRPr="004822CE">
        <w:rPr>
          <w:rFonts w:ascii="Times New Roman" w:hAnsi="Times New Roman" w:cs="Times New Roman"/>
          <w:sz w:val="24"/>
          <w:szCs w:val="24"/>
          <w:lang w:val="en-US"/>
        </w:rPr>
        <w:t xml:space="preserve"> (2015).</w:t>
      </w:r>
      <w:r w:rsidRPr="004822CE">
        <w:rPr>
          <w:rFonts w:ascii="Times New Roman" w:hAnsi="Times New Roman" w:cs="Times New Roman"/>
          <w:sz w:val="24"/>
          <w:szCs w:val="24"/>
          <w:lang w:val="en-US"/>
        </w:rPr>
        <w:t xml:space="preserve"> “I'll </w:t>
      </w:r>
      <w:r w:rsidR="0055715E">
        <w:rPr>
          <w:rFonts w:ascii="Times New Roman" w:hAnsi="Times New Roman" w:cs="Times New Roman"/>
          <w:sz w:val="24"/>
          <w:szCs w:val="24"/>
          <w:lang w:val="en-US"/>
        </w:rPr>
        <w:t>h</w:t>
      </w:r>
      <w:r w:rsidR="0055715E" w:rsidRPr="004822CE">
        <w:rPr>
          <w:rFonts w:ascii="Times New Roman" w:hAnsi="Times New Roman" w:cs="Times New Roman"/>
          <w:sz w:val="24"/>
          <w:szCs w:val="24"/>
          <w:lang w:val="en-US"/>
        </w:rPr>
        <w:t xml:space="preserve">ave </w:t>
      </w:r>
      <w:r w:rsidR="0055715E">
        <w:rPr>
          <w:rFonts w:ascii="Times New Roman" w:hAnsi="Times New Roman" w:cs="Times New Roman"/>
          <w:sz w:val="24"/>
          <w:szCs w:val="24"/>
          <w:lang w:val="en-US"/>
        </w:rPr>
        <w:t>n</w:t>
      </w:r>
      <w:r w:rsidR="0055715E" w:rsidRPr="004822CE">
        <w:rPr>
          <w:rFonts w:ascii="Times New Roman" w:hAnsi="Times New Roman" w:cs="Times New Roman"/>
          <w:sz w:val="24"/>
          <w:szCs w:val="24"/>
          <w:lang w:val="en-US"/>
        </w:rPr>
        <w:t xml:space="preserve">o </w:t>
      </w:r>
      <w:r w:rsidR="0055715E">
        <w:rPr>
          <w:rFonts w:ascii="Times New Roman" w:hAnsi="Times New Roman" w:cs="Times New Roman"/>
          <w:sz w:val="24"/>
          <w:szCs w:val="24"/>
          <w:lang w:val="en-US"/>
        </w:rPr>
        <w:t>m</w:t>
      </w:r>
      <w:r w:rsidR="0055715E" w:rsidRPr="004822CE">
        <w:rPr>
          <w:rFonts w:ascii="Times New Roman" w:hAnsi="Times New Roman" w:cs="Times New Roman"/>
          <w:sz w:val="24"/>
          <w:szCs w:val="24"/>
          <w:lang w:val="en-US"/>
        </w:rPr>
        <w:t>an</w:t>
      </w:r>
      <w:r w:rsidRPr="004822CE">
        <w:rPr>
          <w:rFonts w:ascii="Times New Roman" w:hAnsi="Times New Roman" w:cs="Times New Roman"/>
          <w:sz w:val="24"/>
          <w:szCs w:val="24"/>
          <w:lang w:val="en-US"/>
        </w:rPr>
        <w:t xml:space="preserve">”: Female </w:t>
      </w:r>
      <w:r w:rsidR="0055715E">
        <w:rPr>
          <w:rFonts w:ascii="Times New Roman" w:hAnsi="Times New Roman" w:cs="Times New Roman"/>
          <w:sz w:val="24"/>
          <w:szCs w:val="24"/>
          <w:lang w:val="en-US"/>
        </w:rPr>
        <w:t>f</w:t>
      </w:r>
      <w:r w:rsidR="0055715E" w:rsidRPr="004822CE">
        <w:rPr>
          <w:rFonts w:ascii="Times New Roman" w:hAnsi="Times New Roman" w:cs="Times New Roman"/>
          <w:sz w:val="24"/>
          <w:szCs w:val="24"/>
          <w:lang w:val="en-US"/>
        </w:rPr>
        <w:t xml:space="preserve">amilies </w:t>
      </w:r>
      <w:r w:rsidRPr="004822CE">
        <w:rPr>
          <w:rFonts w:ascii="Times New Roman" w:hAnsi="Times New Roman" w:cs="Times New Roman"/>
          <w:sz w:val="24"/>
          <w:szCs w:val="24"/>
          <w:lang w:val="en-US"/>
        </w:rPr>
        <w:t xml:space="preserve">in Melbourne's </w:t>
      </w:r>
      <w:r w:rsidR="0055715E">
        <w:rPr>
          <w:rFonts w:ascii="Times New Roman" w:hAnsi="Times New Roman" w:cs="Times New Roman"/>
          <w:sz w:val="24"/>
          <w:szCs w:val="24"/>
          <w:lang w:val="en-US"/>
        </w:rPr>
        <w:t>c</w:t>
      </w:r>
      <w:r w:rsidR="0055715E" w:rsidRPr="004822CE">
        <w:rPr>
          <w:rFonts w:ascii="Times New Roman" w:hAnsi="Times New Roman" w:cs="Times New Roman"/>
          <w:sz w:val="24"/>
          <w:szCs w:val="24"/>
          <w:lang w:val="en-US"/>
        </w:rPr>
        <w:t xml:space="preserve">riminal </w:t>
      </w:r>
      <w:r w:rsidR="0055715E">
        <w:rPr>
          <w:rFonts w:ascii="Times New Roman" w:hAnsi="Times New Roman" w:cs="Times New Roman"/>
          <w:sz w:val="24"/>
          <w:szCs w:val="24"/>
          <w:lang w:val="en-US"/>
        </w:rPr>
        <w:t>s</w:t>
      </w:r>
      <w:r w:rsidR="0055715E" w:rsidRPr="004822CE">
        <w:rPr>
          <w:rFonts w:ascii="Times New Roman" w:hAnsi="Times New Roman" w:cs="Times New Roman"/>
          <w:sz w:val="24"/>
          <w:szCs w:val="24"/>
          <w:lang w:val="en-US"/>
        </w:rPr>
        <w:t>ubcultures</w:t>
      </w:r>
      <w:r w:rsidRPr="004822CE">
        <w:rPr>
          <w:rFonts w:ascii="Times New Roman" w:hAnsi="Times New Roman" w:cs="Times New Roman"/>
          <w:sz w:val="24"/>
          <w:szCs w:val="24"/>
          <w:lang w:val="en-US"/>
        </w:rPr>
        <w:t xml:space="preserve">, </w:t>
      </w:r>
      <w:r w:rsidRPr="004822CE">
        <w:rPr>
          <w:rFonts w:ascii="Times New Roman" w:hAnsi="Times New Roman" w:cs="Times New Roman"/>
          <w:sz w:val="24"/>
          <w:szCs w:val="24"/>
          <w:lang w:val="en-US"/>
        </w:rPr>
        <w:lastRenderedPageBreak/>
        <w:t xml:space="preserve">1860–1920. </w:t>
      </w:r>
      <w:r w:rsidRPr="004822CE">
        <w:rPr>
          <w:rFonts w:ascii="Times New Roman" w:hAnsi="Times New Roman" w:cs="Times New Roman"/>
          <w:i/>
          <w:iCs/>
          <w:sz w:val="24"/>
          <w:szCs w:val="24"/>
          <w:lang w:val="en-US"/>
        </w:rPr>
        <w:t xml:space="preserve">Journal of Australian Studies </w:t>
      </w:r>
      <w:r w:rsidRPr="004822CE">
        <w:rPr>
          <w:rFonts w:ascii="Times New Roman" w:hAnsi="Times New Roman" w:cs="Times New Roman"/>
          <w:i/>
          <w:sz w:val="24"/>
          <w:szCs w:val="24"/>
          <w:lang w:val="en-US"/>
        </w:rPr>
        <w:t>39</w:t>
      </w:r>
      <w:r w:rsidR="008D610F" w:rsidRPr="004822CE">
        <w:rPr>
          <w:rFonts w:ascii="Times New Roman" w:hAnsi="Times New Roman" w:cs="Times New Roman"/>
          <w:i/>
          <w:sz w:val="24"/>
          <w:szCs w:val="24"/>
          <w:lang w:val="en-US"/>
        </w:rPr>
        <w:t>(</w:t>
      </w:r>
      <w:r w:rsidRPr="004822CE">
        <w:rPr>
          <w:rFonts w:ascii="Times New Roman" w:hAnsi="Times New Roman" w:cs="Times New Roman"/>
          <w:i/>
          <w:sz w:val="24"/>
          <w:szCs w:val="24"/>
          <w:lang w:val="en-US"/>
        </w:rPr>
        <w:t>4</w:t>
      </w:r>
      <w:r w:rsidR="008D610F" w:rsidRPr="004822CE">
        <w:rPr>
          <w:rFonts w:ascii="Times New Roman" w:hAnsi="Times New Roman" w:cs="Times New Roman"/>
          <w:i/>
          <w:sz w:val="24"/>
          <w:szCs w:val="24"/>
          <w:lang w:val="en-US"/>
        </w:rPr>
        <w:t>),</w:t>
      </w:r>
      <w:r w:rsidRPr="004822CE">
        <w:rPr>
          <w:rFonts w:ascii="Times New Roman" w:hAnsi="Times New Roman" w:cs="Times New Roman"/>
          <w:sz w:val="24"/>
          <w:szCs w:val="24"/>
          <w:lang w:val="en-US"/>
        </w:rPr>
        <w:t xml:space="preserve"> 444-60.</w:t>
      </w:r>
    </w:p>
    <w:p w14:paraId="69F7FADB" w14:textId="73A05CD0" w:rsidR="0055715E" w:rsidRPr="0055715E" w:rsidRDefault="0055715E"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Piper, A. J. (2017). “Us girls won’t put one another away’: Relations among Melbourne’s prostitute pickpockets, 1860-1920,” </w:t>
      </w:r>
      <w:r>
        <w:rPr>
          <w:rFonts w:ascii="Times New Roman" w:hAnsi="Times New Roman" w:cs="Times New Roman"/>
          <w:i/>
          <w:sz w:val="24"/>
          <w:szCs w:val="24"/>
          <w:lang w:val="en-US"/>
        </w:rPr>
        <w:t>Women’s History Review</w:t>
      </w:r>
      <w:r>
        <w:rPr>
          <w:rFonts w:ascii="Times New Roman" w:hAnsi="Times New Roman" w:cs="Times New Roman"/>
          <w:sz w:val="24"/>
          <w:szCs w:val="24"/>
          <w:lang w:val="en-US"/>
        </w:rPr>
        <w:t xml:space="preserve">, advance access </w:t>
      </w:r>
      <w:r w:rsidR="00451B0F">
        <w:rPr>
          <w:rFonts w:ascii="Times New Roman" w:hAnsi="Times New Roman" w:cs="Times New Roman"/>
          <w:sz w:val="24"/>
          <w:szCs w:val="24"/>
          <w:lang w:val="en-US"/>
        </w:rPr>
        <w:t xml:space="preserve">published </w:t>
      </w:r>
      <w:r>
        <w:rPr>
          <w:rFonts w:ascii="Times New Roman" w:hAnsi="Times New Roman" w:cs="Times New Roman"/>
          <w:sz w:val="24"/>
          <w:szCs w:val="24"/>
          <w:lang w:val="en-US"/>
        </w:rPr>
        <w:t>online 4 May 2017, 1-19.</w:t>
      </w:r>
    </w:p>
    <w:p w14:paraId="43EBB0B3" w14:textId="49DC53F7" w:rsidR="00D46453" w:rsidRDefault="00D46453"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Piper, A.J. &amp; Nagy, V. (2017). Versatile offending: Criminal careers of female prisoners in Australia 1860-1920. </w:t>
      </w:r>
      <w:r>
        <w:rPr>
          <w:rFonts w:ascii="Times New Roman" w:hAnsi="Times New Roman" w:cs="Times New Roman"/>
          <w:i/>
          <w:sz w:val="24"/>
          <w:szCs w:val="24"/>
          <w:lang w:val="en-US"/>
        </w:rPr>
        <w:t xml:space="preserve">Journal of Interdisciplinary History, 48(2), </w:t>
      </w:r>
      <w:r>
        <w:rPr>
          <w:rFonts w:ascii="Times New Roman" w:hAnsi="Times New Roman" w:cs="Times New Roman"/>
          <w:sz w:val="24"/>
          <w:szCs w:val="24"/>
          <w:lang w:val="en-US"/>
        </w:rPr>
        <w:t xml:space="preserve">187-210. </w:t>
      </w:r>
    </w:p>
    <w:p w14:paraId="248DF7C2" w14:textId="43C8544E" w:rsidR="00F70EE0" w:rsidRPr="003032B2" w:rsidRDefault="00F70EE0" w:rsidP="00623D01">
      <w:pPr>
        <w:widowControl w:val="0"/>
        <w:autoSpaceDE w:val="0"/>
        <w:autoSpaceDN w:val="0"/>
        <w:adjustRightInd w:val="0"/>
        <w:spacing w:after="0" w:line="480" w:lineRule="auto"/>
        <w:ind w:left="720" w:hanging="720"/>
        <w:rPr>
          <w:rFonts w:ascii="Times New Roman" w:hAnsi="Times New Roman" w:cs="Times New Roman"/>
          <w:i/>
          <w:sz w:val="24"/>
          <w:szCs w:val="24"/>
          <w:lang w:val="en-US"/>
        </w:rPr>
      </w:pPr>
      <w:r>
        <w:rPr>
          <w:rFonts w:ascii="Times New Roman" w:hAnsi="Times New Roman" w:cs="Times New Roman"/>
          <w:sz w:val="24"/>
          <w:szCs w:val="24"/>
          <w:lang w:val="en-US"/>
        </w:rPr>
        <w:t>Piper, A.J. &amp; Nagy, V. (</w:t>
      </w:r>
      <w:r w:rsidR="00E47537">
        <w:rPr>
          <w:rFonts w:ascii="Times New Roman" w:hAnsi="Times New Roman" w:cs="Times New Roman"/>
          <w:sz w:val="24"/>
          <w:szCs w:val="24"/>
          <w:lang w:val="en-US"/>
        </w:rPr>
        <w:t>forthcoming 2018</w:t>
      </w:r>
      <w:r>
        <w:rPr>
          <w:rFonts w:ascii="Times New Roman" w:hAnsi="Times New Roman" w:cs="Times New Roman"/>
          <w:sz w:val="24"/>
          <w:szCs w:val="24"/>
          <w:lang w:val="en-US"/>
        </w:rPr>
        <w:t xml:space="preserve">). </w:t>
      </w:r>
      <w:r w:rsidR="00632B6F">
        <w:rPr>
          <w:rFonts w:ascii="Times New Roman" w:hAnsi="Times New Roman" w:cs="Times New Roman"/>
          <w:sz w:val="24"/>
          <w:szCs w:val="24"/>
          <w:lang w:val="en-US"/>
        </w:rPr>
        <w:t xml:space="preserve">Risk factors and pathways to imprisonment among incarcerated women in Victoria, 1860-1920. </w:t>
      </w:r>
      <w:r w:rsidR="00E47537">
        <w:rPr>
          <w:rFonts w:ascii="Times New Roman" w:hAnsi="Times New Roman" w:cs="Times New Roman"/>
          <w:i/>
          <w:sz w:val="24"/>
          <w:szCs w:val="24"/>
          <w:lang w:val="en-US"/>
        </w:rPr>
        <w:t>Journal of Australian Studies 42(3).</w:t>
      </w:r>
    </w:p>
    <w:p w14:paraId="4CD9B754" w14:textId="458F9BD7" w:rsidR="00D46453" w:rsidRPr="00D46453" w:rsidRDefault="00D46453"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Richie, B. (2001). Challenges incarcerated women face as they return to their communities: Findings from life history interviews. </w:t>
      </w:r>
      <w:r>
        <w:rPr>
          <w:rFonts w:ascii="Times New Roman" w:hAnsi="Times New Roman" w:cs="Times New Roman"/>
          <w:i/>
          <w:sz w:val="24"/>
          <w:szCs w:val="24"/>
          <w:lang w:val="en-US"/>
        </w:rPr>
        <w:t xml:space="preserve">Crime and Delinquency, 47(3), </w:t>
      </w:r>
      <w:r>
        <w:rPr>
          <w:rFonts w:ascii="Times New Roman" w:hAnsi="Times New Roman" w:cs="Times New Roman"/>
          <w:sz w:val="24"/>
          <w:szCs w:val="24"/>
          <w:lang w:val="en-US"/>
        </w:rPr>
        <w:t>368-389.</w:t>
      </w:r>
    </w:p>
    <w:p w14:paraId="6F5BA643" w14:textId="4D7D538A" w:rsidR="000247FE" w:rsidRPr="00CC0C93" w:rsidRDefault="000247FE"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Ross, S. &amp; Forster, K. (2000). Female prisoners: Using imprisonment statistics to understand the place of women in the criminal justice system. Presented at the </w:t>
      </w:r>
      <w:r>
        <w:rPr>
          <w:rFonts w:ascii="Times New Roman" w:hAnsi="Times New Roman" w:cs="Times New Roman"/>
          <w:i/>
          <w:sz w:val="24"/>
          <w:szCs w:val="24"/>
          <w:lang w:val="en-US"/>
        </w:rPr>
        <w:t>Women in Corrections: Staff and Clients Conference</w:t>
      </w:r>
      <w:r w:rsidR="00CC0C93">
        <w:rPr>
          <w:rFonts w:ascii="Times New Roman" w:hAnsi="Times New Roman" w:cs="Times New Roman"/>
          <w:i/>
          <w:sz w:val="24"/>
          <w:szCs w:val="24"/>
          <w:lang w:val="en-US"/>
        </w:rPr>
        <w:t xml:space="preserve">, </w:t>
      </w:r>
      <w:r w:rsidR="00CC0C93">
        <w:rPr>
          <w:rFonts w:ascii="Times New Roman" w:hAnsi="Times New Roman" w:cs="Times New Roman"/>
          <w:sz w:val="24"/>
          <w:szCs w:val="24"/>
          <w:lang w:val="en-US"/>
        </w:rPr>
        <w:t xml:space="preserve">Adelaide 31 Oct.-1 Nov. </w:t>
      </w:r>
    </w:p>
    <w:p w14:paraId="190251BC" w14:textId="44B5EC9F" w:rsidR="00635A1D" w:rsidRDefault="00635A1D"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Rychner, G.</w:t>
      </w:r>
      <w:r w:rsidR="008D610F" w:rsidRPr="004822CE">
        <w:rPr>
          <w:rFonts w:ascii="Times New Roman" w:hAnsi="Times New Roman" w:cs="Times New Roman"/>
          <w:sz w:val="24"/>
          <w:szCs w:val="24"/>
          <w:lang w:val="en-US"/>
        </w:rPr>
        <w:t xml:space="preserve"> (2017).</w:t>
      </w:r>
      <w:r w:rsidRPr="004822CE">
        <w:rPr>
          <w:rFonts w:ascii="Times New Roman" w:hAnsi="Times New Roman" w:cs="Times New Roman"/>
          <w:sz w:val="24"/>
          <w:szCs w:val="24"/>
          <w:lang w:val="en-US"/>
        </w:rPr>
        <w:t xml:space="preserve"> Murderess or Madwoman? Margaret Heffernan, Infanticide and Insanity in Colonial Victoria. </w:t>
      </w:r>
      <w:r w:rsidRPr="004822CE">
        <w:rPr>
          <w:rFonts w:ascii="Times New Roman" w:hAnsi="Times New Roman" w:cs="Times New Roman"/>
          <w:i/>
          <w:iCs/>
          <w:sz w:val="24"/>
          <w:szCs w:val="24"/>
          <w:lang w:val="en-US"/>
        </w:rPr>
        <w:t>Lilith</w:t>
      </w:r>
      <w:r w:rsidR="00A75293">
        <w:rPr>
          <w:rFonts w:ascii="Times New Roman" w:hAnsi="Times New Roman" w:cs="Times New Roman"/>
          <w:i/>
          <w:iCs/>
          <w:sz w:val="24"/>
          <w:szCs w:val="24"/>
          <w:lang w:val="en-US"/>
        </w:rPr>
        <w:t xml:space="preserve">, </w:t>
      </w:r>
      <w:r w:rsidRPr="004822CE">
        <w:rPr>
          <w:rFonts w:ascii="Times New Roman" w:hAnsi="Times New Roman" w:cs="Times New Roman"/>
          <w:i/>
          <w:sz w:val="24"/>
          <w:szCs w:val="24"/>
          <w:lang w:val="en-US"/>
        </w:rPr>
        <w:t>23</w:t>
      </w:r>
      <w:r w:rsidR="008D610F" w:rsidRPr="004822CE">
        <w:rPr>
          <w:rFonts w:ascii="Times New Roman" w:hAnsi="Times New Roman" w:cs="Times New Roman"/>
          <w:i/>
          <w:sz w:val="24"/>
          <w:szCs w:val="24"/>
          <w:lang w:val="en-US"/>
        </w:rPr>
        <w:t>,</w:t>
      </w:r>
      <w:r w:rsidRPr="004822CE">
        <w:rPr>
          <w:rFonts w:ascii="Times New Roman" w:hAnsi="Times New Roman" w:cs="Times New Roman"/>
          <w:sz w:val="24"/>
          <w:szCs w:val="24"/>
          <w:lang w:val="en-US"/>
        </w:rPr>
        <w:t xml:space="preserve"> 91-104.</w:t>
      </w:r>
    </w:p>
    <w:p w14:paraId="4E662C0B" w14:textId="1D4FAA50" w:rsidR="004822CE" w:rsidRDefault="004822CE"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 xml:space="preserve">Schwartz, J., &amp; Gertseva, A. (2010). Stability and change in female and male violence across rural and urban counties, 1981-2006. </w:t>
      </w:r>
      <w:r w:rsidRPr="00510913">
        <w:rPr>
          <w:rFonts w:ascii="Times New Roman" w:hAnsi="Times New Roman" w:cs="Times New Roman"/>
          <w:i/>
          <w:sz w:val="24"/>
          <w:szCs w:val="24"/>
          <w:lang w:val="en-US"/>
        </w:rPr>
        <w:t>Rural Sociology, 75(3),</w:t>
      </w:r>
      <w:r w:rsidRPr="004822CE">
        <w:rPr>
          <w:rFonts w:ascii="Times New Roman" w:hAnsi="Times New Roman" w:cs="Times New Roman"/>
          <w:sz w:val="24"/>
          <w:szCs w:val="24"/>
          <w:lang w:val="en-US"/>
        </w:rPr>
        <w:t xml:space="preserve"> 388-425. DOI: 10.1111/j.1549-0831.2010.00016.x</w:t>
      </w:r>
    </w:p>
    <w:p w14:paraId="14458A71" w14:textId="73581857" w:rsidR="00DC7215" w:rsidRDefault="00DC7215"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Sentencing Advisory Council. (</w:t>
      </w:r>
      <w:r w:rsidR="00BA53A6">
        <w:rPr>
          <w:rFonts w:ascii="Times New Roman" w:hAnsi="Times New Roman" w:cs="Times New Roman"/>
          <w:sz w:val="24"/>
          <w:szCs w:val="24"/>
          <w:lang w:val="en-US"/>
        </w:rPr>
        <w:t xml:space="preserve">July </w:t>
      </w:r>
      <w:r>
        <w:rPr>
          <w:rFonts w:ascii="Times New Roman" w:hAnsi="Times New Roman" w:cs="Times New Roman"/>
          <w:sz w:val="24"/>
          <w:szCs w:val="24"/>
          <w:lang w:val="en-US"/>
        </w:rPr>
        <w:t xml:space="preserve">2010). </w:t>
      </w:r>
      <w:r>
        <w:rPr>
          <w:rFonts w:ascii="Times New Roman" w:hAnsi="Times New Roman" w:cs="Times New Roman"/>
          <w:i/>
          <w:sz w:val="24"/>
          <w:szCs w:val="24"/>
          <w:lang w:val="en-US"/>
        </w:rPr>
        <w:t xml:space="preserve">Gender Differences in Sentencing Outcomes. </w:t>
      </w:r>
      <w:r>
        <w:rPr>
          <w:rFonts w:ascii="Times New Roman" w:hAnsi="Times New Roman" w:cs="Times New Roman"/>
          <w:sz w:val="24"/>
          <w:szCs w:val="24"/>
          <w:lang w:val="en-US"/>
        </w:rPr>
        <w:t xml:space="preserve">Melbourne: Sentencing Advisory Council. </w:t>
      </w:r>
    </w:p>
    <w:p w14:paraId="15AABAD8" w14:textId="02A6ABBD" w:rsidR="00E069F7" w:rsidRDefault="00E069F7"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Steffensmeier, D. &amp; Haynie, D. (2000). Gender, structural disadvantage, and urban crime: Do macrosocial variables also explain female offending rates? </w:t>
      </w:r>
      <w:r>
        <w:rPr>
          <w:rFonts w:ascii="Times New Roman" w:hAnsi="Times New Roman" w:cs="Times New Roman"/>
          <w:i/>
          <w:sz w:val="24"/>
          <w:szCs w:val="24"/>
          <w:lang w:val="en-US"/>
        </w:rPr>
        <w:t xml:space="preserve">Criminology, 38(2), </w:t>
      </w:r>
      <w:r w:rsidR="00497018">
        <w:rPr>
          <w:rFonts w:ascii="Times New Roman" w:hAnsi="Times New Roman" w:cs="Times New Roman"/>
          <w:sz w:val="24"/>
          <w:szCs w:val="24"/>
          <w:lang w:val="en-US"/>
        </w:rPr>
        <w:t>403-438.</w:t>
      </w:r>
    </w:p>
    <w:p w14:paraId="0905D40B" w14:textId="428868D8" w:rsidR="008A4928" w:rsidRDefault="008A4928"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511DA4">
        <w:rPr>
          <w:rFonts w:ascii="Times New Roman" w:hAnsi="Times New Roman" w:cs="Times New Roman"/>
          <w:sz w:val="24"/>
          <w:szCs w:val="24"/>
          <w:lang w:val="en-US"/>
        </w:rPr>
        <w:t xml:space="preserve">Swain, S., &amp; Howe, R. (1995). </w:t>
      </w:r>
      <w:r w:rsidRPr="00511DA4">
        <w:rPr>
          <w:rFonts w:ascii="Times New Roman" w:hAnsi="Times New Roman" w:cs="Times New Roman"/>
          <w:i/>
          <w:iCs/>
          <w:sz w:val="24"/>
          <w:szCs w:val="24"/>
          <w:lang w:val="en-US"/>
        </w:rPr>
        <w:t xml:space="preserve">Single mothers and their children: disposal, punishment and </w:t>
      </w:r>
      <w:r w:rsidRPr="00511DA4">
        <w:rPr>
          <w:rFonts w:ascii="Times New Roman" w:hAnsi="Times New Roman" w:cs="Times New Roman"/>
          <w:i/>
          <w:iCs/>
          <w:sz w:val="24"/>
          <w:szCs w:val="24"/>
          <w:lang w:val="en-US"/>
        </w:rPr>
        <w:lastRenderedPageBreak/>
        <w:t>survival in Australia</w:t>
      </w:r>
      <w:r w:rsidRPr="00511DA4">
        <w:rPr>
          <w:rFonts w:ascii="Times New Roman" w:hAnsi="Times New Roman" w:cs="Times New Roman"/>
          <w:sz w:val="24"/>
          <w:szCs w:val="24"/>
          <w:lang w:val="en-US"/>
        </w:rPr>
        <w:t>. Cambridge; Oakleigh: Cambridge University Press.</w:t>
      </w:r>
    </w:p>
    <w:p w14:paraId="062AF7B2" w14:textId="1489456E" w:rsidR="00FB783B" w:rsidRPr="00FB783B" w:rsidRDefault="00FB783B"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FB783B">
        <w:rPr>
          <w:rFonts w:ascii="Times New Roman" w:hAnsi="Times New Roman" w:cs="Times New Roman"/>
          <w:sz w:val="24"/>
          <w:szCs w:val="24"/>
          <w:lang w:val="en-US"/>
        </w:rPr>
        <w:t>Theerathitiwong</w:t>
      </w:r>
      <w:r>
        <w:rPr>
          <w:rFonts w:ascii="Times New Roman" w:hAnsi="Times New Roman" w:cs="Times New Roman"/>
          <w:sz w:val="24"/>
          <w:szCs w:val="24"/>
          <w:lang w:val="en-US"/>
        </w:rPr>
        <w:t xml:space="preserve">, S. (2017). </w:t>
      </w:r>
      <w:r>
        <w:rPr>
          <w:rFonts w:ascii="Times New Roman" w:hAnsi="Times New Roman" w:cs="Times New Roman"/>
          <w:i/>
          <w:sz w:val="24"/>
          <w:szCs w:val="24"/>
          <w:lang w:val="en-US"/>
        </w:rPr>
        <w:t xml:space="preserve">Crossing the border: Understanding the re-entry experiences of women from migrant groups in Melbourne and New York City. </w:t>
      </w:r>
      <w:r>
        <w:rPr>
          <w:rFonts w:ascii="Times New Roman" w:hAnsi="Times New Roman" w:cs="Times New Roman"/>
          <w:sz w:val="24"/>
          <w:szCs w:val="24"/>
          <w:lang w:val="en-US"/>
        </w:rPr>
        <w:t>PhD thesis. University of Melbourne.</w:t>
      </w:r>
    </w:p>
    <w:p w14:paraId="0109699D" w14:textId="7385C279" w:rsidR="0038439D" w:rsidRPr="0038439D" w:rsidRDefault="0038439D" w:rsidP="0038439D">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38439D">
        <w:rPr>
          <w:rFonts w:ascii="Times New Roman" w:hAnsi="Times New Roman" w:cs="Times New Roman"/>
          <w:sz w:val="24"/>
          <w:szCs w:val="24"/>
          <w:lang w:val="en-US"/>
        </w:rPr>
        <w:t>Thurgood, N. (1988)</w:t>
      </w:r>
      <w:r>
        <w:rPr>
          <w:rFonts w:ascii="Times New Roman" w:hAnsi="Times New Roman" w:cs="Times New Roman"/>
          <w:sz w:val="24"/>
          <w:szCs w:val="24"/>
          <w:lang w:val="en-US"/>
        </w:rPr>
        <w:t>.</w:t>
      </w:r>
      <w:r w:rsidRPr="0038439D">
        <w:rPr>
          <w:rFonts w:ascii="Times New Roman" w:hAnsi="Times New Roman" w:cs="Times New Roman"/>
          <w:sz w:val="24"/>
          <w:szCs w:val="24"/>
          <w:lang w:val="en-US"/>
        </w:rPr>
        <w:t xml:space="preserve"> </w:t>
      </w:r>
      <w:r w:rsidRPr="00DD7F37">
        <w:rPr>
          <w:rFonts w:ascii="Times New Roman" w:hAnsi="Times New Roman" w:cs="Times New Roman"/>
          <w:i/>
          <w:sz w:val="24"/>
          <w:szCs w:val="24"/>
          <w:lang w:val="en-US"/>
        </w:rPr>
        <w:t>The Gold Escort Robbery Trials.</w:t>
      </w:r>
      <w:r w:rsidRPr="0038439D">
        <w:rPr>
          <w:rFonts w:ascii="Times New Roman" w:hAnsi="Times New Roman" w:cs="Times New Roman"/>
          <w:sz w:val="24"/>
          <w:szCs w:val="24"/>
          <w:lang w:val="en-US"/>
        </w:rPr>
        <w:t xml:space="preserve"> Kangaroo: Kenthurst,</w:t>
      </w:r>
    </w:p>
    <w:p w14:paraId="0DF72C4A" w14:textId="61256AF9" w:rsidR="0038439D" w:rsidRPr="00DC7215" w:rsidRDefault="0038439D" w:rsidP="0038439D">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38439D">
        <w:rPr>
          <w:rFonts w:ascii="Times New Roman" w:hAnsi="Times New Roman" w:cs="Times New Roman"/>
          <w:sz w:val="24"/>
          <w:szCs w:val="24"/>
          <w:lang w:val="en-US"/>
        </w:rPr>
        <w:t>NSW.</w:t>
      </w:r>
    </w:p>
    <w:p w14:paraId="4C515047" w14:textId="5B8F17D9" w:rsidR="009D572C" w:rsidRPr="009D572C" w:rsidRDefault="009D572C"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Tonnies, F. (1957). </w:t>
      </w:r>
      <w:r>
        <w:rPr>
          <w:rFonts w:ascii="Times New Roman" w:hAnsi="Times New Roman" w:cs="Times New Roman"/>
          <w:i/>
          <w:sz w:val="24"/>
          <w:szCs w:val="24"/>
          <w:lang w:val="en-US"/>
        </w:rPr>
        <w:t xml:space="preserve">Community and Society. </w:t>
      </w:r>
      <w:r w:rsidR="00213582">
        <w:rPr>
          <w:rFonts w:ascii="Times New Roman" w:hAnsi="Times New Roman" w:cs="Times New Roman"/>
          <w:sz w:val="24"/>
          <w:szCs w:val="24"/>
          <w:lang w:val="en-US"/>
        </w:rPr>
        <w:t>East Lansing: Michigan State University Press.</w:t>
      </w:r>
    </w:p>
    <w:p w14:paraId="07C0F3D9" w14:textId="31D15500" w:rsidR="005973B6" w:rsidRDefault="005973B6"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Twomey, C.</w:t>
      </w:r>
      <w:r w:rsidR="00A267F1" w:rsidRPr="004822CE">
        <w:rPr>
          <w:rFonts w:ascii="Times New Roman" w:hAnsi="Times New Roman" w:cs="Times New Roman"/>
          <w:sz w:val="24"/>
          <w:szCs w:val="24"/>
          <w:lang w:val="en-US"/>
        </w:rPr>
        <w:t xml:space="preserve"> (2002).</w:t>
      </w:r>
      <w:r w:rsidRPr="004822CE">
        <w:rPr>
          <w:rFonts w:ascii="Times New Roman" w:hAnsi="Times New Roman" w:cs="Times New Roman"/>
          <w:sz w:val="24"/>
          <w:szCs w:val="24"/>
          <w:lang w:val="en-US"/>
        </w:rPr>
        <w:t xml:space="preserve"> </w:t>
      </w:r>
      <w:r w:rsidRPr="004822CE">
        <w:rPr>
          <w:rFonts w:ascii="Times New Roman" w:hAnsi="Times New Roman" w:cs="Times New Roman"/>
          <w:i/>
          <w:iCs/>
          <w:sz w:val="24"/>
          <w:szCs w:val="24"/>
          <w:lang w:val="en-US"/>
        </w:rPr>
        <w:t>Deserted and Destitute: Motherhood, Wife Desertion and Colonial Welfare</w:t>
      </w:r>
      <w:r w:rsidRPr="004822CE">
        <w:rPr>
          <w:rFonts w:ascii="Times New Roman" w:hAnsi="Times New Roman" w:cs="Times New Roman"/>
          <w:sz w:val="24"/>
          <w:szCs w:val="24"/>
          <w:lang w:val="en-US"/>
        </w:rPr>
        <w:t>.  Kew, Victoria: Australian Scholarly Press.</w:t>
      </w:r>
    </w:p>
    <w:p w14:paraId="46B6AB7B" w14:textId="6CFE840F" w:rsidR="00C542AA" w:rsidRDefault="00C542AA"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Wirth, L. (1938). Urbanism as a way of life. </w:t>
      </w:r>
      <w:r>
        <w:rPr>
          <w:rFonts w:ascii="Times New Roman" w:hAnsi="Times New Roman" w:cs="Times New Roman"/>
          <w:i/>
          <w:sz w:val="24"/>
          <w:szCs w:val="24"/>
          <w:lang w:val="en-US"/>
        </w:rPr>
        <w:t xml:space="preserve">American Journal of Sociology, </w:t>
      </w:r>
      <w:r w:rsidRPr="006A44E6">
        <w:rPr>
          <w:rFonts w:ascii="Times New Roman" w:hAnsi="Times New Roman" w:cs="Times New Roman"/>
          <w:i/>
          <w:sz w:val="24"/>
          <w:szCs w:val="24"/>
          <w:lang w:val="en-US"/>
        </w:rPr>
        <w:t>44(1),</w:t>
      </w:r>
      <w:r>
        <w:rPr>
          <w:rFonts w:ascii="Times New Roman" w:hAnsi="Times New Roman" w:cs="Times New Roman"/>
          <w:sz w:val="24"/>
          <w:szCs w:val="24"/>
          <w:lang w:val="en-US"/>
        </w:rPr>
        <w:t xml:space="preserve"> 1-24.</w:t>
      </w:r>
    </w:p>
    <w:p w14:paraId="61DD0FCE" w14:textId="00E3E887" w:rsidR="00451836" w:rsidRPr="00451836" w:rsidRDefault="00451836"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White, S.</w:t>
      </w:r>
      <w:r w:rsidR="00511DA4">
        <w:rPr>
          <w:rFonts w:ascii="Times New Roman" w:hAnsi="Times New Roman" w:cs="Times New Roman"/>
          <w:sz w:val="24"/>
          <w:szCs w:val="24"/>
          <w:lang w:val="en-US"/>
        </w:rPr>
        <w:t xml:space="preserve"> (1979).</w:t>
      </w:r>
      <w:r>
        <w:rPr>
          <w:rFonts w:ascii="Times New Roman" w:hAnsi="Times New Roman" w:cs="Times New Roman"/>
          <w:sz w:val="24"/>
          <w:szCs w:val="24"/>
          <w:lang w:val="en-US"/>
        </w:rPr>
        <w:t xml:space="preserve"> Howard Vincent and the development of probation in Australia, New Zealand and the United Kingdom. </w:t>
      </w:r>
      <w:r>
        <w:rPr>
          <w:rFonts w:ascii="Times New Roman" w:hAnsi="Times New Roman" w:cs="Times New Roman"/>
          <w:i/>
          <w:sz w:val="24"/>
          <w:szCs w:val="24"/>
          <w:lang w:val="en-US"/>
        </w:rPr>
        <w:t>Historical Studies, 18(73)</w:t>
      </w:r>
      <w:r>
        <w:rPr>
          <w:rFonts w:ascii="Times New Roman" w:hAnsi="Times New Roman" w:cs="Times New Roman"/>
          <w:sz w:val="24"/>
          <w:szCs w:val="24"/>
          <w:lang w:val="en-US"/>
        </w:rPr>
        <w:t>, 598-617.</w:t>
      </w:r>
    </w:p>
    <w:p w14:paraId="3053E76D" w14:textId="4839832B" w:rsidR="00C929B4" w:rsidRPr="00C929B4" w:rsidRDefault="00C929B4"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Wright, C. (2003). </w:t>
      </w:r>
      <w:r w:rsidRPr="00511DA4">
        <w:rPr>
          <w:rFonts w:ascii="Times New Roman" w:hAnsi="Times New Roman" w:cs="Times New Roman"/>
          <w:i/>
          <w:sz w:val="24"/>
          <w:szCs w:val="24"/>
          <w:lang w:val="en-US"/>
        </w:rPr>
        <w:t xml:space="preserve">Beyond </w:t>
      </w:r>
      <w:r>
        <w:rPr>
          <w:rFonts w:ascii="Times New Roman" w:hAnsi="Times New Roman" w:cs="Times New Roman"/>
          <w:i/>
          <w:sz w:val="24"/>
          <w:szCs w:val="24"/>
          <w:lang w:val="en-US"/>
        </w:rPr>
        <w:t>the Ladies Lounge: Australia’s Female Publicans</w:t>
      </w:r>
      <w:r>
        <w:rPr>
          <w:rFonts w:ascii="Times New Roman" w:hAnsi="Times New Roman" w:cs="Times New Roman"/>
          <w:sz w:val="24"/>
          <w:szCs w:val="24"/>
          <w:lang w:val="en-US"/>
        </w:rPr>
        <w:t>. Carlton, Victoria: Melbourne University Press.</w:t>
      </w:r>
    </w:p>
    <w:p w14:paraId="3F60B8AB" w14:textId="0CD5E87C" w:rsidR="00FB3618" w:rsidRPr="004822CE" w:rsidRDefault="00FB3618" w:rsidP="00623D01">
      <w:pPr>
        <w:widowControl w:val="0"/>
        <w:autoSpaceDE w:val="0"/>
        <w:autoSpaceDN w:val="0"/>
        <w:adjustRightInd w:val="0"/>
        <w:spacing w:after="0" w:line="480" w:lineRule="auto"/>
        <w:ind w:left="720" w:hanging="720"/>
        <w:rPr>
          <w:rFonts w:ascii="Times New Roman" w:hAnsi="Times New Roman" w:cs="Times New Roman"/>
          <w:sz w:val="24"/>
          <w:szCs w:val="24"/>
          <w:lang w:val="en-US"/>
        </w:rPr>
      </w:pPr>
      <w:r w:rsidRPr="004822CE">
        <w:rPr>
          <w:rFonts w:ascii="Times New Roman" w:hAnsi="Times New Roman" w:cs="Times New Roman"/>
          <w:sz w:val="24"/>
          <w:szCs w:val="24"/>
          <w:lang w:val="en-US"/>
        </w:rPr>
        <w:t>Zedner, L.</w:t>
      </w:r>
      <w:r w:rsidR="00A267F1" w:rsidRPr="004822CE">
        <w:rPr>
          <w:rFonts w:ascii="Times New Roman" w:hAnsi="Times New Roman" w:cs="Times New Roman"/>
          <w:sz w:val="24"/>
          <w:szCs w:val="24"/>
          <w:lang w:val="en-US"/>
        </w:rPr>
        <w:t xml:space="preserve"> (1991).</w:t>
      </w:r>
      <w:r w:rsidRPr="004822CE">
        <w:rPr>
          <w:rFonts w:ascii="Times New Roman" w:hAnsi="Times New Roman" w:cs="Times New Roman"/>
          <w:sz w:val="24"/>
          <w:szCs w:val="24"/>
          <w:lang w:val="en-US"/>
        </w:rPr>
        <w:t xml:space="preserve"> </w:t>
      </w:r>
      <w:r w:rsidRPr="004822CE">
        <w:rPr>
          <w:rFonts w:ascii="Times New Roman" w:hAnsi="Times New Roman" w:cs="Times New Roman"/>
          <w:i/>
          <w:iCs/>
          <w:sz w:val="24"/>
          <w:szCs w:val="24"/>
          <w:lang w:val="en-US"/>
        </w:rPr>
        <w:t>Women, Crime, and Custody in Victorian England</w:t>
      </w:r>
      <w:r w:rsidRPr="004822CE">
        <w:rPr>
          <w:rFonts w:ascii="Times New Roman" w:hAnsi="Times New Roman" w:cs="Times New Roman"/>
          <w:sz w:val="24"/>
          <w:szCs w:val="24"/>
          <w:lang w:val="en-US"/>
        </w:rPr>
        <w:t>.  Oxford; New York: Oxford University Press; Clarendon Press</w:t>
      </w:r>
      <w:r w:rsidRPr="00623D01">
        <w:rPr>
          <w:rFonts w:ascii="Times New Roman" w:hAnsi="Times New Roman" w:cs="Times New Roman"/>
          <w:sz w:val="24"/>
          <w:szCs w:val="24"/>
          <w:lang w:val="en-US"/>
        </w:rPr>
        <w:t>.</w:t>
      </w:r>
    </w:p>
    <w:sectPr w:rsidR="00FB3618" w:rsidRPr="004822C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2A8D" w14:textId="77777777" w:rsidR="00A268AF" w:rsidRDefault="00A268AF" w:rsidP="00267F24">
      <w:pPr>
        <w:spacing w:after="0" w:line="240" w:lineRule="auto"/>
      </w:pPr>
      <w:r>
        <w:separator/>
      </w:r>
    </w:p>
  </w:endnote>
  <w:endnote w:type="continuationSeparator" w:id="0">
    <w:p w14:paraId="0080E322" w14:textId="77777777" w:rsidR="00A268AF" w:rsidRDefault="00A268AF" w:rsidP="0026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74FE" w14:textId="77777777" w:rsidR="00F81AD4" w:rsidRDefault="00F81AD4" w:rsidP="00BB1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ECB19" w14:textId="77777777" w:rsidR="00F81AD4" w:rsidRDefault="00F81AD4" w:rsidP="00462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4BC7" w14:textId="70249F69" w:rsidR="00F81AD4" w:rsidRDefault="00F81AD4" w:rsidP="00BB1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8942E9E" w14:textId="77777777" w:rsidR="00F81AD4" w:rsidRDefault="00F81AD4" w:rsidP="004629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BBA0F" w14:textId="77777777" w:rsidR="00A268AF" w:rsidRDefault="00A268AF" w:rsidP="00267F24">
      <w:pPr>
        <w:spacing w:after="0" w:line="240" w:lineRule="auto"/>
      </w:pPr>
      <w:r>
        <w:separator/>
      </w:r>
    </w:p>
  </w:footnote>
  <w:footnote w:type="continuationSeparator" w:id="0">
    <w:p w14:paraId="0DC01934" w14:textId="77777777" w:rsidR="00A268AF" w:rsidRDefault="00A268AF" w:rsidP="0026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6AD"/>
    <w:multiLevelType w:val="hybridMultilevel"/>
    <w:tmpl w:val="39247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934010"/>
    <w:multiLevelType w:val="hybridMultilevel"/>
    <w:tmpl w:val="767835CA"/>
    <w:lvl w:ilvl="0" w:tplc="CAB2A452">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8056F8"/>
    <w:multiLevelType w:val="hybridMultilevel"/>
    <w:tmpl w:val="0E2E5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24"/>
    <w:rsid w:val="0000608E"/>
    <w:rsid w:val="00014818"/>
    <w:rsid w:val="000179B5"/>
    <w:rsid w:val="00021043"/>
    <w:rsid w:val="000247FE"/>
    <w:rsid w:val="0002653D"/>
    <w:rsid w:val="00031765"/>
    <w:rsid w:val="00034D92"/>
    <w:rsid w:val="00043307"/>
    <w:rsid w:val="000449E3"/>
    <w:rsid w:val="00045DE5"/>
    <w:rsid w:val="00050125"/>
    <w:rsid w:val="00062C5E"/>
    <w:rsid w:val="00064A11"/>
    <w:rsid w:val="00067110"/>
    <w:rsid w:val="00067621"/>
    <w:rsid w:val="00073688"/>
    <w:rsid w:val="00076708"/>
    <w:rsid w:val="000820D2"/>
    <w:rsid w:val="00085CDF"/>
    <w:rsid w:val="00086EBC"/>
    <w:rsid w:val="00091B1D"/>
    <w:rsid w:val="0009339F"/>
    <w:rsid w:val="00093757"/>
    <w:rsid w:val="00094B32"/>
    <w:rsid w:val="0009620E"/>
    <w:rsid w:val="000A097A"/>
    <w:rsid w:val="000A39CF"/>
    <w:rsid w:val="000A7DC3"/>
    <w:rsid w:val="000B4E44"/>
    <w:rsid w:val="000B7E0C"/>
    <w:rsid w:val="000C5022"/>
    <w:rsid w:val="000D0B2E"/>
    <w:rsid w:val="000D3586"/>
    <w:rsid w:val="000D38F1"/>
    <w:rsid w:val="000D61C3"/>
    <w:rsid w:val="000D7BEB"/>
    <w:rsid w:val="000E5105"/>
    <w:rsid w:val="000F51A2"/>
    <w:rsid w:val="000F65B2"/>
    <w:rsid w:val="001018A4"/>
    <w:rsid w:val="00113545"/>
    <w:rsid w:val="00113B1A"/>
    <w:rsid w:val="00130A22"/>
    <w:rsid w:val="00134654"/>
    <w:rsid w:val="001421F2"/>
    <w:rsid w:val="001468B1"/>
    <w:rsid w:val="00155C43"/>
    <w:rsid w:val="00157947"/>
    <w:rsid w:val="001667E7"/>
    <w:rsid w:val="00180AD9"/>
    <w:rsid w:val="00181C0F"/>
    <w:rsid w:val="00181E08"/>
    <w:rsid w:val="001853DF"/>
    <w:rsid w:val="001A05B6"/>
    <w:rsid w:val="001B5C5E"/>
    <w:rsid w:val="001C02D6"/>
    <w:rsid w:val="001C34CA"/>
    <w:rsid w:val="001C5EAF"/>
    <w:rsid w:val="001D53E6"/>
    <w:rsid w:val="001E0902"/>
    <w:rsid w:val="001E6210"/>
    <w:rsid w:val="002018D4"/>
    <w:rsid w:val="00201CBB"/>
    <w:rsid w:val="00205F8F"/>
    <w:rsid w:val="00213582"/>
    <w:rsid w:val="002253B1"/>
    <w:rsid w:val="002325DE"/>
    <w:rsid w:val="00240753"/>
    <w:rsid w:val="002415DB"/>
    <w:rsid w:val="0024447A"/>
    <w:rsid w:val="00255FB6"/>
    <w:rsid w:val="002569F1"/>
    <w:rsid w:val="00267F24"/>
    <w:rsid w:val="00273EBA"/>
    <w:rsid w:val="0027659E"/>
    <w:rsid w:val="00281694"/>
    <w:rsid w:val="002848B8"/>
    <w:rsid w:val="00286EFD"/>
    <w:rsid w:val="00294757"/>
    <w:rsid w:val="002A10F3"/>
    <w:rsid w:val="002B33DE"/>
    <w:rsid w:val="002B64CF"/>
    <w:rsid w:val="002C545F"/>
    <w:rsid w:val="002D0486"/>
    <w:rsid w:val="002D2F48"/>
    <w:rsid w:val="002D2FD0"/>
    <w:rsid w:val="002D57E3"/>
    <w:rsid w:val="002E4391"/>
    <w:rsid w:val="002E4F0F"/>
    <w:rsid w:val="002E6556"/>
    <w:rsid w:val="002F06AF"/>
    <w:rsid w:val="002F62E0"/>
    <w:rsid w:val="003032B2"/>
    <w:rsid w:val="00310F4F"/>
    <w:rsid w:val="0032111E"/>
    <w:rsid w:val="00324975"/>
    <w:rsid w:val="00327347"/>
    <w:rsid w:val="00343202"/>
    <w:rsid w:val="00343BCB"/>
    <w:rsid w:val="00345B76"/>
    <w:rsid w:val="0035010E"/>
    <w:rsid w:val="00350270"/>
    <w:rsid w:val="00353190"/>
    <w:rsid w:val="00363789"/>
    <w:rsid w:val="00364EEC"/>
    <w:rsid w:val="00365664"/>
    <w:rsid w:val="00374E85"/>
    <w:rsid w:val="003754FB"/>
    <w:rsid w:val="00380E98"/>
    <w:rsid w:val="003827DD"/>
    <w:rsid w:val="00382863"/>
    <w:rsid w:val="0038439D"/>
    <w:rsid w:val="00393D4F"/>
    <w:rsid w:val="003940E3"/>
    <w:rsid w:val="003A2F2A"/>
    <w:rsid w:val="003A6148"/>
    <w:rsid w:val="003A6DA1"/>
    <w:rsid w:val="003A6FB1"/>
    <w:rsid w:val="003B7525"/>
    <w:rsid w:val="003C1641"/>
    <w:rsid w:val="003C6EEF"/>
    <w:rsid w:val="003F0041"/>
    <w:rsid w:val="003F2A5E"/>
    <w:rsid w:val="003F34C0"/>
    <w:rsid w:val="00416317"/>
    <w:rsid w:val="00423EBF"/>
    <w:rsid w:val="00426683"/>
    <w:rsid w:val="00435374"/>
    <w:rsid w:val="00435957"/>
    <w:rsid w:val="004400F9"/>
    <w:rsid w:val="004419CC"/>
    <w:rsid w:val="00451836"/>
    <w:rsid w:val="00451B0F"/>
    <w:rsid w:val="00457E9D"/>
    <w:rsid w:val="00460FB5"/>
    <w:rsid w:val="004629A7"/>
    <w:rsid w:val="004659C2"/>
    <w:rsid w:val="00470A57"/>
    <w:rsid w:val="00471D06"/>
    <w:rsid w:val="00473361"/>
    <w:rsid w:val="0047456C"/>
    <w:rsid w:val="00480CC0"/>
    <w:rsid w:val="004822CE"/>
    <w:rsid w:val="00483881"/>
    <w:rsid w:val="00487D92"/>
    <w:rsid w:val="00491140"/>
    <w:rsid w:val="00495BDB"/>
    <w:rsid w:val="00497018"/>
    <w:rsid w:val="00497959"/>
    <w:rsid w:val="004A098A"/>
    <w:rsid w:val="004A5FE0"/>
    <w:rsid w:val="004C76DA"/>
    <w:rsid w:val="004D1768"/>
    <w:rsid w:val="004D1A81"/>
    <w:rsid w:val="004D54C8"/>
    <w:rsid w:val="004D63D3"/>
    <w:rsid w:val="004E10D9"/>
    <w:rsid w:val="004E58F9"/>
    <w:rsid w:val="004E5980"/>
    <w:rsid w:val="004E7B4C"/>
    <w:rsid w:val="004F4A0C"/>
    <w:rsid w:val="00500F23"/>
    <w:rsid w:val="00500FE2"/>
    <w:rsid w:val="00505760"/>
    <w:rsid w:val="00510913"/>
    <w:rsid w:val="00511131"/>
    <w:rsid w:val="00511DA4"/>
    <w:rsid w:val="00514F0B"/>
    <w:rsid w:val="00520937"/>
    <w:rsid w:val="00527045"/>
    <w:rsid w:val="00531969"/>
    <w:rsid w:val="0053650C"/>
    <w:rsid w:val="00536CFB"/>
    <w:rsid w:val="00540A04"/>
    <w:rsid w:val="00540EA7"/>
    <w:rsid w:val="00552979"/>
    <w:rsid w:val="00554562"/>
    <w:rsid w:val="00555F7E"/>
    <w:rsid w:val="0055715E"/>
    <w:rsid w:val="00557687"/>
    <w:rsid w:val="005700D1"/>
    <w:rsid w:val="00570C0E"/>
    <w:rsid w:val="00571968"/>
    <w:rsid w:val="00575549"/>
    <w:rsid w:val="0059270C"/>
    <w:rsid w:val="00592FCF"/>
    <w:rsid w:val="005973B6"/>
    <w:rsid w:val="005A1869"/>
    <w:rsid w:val="005A4367"/>
    <w:rsid w:val="005A4DDB"/>
    <w:rsid w:val="005B4779"/>
    <w:rsid w:val="005B514B"/>
    <w:rsid w:val="005C602D"/>
    <w:rsid w:val="005D44D1"/>
    <w:rsid w:val="005F1978"/>
    <w:rsid w:val="005F2DB7"/>
    <w:rsid w:val="005F3157"/>
    <w:rsid w:val="006015BE"/>
    <w:rsid w:val="00603716"/>
    <w:rsid w:val="00604A42"/>
    <w:rsid w:val="00610B96"/>
    <w:rsid w:val="00614B51"/>
    <w:rsid w:val="006168C9"/>
    <w:rsid w:val="006230B9"/>
    <w:rsid w:val="00623D01"/>
    <w:rsid w:val="00623FBA"/>
    <w:rsid w:val="00627026"/>
    <w:rsid w:val="006302AC"/>
    <w:rsid w:val="00632B6F"/>
    <w:rsid w:val="00633F15"/>
    <w:rsid w:val="00634D09"/>
    <w:rsid w:val="00635A1D"/>
    <w:rsid w:val="006403C5"/>
    <w:rsid w:val="006436EF"/>
    <w:rsid w:val="00645014"/>
    <w:rsid w:val="00653FAC"/>
    <w:rsid w:val="006556D5"/>
    <w:rsid w:val="006625CA"/>
    <w:rsid w:val="00662C10"/>
    <w:rsid w:val="0067193D"/>
    <w:rsid w:val="006719B1"/>
    <w:rsid w:val="00671ABB"/>
    <w:rsid w:val="0067498B"/>
    <w:rsid w:val="00681C6F"/>
    <w:rsid w:val="006834C4"/>
    <w:rsid w:val="0068417D"/>
    <w:rsid w:val="006849AF"/>
    <w:rsid w:val="006A44E6"/>
    <w:rsid w:val="006A7A9C"/>
    <w:rsid w:val="006B281A"/>
    <w:rsid w:val="006B53C8"/>
    <w:rsid w:val="006C1427"/>
    <w:rsid w:val="006C237C"/>
    <w:rsid w:val="006E5AE1"/>
    <w:rsid w:val="006F1235"/>
    <w:rsid w:val="006F3041"/>
    <w:rsid w:val="006F3491"/>
    <w:rsid w:val="007010E2"/>
    <w:rsid w:val="007029BA"/>
    <w:rsid w:val="00703FF4"/>
    <w:rsid w:val="00713950"/>
    <w:rsid w:val="007157DE"/>
    <w:rsid w:val="0072060A"/>
    <w:rsid w:val="00725C3F"/>
    <w:rsid w:val="007309BB"/>
    <w:rsid w:val="00735926"/>
    <w:rsid w:val="0075108D"/>
    <w:rsid w:val="00760860"/>
    <w:rsid w:val="007671C3"/>
    <w:rsid w:val="00767B57"/>
    <w:rsid w:val="00780EAE"/>
    <w:rsid w:val="00790505"/>
    <w:rsid w:val="007A0E4C"/>
    <w:rsid w:val="007A2766"/>
    <w:rsid w:val="007B0396"/>
    <w:rsid w:val="007B66E3"/>
    <w:rsid w:val="007D1FD8"/>
    <w:rsid w:val="007D730E"/>
    <w:rsid w:val="007E4591"/>
    <w:rsid w:val="007E70AA"/>
    <w:rsid w:val="007E7613"/>
    <w:rsid w:val="007F4D91"/>
    <w:rsid w:val="007F6EAF"/>
    <w:rsid w:val="00800B28"/>
    <w:rsid w:val="00802BB2"/>
    <w:rsid w:val="00813AEA"/>
    <w:rsid w:val="0082089A"/>
    <w:rsid w:val="00824525"/>
    <w:rsid w:val="008276F6"/>
    <w:rsid w:val="0083028B"/>
    <w:rsid w:val="00831AA3"/>
    <w:rsid w:val="00837BD5"/>
    <w:rsid w:val="008406DD"/>
    <w:rsid w:val="00841C04"/>
    <w:rsid w:val="008519E4"/>
    <w:rsid w:val="00852223"/>
    <w:rsid w:val="008537DF"/>
    <w:rsid w:val="00870E86"/>
    <w:rsid w:val="008738C7"/>
    <w:rsid w:val="00876E22"/>
    <w:rsid w:val="00883752"/>
    <w:rsid w:val="008839E5"/>
    <w:rsid w:val="008870B4"/>
    <w:rsid w:val="00891FC8"/>
    <w:rsid w:val="008A07DF"/>
    <w:rsid w:val="008A0E11"/>
    <w:rsid w:val="008A4928"/>
    <w:rsid w:val="008B5D47"/>
    <w:rsid w:val="008C636C"/>
    <w:rsid w:val="008D610F"/>
    <w:rsid w:val="008F0229"/>
    <w:rsid w:val="008F1996"/>
    <w:rsid w:val="00912C3E"/>
    <w:rsid w:val="00923ABF"/>
    <w:rsid w:val="00926160"/>
    <w:rsid w:val="0093073C"/>
    <w:rsid w:val="00934CE0"/>
    <w:rsid w:val="009354C3"/>
    <w:rsid w:val="0094596A"/>
    <w:rsid w:val="00953A36"/>
    <w:rsid w:val="00954B04"/>
    <w:rsid w:val="0096270C"/>
    <w:rsid w:val="0098785E"/>
    <w:rsid w:val="009A0F7D"/>
    <w:rsid w:val="009A5756"/>
    <w:rsid w:val="009A74B7"/>
    <w:rsid w:val="009A7DF2"/>
    <w:rsid w:val="009B00DA"/>
    <w:rsid w:val="009C14D0"/>
    <w:rsid w:val="009C726E"/>
    <w:rsid w:val="009D0CAC"/>
    <w:rsid w:val="009D10D6"/>
    <w:rsid w:val="009D572C"/>
    <w:rsid w:val="009D582A"/>
    <w:rsid w:val="009D78B4"/>
    <w:rsid w:val="009E5BF2"/>
    <w:rsid w:val="009F15C0"/>
    <w:rsid w:val="009F4C21"/>
    <w:rsid w:val="00A06860"/>
    <w:rsid w:val="00A11189"/>
    <w:rsid w:val="00A131D3"/>
    <w:rsid w:val="00A1381A"/>
    <w:rsid w:val="00A15B73"/>
    <w:rsid w:val="00A267F1"/>
    <w:rsid w:val="00A268AF"/>
    <w:rsid w:val="00A27BF5"/>
    <w:rsid w:val="00A30978"/>
    <w:rsid w:val="00A365B0"/>
    <w:rsid w:val="00A57B47"/>
    <w:rsid w:val="00A621C5"/>
    <w:rsid w:val="00A66047"/>
    <w:rsid w:val="00A701CB"/>
    <w:rsid w:val="00A72752"/>
    <w:rsid w:val="00A73138"/>
    <w:rsid w:val="00A73584"/>
    <w:rsid w:val="00A75293"/>
    <w:rsid w:val="00A770CF"/>
    <w:rsid w:val="00A80D79"/>
    <w:rsid w:val="00A81C75"/>
    <w:rsid w:val="00A86BDD"/>
    <w:rsid w:val="00A948B4"/>
    <w:rsid w:val="00A95351"/>
    <w:rsid w:val="00A97B02"/>
    <w:rsid w:val="00AA1BC4"/>
    <w:rsid w:val="00AA44D8"/>
    <w:rsid w:val="00AA4BC2"/>
    <w:rsid w:val="00AB53F1"/>
    <w:rsid w:val="00AB7504"/>
    <w:rsid w:val="00AB790E"/>
    <w:rsid w:val="00AC6EB9"/>
    <w:rsid w:val="00AD1BC2"/>
    <w:rsid w:val="00AD3507"/>
    <w:rsid w:val="00AD3952"/>
    <w:rsid w:val="00AD4069"/>
    <w:rsid w:val="00AE38F4"/>
    <w:rsid w:val="00AE4359"/>
    <w:rsid w:val="00AE60E7"/>
    <w:rsid w:val="00AF04A1"/>
    <w:rsid w:val="00AF521E"/>
    <w:rsid w:val="00B01918"/>
    <w:rsid w:val="00B05DEB"/>
    <w:rsid w:val="00B16E74"/>
    <w:rsid w:val="00B27508"/>
    <w:rsid w:val="00B437BC"/>
    <w:rsid w:val="00B43C82"/>
    <w:rsid w:val="00B60A62"/>
    <w:rsid w:val="00B60FBF"/>
    <w:rsid w:val="00B6134E"/>
    <w:rsid w:val="00B716F7"/>
    <w:rsid w:val="00B71EA6"/>
    <w:rsid w:val="00B74ACF"/>
    <w:rsid w:val="00B82E2D"/>
    <w:rsid w:val="00B85959"/>
    <w:rsid w:val="00B952BB"/>
    <w:rsid w:val="00B96CA1"/>
    <w:rsid w:val="00B97518"/>
    <w:rsid w:val="00BA0BA3"/>
    <w:rsid w:val="00BA53A6"/>
    <w:rsid w:val="00BA68C0"/>
    <w:rsid w:val="00BB0925"/>
    <w:rsid w:val="00BB1735"/>
    <w:rsid w:val="00BB47BE"/>
    <w:rsid w:val="00BC6EBA"/>
    <w:rsid w:val="00BE0DBA"/>
    <w:rsid w:val="00BE51B2"/>
    <w:rsid w:val="00BE616C"/>
    <w:rsid w:val="00BF3026"/>
    <w:rsid w:val="00BF5DC1"/>
    <w:rsid w:val="00C105C7"/>
    <w:rsid w:val="00C12F56"/>
    <w:rsid w:val="00C17783"/>
    <w:rsid w:val="00C23227"/>
    <w:rsid w:val="00C243A8"/>
    <w:rsid w:val="00C359B9"/>
    <w:rsid w:val="00C41CF5"/>
    <w:rsid w:val="00C44B7E"/>
    <w:rsid w:val="00C468E8"/>
    <w:rsid w:val="00C5309E"/>
    <w:rsid w:val="00C5331C"/>
    <w:rsid w:val="00C542AA"/>
    <w:rsid w:val="00C633C6"/>
    <w:rsid w:val="00C713E7"/>
    <w:rsid w:val="00C71C25"/>
    <w:rsid w:val="00C724D7"/>
    <w:rsid w:val="00C81D59"/>
    <w:rsid w:val="00C8218B"/>
    <w:rsid w:val="00C843EF"/>
    <w:rsid w:val="00C90D93"/>
    <w:rsid w:val="00C929B4"/>
    <w:rsid w:val="00CA5DCB"/>
    <w:rsid w:val="00CA7229"/>
    <w:rsid w:val="00CB1CBE"/>
    <w:rsid w:val="00CC0C93"/>
    <w:rsid w:val="00CD10F7"/>
    <w:rsid w:val="00CD14FA"/>
    <w:rsid w:val="00CD40E0"/>
    <w:rsid w:val="00CE7530"/>
    <w:rsid w:val="00CF04B5"/>
    <w:rsid w:val="00CF13F9"/>
    <w:rsid w:val="00CF3089"/>
    <w:rsid w:val="00CF411A"/>
    <w:rsid w:val="00CF70CF"/>
    <w:rsid w:val="00D027BF"/>
    <w:rsid w:val="00D067FC"/>
    <w:rsid w:val="00D0736E"/>
    <w:rsid w:val="00D0799D"/>
    <w:rsid w:val="00D102AD"/>
    <w:rsid w:val="00D1660F"/>
    <w:rsid w:val="00D16D1E"/>
    <w:rsid w:val="00D258AE"/>
    <w:rsid w:val="00D41E48"/>
    <w:rsid w:val="00D432B6"/>
    <w:rsid w:val="00D46453"/>
    <w:rsid w:val="00D503BB"/>
    <w:rsid w:val="00D52630"/>
    <w:rsid w:val="00D558BE"/>
    <w:rsid w:val="00D64D4C"/>
    <w:rsid w:val="00D6732D"/>
    <w:rsid w:val="00D67D76"/>
    <w:rsid w:val="00D75ED9"/>
    <w:rsid w:val="00D80409"/>
    <w:rsid w:val="00D83FDD"/>
    <w:rsid w:val="00D86B6C"/>
    <w:rsid w:val="00D87B13"/>
    <w:rsid w:val="00D9515E"/>
    <w:rsid w:val="00D96FE8"/>
    <w:rsid w:val="00DA0C44"/>
    <w:rsid w:val="00DA1C99"/>
    <w:rsid w:val="00DA2F93"/>
    <w:rsid w:val="00DA3BFC"/>
    <w:rsid w:val="00DA4565"/>
    <w:rsid w:val="00DA49A4"/>
    <w:rsid w:val="00DA4C17"/>
    <w:rsid w:val="00DB755E"/>
    <w:rsid w:val="00DC342E"/>
    <w:rsid w:val="00DC6D34"/>
    <w:rsid w:val="00DC7215"/>
    <w:rsid w:val="00DD2D14"/>
    <w:rsid w:val="00DD5462"/>
    <w:rsid w:val="00DD7F37"/>
    <w:rsid w:val="00DF0C89"/>
    <w:rsid w:val="00DF630F"/>
    <w:rsid w:val="00E00FB6"/>
    <w:rsid w:val="00E01515"/>
    <w:rsid w:val="00E02BC7"/>
    <w:rsid w:val="00E069F7"/>
    <w:rsid w:val="00E07F0D"/>
    <w:rsid w:val="00E10E15"/>
    <w:rsid w:val="00E14163"/>
    <w:rsid w:val="00E14EA4"/>
    <w:rsid w:val="00E2455D"/>
    <w:rsid w:val="00E24D6A"/>
    <w:rsid w:val="00E30C98"/>
    <w:rsid w:val="00E31A73"/>
    <w:rsid w:val="00E3408E"/>
    <w:rsid w:val="00E40B6C"/>
    <w:rsid w:val="00E42575"/>
    <w:rsid w:val="00E47537"/>
    <w:rsid w:val="00E60726"/>
    <w:rsid w:val="00E609A0"/>
    <w:rsid w:val="00E634D9"/>
    <w:rsid w:val="00E6356E"/>
    <w:rsid w:val="00E666C2"/>
    <w:rsid w:val="00E70EED"/>
    <w:rsid w:val="00E72257"/>
    <w:rsid w:val="00E874C1"/>
    <w:rsid w:val="00E92DC8"/>
    <w:rsid w:val="00E97C00"/>
    <w:rsid w:val="00EA62E9"/>
    <w:rsid w:val="00EB25C9"/>
    <w:rsid w:val="00EC0E51"/>
    <w:rsid w:val="00ED5270"/>
    <w:rsid w:val="00ED6845"/>
    <w:rsid w:val="00EE2735"/>
    <w:rsid w:val="00EE4D95"/>
    <w:rsid w:val="00EF14FC"/>
    <w:rsid w:val="00F0357E"/>
    <w:rsid w:val="00F13A78"/>
    <w:rsid w:val="00F17D16"/>
    <w:rsid w:val="00F24CA8"/>
    <w:rsid w:val="00F25DCC"/>
    <w:rsid w:val="00F27DB1"/>
    <w:rsid w:val="00F309FA"/>
    <w:rsid w:val="00F322D5"/>
    <w:rsid w:val="00F3421C"/>
    <w:rsid w:val="00F446D5"/>
    <w:rsid w:val="00F52665"/>
    <w:rsid w:val="00F5289C"/>
    <w:rsid w:val="00F548EB"/>
    <w:rsid w:val="00F676BF"/>
    <w:rsid w:val="00F70B45"/>
    <w:rsid w:val="00F70BAA"/>
    <w:rsid w:val="00F70EE0"/>
    <w:rsid w:val="00F7451D"/>
    <w:rsid w:val="00F81416"/>
    <w:rsid w:val="00F81AD4"/>
    <w:rsid w:val="00F8787F"/>
    <w:rsid w:val="00F965BA"/>
    <w:rsid w:val="00FA03CA"/>
    <w:rsid w:val="00FB14E8"/>
    <w:rsid w:val="00FB29BC"/>
    <w:rsid w:val="00FB3618"/>
    <w:rsid w:val="00FB783B"/>
    <w:rsid w:val="00FC6582"/>
    <w:rsid w:val="00FD2113"/>
    <w:rsid w:val="00FE4D92"/>
    <w:rsid w:val="00FF450A"/>
    <w:rsid w:val="00FF55DE"/>
    <w:rsid w:val="00FF5B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0A524"/>
  <w15:docId w15:val="{97572240-FA35-44E5-AF90-0151B91E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7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F24"/>
    <w:rPr>
      <w:sz w:val="20"/>
      <w:szCs w:val="20"/>
    </w:rPr>
  </w:style>
  <w:style w:type="character" w:styleId="FootnoteReference">
    <w:name w:val="footnote reference"/>
    <w:basedOn w:val="DefaultParagraphFont"/>
    <w:uiPriority w:val="99"/>
    <w:semiHidden/>
    <w:unhideWhenUsed/>
    <w:rsid w:val="00267F24"/>
    <w:rPr>
      <w:vertAlign w:val="superscript"/>
    </w:rPr>
  </w:style>
  <w:style w:type="character" w:styleId="CommentReference">
    <w:name w:val="annotation reference"/>
    <w:basedOn w:val="DefaultParagraphFont"/>
    <w:uiPriority w:val="99"/>
    <w:semiHidden/>
    <w:unhideWhenUsed/>
    <w:rsid w:val="00267F24"/>
    <w:rPr>
      <w:sz w:val="16"/>
      <w:szCs w:val="16"/>
    </w:rPr>
  </w:style>
  <w:style w:type="paragraph" w:styleId="CommentText">
    <w:name w:val="annotation text"/>
    <w:basedOn w:val="Normal"/>
    <w:link w:val="CommentTextChar"/>
    <w:uiPriority w:val="99"/>
    <w:semiHidden/>
    <w:unhideWhenUsed/>
    <w:rsid w:val="00267F24"/>
    <w:pPr>
      <w:spacing w:line="240" w:lineRule="auto"/>
    </w:pPr>
    <w:rPr>
      <w:sz w:val="20"/>
      <w:szCs w:val="20"/>
    </w:rPr>
  </w:style>
  <w:style w:type="character" w:customStyle="1" w:styleId="CommentTextChar">
    <w:name w:val="Comment Text Char"/>
    <w:basedOn w:val="DefaultParagraphFont"/>
    <w:link w:val="CommentText"/>
    <w:uiPriority w:val="99"/>
    <w:semiHidden/>
    <w:rsid w:val="00267F24"/>
    <w:rPr>
      <w:sz w:val="20"/>
      <w:szCs w:val="20"/>
    </w:rPr>
  </w:style>
  <w:style w:type="paragraph" w:styleId="ListParagraph">
    <w:name w:val="List Paragraph"/>
    <w:basedOn w:val="Normal"/>
    <w:uiPriority w:val="34"/>
    <w:qFormat/>
    <w:rsid w:val="00267F24"/>
    <w:pPr>
      <w:ind w:left="720"/>
      <w:contextualSpacing/>
    </w:pPr>
  </w:style>
  <w:style w:type="paragraph" w:styleId="BalloonText">
    <w:name w:val="Balloon Text"/>
    <w:basedOn w:val="Normal"/>
    <w:link w:val="BalloonTextChar"/>
    <w:uiPriority w:val="99"/>
    <w:semiHidden/>
    <w:unhideWhenUsed/>
    <w:rsid w:val="00267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F24"/>
    <w:rPr>
      <w:rFonts w:ascii="Segoe UI" w:hAnsi="Segoe UI" w:cs="Segoe UI"/>
      <w:sz w:val="18"/>
      <w:szCs w:val="18"/>
    </w:rPr>
  </w:style>
  <w:style w:type="table" w:customStyle="1" w:styleId="PlainTable21">
    <w:name w:val="Plain Table 21"/>
    <w:basedOn w:val="TableNormal"/>
    <w:uiPriority w:val="42"/>
    <w:rsid w:val="00267F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267F24"/>
    <w:rPr>
      <w:b/>
      <w:bCs/>
    </w:rPr>
  </w:style>
  <w:style w:type="character" w:customStyle="1" w:styleId="CommentSubjectChar">
    <w:name w:val="Comment Subject Char"/>
    <w:basedOn w:val="CommentTextChar"/>
    <w:link w:val="CommentSubject"/>
    <w:uiPriority w:val="99"/>
    <w:semiHidden/>
    <w:rsid w:val="00267F24"/>
    <w:rPr>
      <w:b/>
      <w:bCs/>
      <w:sz w:val="20"/>
      <w:szCs w:val="20"/>
    </w:rPr>
  </w:style>
  <w:style w:type="table" w:styleId="TableGrid">
    <w:name w:val="Table Grid"/>
    <w:basedOn w:val="TableNormal"/>
    <w:uiPriority w:val="39"/>
    <w:rsid w:val="0065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17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1735"/>
  </w:style>
  <w:style w:type="character" w:styleId="PageNumber">
    <w:name w:val="page number"/>
    <w:basedOn w:val="DefaultParagraphFont"/>
    <w:uiPriority w:val="99"/>
    <w:semiHidden/>
    <w:unhideWhenUsed/>
    <w:rsid w:val="00BB1735"/>
  </w:style>
  <w:style w:type="paragraph" w:styleId="Revision">
    <w:name w:val="Revision"/>
    <w:hidden/>
    <w:uiPriority w:val="99"/>
    <w:semiHidden/>
    <w:rsid w:val="00511DA4"/>
    <w:pPr>
      <w:spacing w:after="0" w:line="240" w:lineRule="auto"/>
    </w:pPr>
  </w:style>
  <w:style w:type="paragraph" w:styleId="Header">
    <w:name w:val="header"/>
    <w:basedOn w:val="Normal"/>
    <w:link w:val="HeaderChar"/>
    <w:uiPriority w:val="99"/>
    <w:unhideWhenUsed/>
    <w:rsid w:val="00511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7657">
      <w:bodyDiv w:val="1"/>
      <w:marLeft w:val="0"/>
      <w:marRight w:val="0"/>
      <w:marTop w:val="0"/>
      <w:marBottom w:val="0"/>
      <w:divBdr>
        <w:top w:val="none" w:sz="0" w:space="0" w:color="auto"/>
        <w:left w:val="none" w:sz="0" w:space="0" w:color="auto"/>
        <w:bottom w:val="none" w:sz="0" w:space="0" w:color="auto"/>
        <w:right w:val="none" w:sz="0" w:space="0" w:color="auto"/>
      </w:divBdr>
    </w:div>
    <w:div w:id="482235620">
      <w:bodyDiv w:val="1"/>
      <w:marLeft w:val="0"/>
      <w:marRight w:val="0"/>
      <w:marTop w:val="0"/>
      <w:marBottom w:val="0"/>
      <w:divBdr>
        <w:top w:val="none" w:sz="0" w:space="0" w:color="auto"/>
        <w:left w:val="none" w:sz="0" w:space="0" w:color="auto"/>
        <w:bottom w:val="none" w:sz="0" w:space="0" w:color="auto"/>
        <w:right w:val="none" w:sz="0" w:space="0" w:color="auto"/>
      </w:divBdr>
    </w:div>
    <w:div w:id="1350715995">
      <w:bodyDiv w:val="1"/>
      <w:marLeft w:val="0"/>
      <w:marRight w:val="0"/>
      <w:marTop w:val="0"/>
      <w:marBottom w:val="0"/>
      <w:divBdr>
        <w:top w:val="none" w:sz="0" w:space="0" w:color="auto"/>
        <w:left w:val="none" w:sz="0" w:space="0" w:color="auto"/>
        <w:bottom w:val="none" w:sz="0" w:space="0" w:color="auto"/>
        <w:right w:val="none" w:sz="0" w:space="0" w:color="auto"/>
      </w:divBdr>
    </w:div>
    <w:div w:id="1725526538">
      <w:bodyDiv w:val="1"/>
      <w:marLeft w:val="0"/>
      <w:marRight w:val="0"/>
      <w:marTop w:val="0"/>
      <w:marBottom w:val="0"/>
      <w:divBdr>
        <w:top w:val="none" w:sz="0" w:space="0" w:color="auto"/>
        <w:left w:val="none" w:sz="0" w:space="0" w:color="auto"/>
        <w:bottom w:val="none" w:sz="0" w:space="0" w:color="auto"/>
        <w:right w:val="none" w:sz="0" w:space="0" w:color="auto"/>
      </w:divBdr>
    </w:div>
    <w:div w:id="1813671733">
      <w:bodyDiv w:val="1"/>
      <w:marLeft w:val="0"/>
      <w:marRight w:val="0"/>
      <w:marTop w:val="0"/>
      <w:marBottom w:val="0"/>
      <w:divBdr>
        <w:top w:val="none" w:sz="0" w:space="0" w:color="auto"/>
        <w:left w:val="none" w:sz="0" w:space="0" w:color="auto"/>
        <w:bottom w:val="none" w:sz="0" w:space="0" w:color="auto"/>
        <w:right w:val="none" w:sz="0" w:space="0" w:color="auto"/>
      </w:divBdr>
    </w:div>
    <w:div w:id="1963002275">
      <w:bodyDiv w:val="1"/>
      <w:marLeft w:val="0"/>
      <w:marRight w:val="0"/>
      <w:marTop w:val="0"/>
      <w:marBottom w:val="0"/>
      <w:divBdr>
        <w:top w:val="none" w:sz="0" w:space="0" w:color="auto"/>
        <w:left w:val="none" w:sz="0" w:space="0" w:color="auto"/>
        <w:bottom w:val="none" w:sz="0" w:space="0" w:color="auto"/>
        <w:right w:val="none" w:sz="0" w:space="0" w:color="auto"/>
      </w:divBdr>
    </w:div>
    <w:div w:id="21276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C98B-E7F4-8742-A9CE-3D2BC5A2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8430</Words>
  <Characters>44259</Characters>
  <Application>Microsoft Office Word</Application>
  <DocSecurity>0</DocSecurity>
  <Lines>790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Nagy</dc:creator>
  <cp:keywords/>
  <dc:description/>
  <cp:lastModifiedBy>Peer reviewer</cp:lastModifiedBy>
  <cp:revision>3</cp:revision>
  <cp:lastPrinted>2017-09-25T23:54:00Z</cp:lastPrinted>
  <dcterms:created xsi:type="dcterms:W3CDTF">2019-03-10T06:47:00Z</dcterms:created>
  <dcterms:modified xsi:type="dcterms:W3CDTF">2019-03-10T06:48:00Z</dcterms:modified>
</cp:coreProperties>
</file>