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55C0" w14:textId="77777777" w:rsidR="00EE51DA" w:rsidRDefault="00EE51DA" w:rsidP="00EE51DA">
      <w:pPr>
        <w:pStyle w:val="Articletitle"/>
      </w:pPr>
      <w:r>
        <w:t>Project performance reporting in New South Wales local government</w:t>
      </w:r>
    </w:p>
    <w:p w14:paraId="18E96A90" w14:textId="77777777" w:rsidR="00EE51DA" w:rsidRPr="00296C5A" w:rsidRDefault="00EE51DA" w:rsidP="00EE51DA">
      <w:pPr>
        <w:pStyle w:val="Authornames"/>
        <w:rPr>
          <w:vertAlign w:val="superscript"/>
        </w:rPr>
      </w:pPr>
      <w:r>
        <w:t>A. J. Morris</w:t>
      </w:r>
      <w:r w:rsidR="00733DBD">
        <w:rPr>
          <w:vertAlign w:val="superscript"/>
        </w:rPr>
        <w:t>a</w:t>
      </w:r>
      <w:r>
        <w:t xml:space="preserve">*, S. J. </w:t>
      </w:r>
      <w:proofErr w:type="spellStart"/>
      <w:r>
        <w:t>Wilkinson</w:t>
      </w:r>
      <w:r w:rsidR="00296C5A">
        <w:rPr>
          <w:vertAlign w:val="superscript"/>
        </w:rPr>
        <w:t>a</w:t>
      </w:r>
      <w:proofErr w:type="spellEnd"/>
      <w:r>
        <w:t xml:space="preserve">, C. </w:t>
      </w:r>
      <w:proofErr w:type="spellStart"/>
      <w:r>
        <w:t>Algeo</w:t>
      </w:r>
      <w:r w:rsidR="00296C5A">
        <w:rPr>
          <w:vertAlign w:val="superscript"/>
        </w:rPr>
        <w:t>b</w:t>
      </w:r>
      <w:proofErr w:type="spellEnd"/>
      <w:r>
        <w:t xml:space="preserve"> and D. </w:t>
      </w:r>
      <w:proofErr w:type="spellStart"/>
      <w:r>
        <w:t>Candusso</w:t>
      </w:r>
      <w:r w:rsidR="00296C5A">
        <w:rPr>
          <w:vertAlign w:val="superscript"/>
        </w:rPr>
        <w:t>c</w:t>
      </w:r>
      <w:proofErr w:type="spellEnd"/>
    </w:p>
    <w:p w14:paraId="4DA9D88C" w14:textId="77777777" w:rsidR="00EE51DA" w:rsidRDefault="00296C5A" w:rsidP="00EE51DA">
      <w:pPr>
        <w:pStyle w:val="Affiliation"/>
      </w:pPr>
      <w:proofErr w:type="spellStart"/>
      <w:r>
        <w:rPr>
          <w:vertAlign w:val="superscript"/>
        </w:rPr>
        <w:t>a</w:t>
      </w:r>
      <w:r w:rsidR="00EE51DA">
        <w:t>Department</w:t>
      </w:r>
      <w:proofErr w:type="spellEnd"/>
      <w:r w:rsidR="00EE51DA">
        <w:t xml:space="preserve"> of Design, Architecture and Building, University of Technology Sydney, Australia, </w:t>
      </w:r>
      <w:proofErr w:type="spellStart"/>
      <w:r>
        <w:rPr>
          <w:vertAlign w:val="superscript"/>
        </w:rPr>
        <w:t>b</w:t>
      </w:r>
      <w:r w:rsidR="00AF0019">
        <w:t>Australian</w:t>
      </w:r>
      <w:proofErr w:type="spellEnd"/>
      <w:r w:rsidR="00AF0019">
        <w:t xml:space="preserve"> School of Accounting, Sydney,</w:t>
      </w:r>
      <w:r w:rsidR="00EE51DA">
        <w:t xml:space="preserve"> Australia; </w:t>
      </w:r>
      <w:proofErr w:type="spellStart"/>
      <w:r>
        <w:rPr>
          <w:vertAlign w:val="superscript"/>
        </w:rPr>
        <w:t>c</w:t>
      </w:r>
      <w:r w:rsidR="00EE51DA">
        <w:t>School</w:t>
      </w:r>
      <w:proofErr w:type="spellEnd"/>
      <w:r w:rsidR="00EE51DA">
        <w:t xml:space="preserve"> of Creative Practice, Queensland University of Technology, Brisbane, Australia</w:t>
      </w:r>
    </w:p>
    <w:p w14:paraId="07E56295" w14:textId="77777777" w:rsidR="00EE51DA" w:rsidRDefault="00834089" w:rsidP="00EE51DA">
      <w:pPr>
        <w:pStyle w:val="Correspondencedetails"/>
      </w:pPr>
      <w:r>
        <w:t>*austin.j.morris</w:t>
      </w:r>
      <w:r w:rsidR="00EE51DA">
        <w:t>@student.uts.edu.au</w:t>
      </w:r>
    </w:p>
    <w:p w14:paraId="06039AF1" w14:textId="77777777" w:rsidR="00EE51DA" w:rsidRDefault="00EE51DA">
      <w:pPr>
        <w:spacing w:after="160" w:line="259" w:lineRule="auto"/>
        <w:rPr>
          <w:rFonts w:ascii="Times New Roman" w:hAnsi="Times New Roman"/>
          <w:b/>
          <w:sz w:val="28"/>
          <w:szCs w:val="24"/>
          <w:lang w:eastAsia="en-GB"/>
        </w:rPr>
      </w:pPr>
      <w:r>
        <w:br w:type="page"/>
      </w:r>
    </w:p>
    <w:p w14:paraId="535BB47D" w14:textId="77777777" w:rsidR="00E351FC" w:rsidRPr="00F04707" w:rsidRDefault="00E351FC" w:rsidP="00E351FC">
      <w:pPr>
        <w:pStyle w:val="Articletitle"/>
      </w:pPr>
      <w:r w:rsidRPr="00F04707">
        <w:lastRenderedPageBreak/>
        <w:t>Project performance reporting in New South Wales local government</w:t>
      </w:r>
    </w:p>
    <w:p w14:paraId="00280E4F" w14:textId="77777777" w:rsidR="00E351FC" w:rsidRDefault="00E351FC" w:rsidP="00E351FC">
      <w:pPr>
        <w:pStyle w:val="Keywords"/>
        <w:ind w:left="709"/>
      </w:pPr>
      <w:r w:rsidRPr="00F04707">
        <w:rPr>
          <w:b/>
        </w:rPr>
        <w:t>Abstract:</w:t>
      </w:r>
      <w:r w:rsidRPr="00F04707">
        <w:rPr>
          <w:b/>
          <w:bCs/>
        </w:rPr>
        <w:t xml:space="preserve"> </w:t>
      </w:r>
      <w:r w:rsidRPr="00F04707">
        <w:t>Mandatory performance reporting for Australian councils focuses on financial data which is used to compare organisational performance.  Despite comprising a significant part of council expenditure, reporting on project performance is not regulated.  Using data available within council Annual Reports, this research compared the ways in which project performance is being measured, and a measure for project success was developed.  Project success was measured for each of the five Office of Local Government (OLG) New South Wales (NSW) categories.  This research highlights the inconsistencies in the way local government project performance is being reported and presents one measure of project success based on publicly available information</w:t>
      </w:r>
    </w:p>
    <w:p w14:paraId="1BB99995" w14:textId="77777777" w:rsidR="00E351FC" w:rsidRPr="0020415E" w:rsidRDefault="00E351FC" w:rsidP="00E351FC">
      <w:pPr>
        <w:pStyle w:val="Keywords"/>
        <w:ind w:left="709"/>
      </w:pPr>
      <w:r>
        <w:t xml:space="preserve">Keywords: </w:t>
      </w:r>
      <w:r w:rsidRPr="00F04707">
        <w:t>Performance reporting, projects, Australia, local government, public sector</w:t>
      </w:r>
    </w:p>
    <w:p w14:paraId="3A45BB67" w14:textId="77777777" w:rsidR="00E351FC" w:rsidRPr="00E351FC" w:rsidRDefault="00E351FC" w:rsidP="00EE51DA">
      <w:pPr>
        <w:pStyle w:val="HeadL1"/>
        <w:tabs>
          <w:tab w:val="clear" w:pos="360"/>
        </w:tabs>
        <w:spacing w:line="276" w:lineRule="auto"/>
        <w:ind w:left="0" w:firstLine="0"/>
        <w:rPr>
          <w:rFonts w:cs="Arial"/>
          <w:bCs/>
          <w:kern w:val="32"/>
          <w:sz w:val="24"/>
          <w:szCs w:val="32"/>
          <w:lang w:eastAsia="en-GB"/>
        </w:rPr>
      </w:pPr>
      <w:r w:rsidRPr="00E351FC">
        <w:rPr>
          <w:rFonts w:cs="Arial"/>
          <w:bCs/>
          <w:kern w:val="32"/>
          <w:sz w:val="24"/>
          <w:szCs w:val="32"/>
          <w:lang w:eastAsia="en-GB"/>
        </w:rPr>
        <w:t>1</w:t>
      </w:r>
      <w:r w:rsidR="00EE51DA">
        <w:rPr>
          <w:rFonts w:cs="Arial"/>
          <w:bCs/>
          <w:kern w:val="32"/>
          <w:sz w:val="24"/>
          <w:szCs w:val="32"/>
          <w:lang w:eastAsia="en-GB"/>
        </w:rPr>
        <w:t xml:space="preserve"> </w:t>
      </w:r>
      <w:r w:rsidRPr="00E351FC">
        <w:rPr>
          <w:rFonts w:cs="Arial"/>
          <w:bCs/>
          <w:kern w:val="32"/>
          <w:sz w:val="24"/>
          <w:szCs w:val="32"/>
          <w:lang w:eastAsia="en-GB"/>
        </w:rPr>
        <w:t>Introduction</w:t>
      </w:r>
    </w:p>
    <w:p w14:paraId="3B8171D4" w14:textId="38858DB7" w:rsidR="00E351FC" w:rsidRDefault="00E351FC" w:rsidP="00477A2F">
      <w:pPr>
        <w:tabs>
          <w:tab w:val="left" w:pos="284"/>
        </w:tabs>
        <w:spacing w:line="276" w:lineRule="auto"/>
        <w:ind w:right="-738"/>
        <w:contextualSpacing/>
        <w:jc w:val="both"/>
        <w:rPr>
          <w:rFonts w:ascii="Times New Roman" w:hAnsi="Times New Roman"/>
          <w:szCs w:val="24"/>
          <w:lang w:eastAsia="en-GB"/>
        </w:rPr>
      </w:pPr>
      <w:r w:rsidRPr="00E351FC">
        <w:rPr>
          <w:rFonts w:ascii="Times New Roman" w:hAnsi="Times New Roman"/>
          <w:szCs w:val="24"/>
          <w:lang w:eastAsia="en-GB"/>
        </w:rPr>
        <w:t xml:space="preserve">Local government in New South Wales (NSW) Australia is responsible for the delivery of a variety of projects, often with variable success measures. The performance of local government projects has the ability to influence organisational outcomes either positively or </w:t>
      </w:r>
      <w:proofErr w:type="gramStart"/>
      <w:r w:rsidRPr="00E351FC">
        <w:rPr>
          <w:rFonts w:ascii="Times New Roman" w:hAnsi="Times New Roman"/>
          <w:szCs w:val="24"/>
          <w:lang w:eastAsia="en-GB"/>
        </w:rPr>
        <w:t>negatively</w:t>
      </w:r>
      <w:proofErr w:type="gramEnd"/>
      <w:r w:rsidRPr="00E351FC">
        <w:rPr>
          <w:rFonts w:ascii="Times New Roman" w:hAnsi="Times New Roman"/>
          <w:szCs w:val="24"/>
          <w:lang w:eastAsia="en-GB"/>
        </w:rPr>
        <w:t xml:space="preserve"> yet project success reporting </w:t>
      </w:r>
      <w:r w:rsidR="00A3707D">
        <w:rPr>
          <w:rFonts w:ascii="Times New Roman" w:hAnsi="Times New Roman"/>
          <w:szCs w:val="24"/>
          <w:lang w:eastAsia="en-GB"/>
        </w:rPr>
        <w:t xml:space="preserve">is not mandated or consistent. </w:t>
      </w:r>
      <w:r w:rsidR="001D4401">
        <w:rPr>
          <w:rFonts w:ascii="Times New Roman" w:hAnsi="Times New Roman"/>
          <w:szCs w:val="24"/>
          <w:lang w:eastAsia="en-GB"/>
        </w:rPr>
        <w:t>However, l</w:t>
      </w:r>
      <w:r w:rsidR="006E5D7D">
        <w:rPr>
          <w:rFonts w:ascii="Times New Roman" w:hAnsi="Times New Roman"/>
          <w:szCs w:val="24"/>
          <w:lang w:eastAsia="en-GB"/>
        </w:rPr>
        <w:t xml:space="preserve">ocal government performance reporting tends to focus on financial measures and the usefulness of performance reporting can be limited </w:t>
      </w:r>
      <w:r w:rsidR="006E5D7D">
        <w:rPr>
          <w:rFonts w:ascii="Times New Roman" w:hAnsi="Times New Roman"/>
          <w:szCs w:val="24"/>
          <w:lang w:eastAsia="en-GB"/>
        </w:rPr>
        <w:fldChar w:fldCharType="begin" w:fldLock="1"/>
      </w:r>
      <w:r w:rsidR="006E5D7D">
        <w:rPr>
          <w:rFonts w:ascii="Times New Roman" w:hAnsi="Times New Roman"/>
          <w:szCs w:val="24"/>
          <w:lang w:eastAsia="en-GB"/>
        </w:rPr>
        <w:instrText>ADDIN CSL_CITATION {"citationItems":[{"id":"ITEM-1","itemData":{"DOI":"10.1111/j.1540-6210.2007.00864.x","ISSN":"00333352","abstract":"Many local governments measure and report their performance, but the record of these governments in actually using performance measures to improve services is more modest. The authors of this study examine patterns of performance measurement use among a set of North Carolina cities and conclude that the types of measures on which officials rely, the willingness of officials to embrace comparison, and the degree to which measures are incorporated into key management systems distinguish cities that are more likely to use performance measures for service improvement from those less likely to do so. © 2008 The American Society for Public Administration.","author":[{"dropping-particle":"","family":"Ammons","given":"David N.","non-dropping-particle":"","parse-names":false,"suffix":""},{"dropping-particle":"","family":"Rivenbark","given":"William C.","non-dropping-particle":"","parse-names":false,"suffix":""}],"container-title":"Public Administration Review","id":"ITEM-1","issue":"2","issued":{"date-parts":[["2008"]]},"page":"304-318","title":"Factors influencing the use of performance data to improve municipal services: Evidence from the North Carolina benchmarking project","type":"article-journal","volume":"68"},"uris":["http://www.mendeley.com/documents/?uuid=1f8c50ea-3bad-44f9-81a6-ef80d55be1c2"]}],"mendeley":{"formattedCitation":"(Ammons &amp; Rivenbark 2008)","plainTextFormattedCitation":"(Ammons &amp; Rivenbark 2008)"},"properties":{"noteIndex":0},"schema":"https://github.com/citation-style-language/schema/raw/master/csl-citation.json"}</w:instrText>
      </w:r>
      <w:r w:rsidR="006E5D7D">
        <w:rPr>
          <w:rFonts w:ascii="Times New Roman" w:hAnsi="Times New Roman"/>
          <w:szCs w:val="24"/>
          <w:lang w:eastAsia="en-GB"/>
        </w:rPr>
        <w:fldChar w:fldCharType="separate"/>
      </w:r>
      <w:r w:rsidR="006E5D7D" w:rsidRPr="006E5D7D">
        <w:rPr>
          <w:rFonts w:ascii="Times New Roman" w:hAnsi="Times New Roman"/>
          <w:noProof/>
          <w:szCs w:val="24"/>
          <w:lang w:eastAsia="en-GB"/>
        </w:rPr>
        <w:t>(Ammons &amp; Rivenbark 2008)</w:t>
      </w:r>
      <w:r w:rsidR="006E5D7D">
        <w:rPr>
          <w:rFonts w:ascii="Times New Roman" w:hAnsi="Times New Roman"/>
          <w:szCs w:val="24"/>
          <w:lang w:eastAsia="en-GB"/>
        </w:rPr>
        <w:fldChar w:fldCharType="end"/>
      </w:r>
      <w:r w:rsidR="006E5D7D">
        <w:rPr>
          <w:rFonts w:ascii="Times New Roman" w:hAnsi="Times New Roman"/>
          <w:szCs w:val="24"/>
          <w:lang w:eastAsia="en-GB"/>
        </w:rPr>
        <w:t xml:space="preserve">. </w:t>
      </w:r>
      <w:r w:rsidRPr="00E351FC">
        <w:rPr>
          <w:rFonts w:ascii="Times New Roman" w:hAnsi="Times New Roman"/>
          <w:szCs w:val="24"/>
          <w:lang w:eastAsia="en-GB"/>
        </w:rPr>
        <w:t xml:space="preserve">Project management literature commonly defines project success as completion within the constraints of time, cost, and quality and is also known as the ‘Iron Triangle’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{"citationItems":[{"id":"ITEM-1","itemData":{"DOI":"10.1016/j.ijproman.2015.04.004","ISBN":"0263-7863","ISSN":"02637863","PMID":"1702861903","abstract":"This study aims to investigate the effects of project management (PM) on project success under the parameters of scheduling, cost, and margins. We adopt a contingency approach that evaluates the complexity of the project, according to 4 categories, the effect of industry sector and countries. The methodological approach involved a longitudinal field survey in 3 countries (Argentina, Brazil, and Chile) with business units from 10 different industries over a 3-year period, and data from a total of 1387 projects were analyzed. Structural equation modeling was used to test the research hypotheses. The results show a significant and positive relationship between the response variable schedule with PM enablers and project management efforts in training and capabilities development. Project complexity has a significant effect on 2 aspects of project success: margin and schedule. Both cross-country and cross-industry analyses show a significant explanatory effect.","author":[{"dropping-particle":"","family":"Carvalho","given":"Marly Monteiro","non-dropping-particle":"de","parse-names":false,"suffix":""},{"dropping-particle":"","family":"Patah","given":"Leandro Alves","non-dropping-particle":"","parse-names":false,"suffix":""},{"dropping-particle":"","family":"Souza Bido","given":"Diógenes","non-dropping-particle":"de","parse-names":false,"suffix":""}],"container-title":"International Journal of Project Management","id":"ITEM-1","issue":"7","issued":{"date-parts":[["2015"]]},"page":"1509-1522","publisher":"Elsevier Ltd and International Project Management Association","title":"Project management and its effects on project success: Cross-country and cross-industry comparisons","type":"article-journal","volume":"33"},"uris":["http://www.mendeley.com/documents/?uuid=d397420b-3e6d-47ce-a543-b6a7e87aec24"]}],"mendeley":{"formattedCitation":"(de Carvalho, Patah &amp; de Souza Bido 2015)","manualFormatting":"(de Carvalho et al., 2015","plainTextFormattedCitation":"(de Carvalho, Patah &amp; de Souza Bido 2015)","previouslyFormattedCitation":"(de Carvalho, Patah &amp; de Souza Bido 2015)"},"properties":{"noteIndex":0},"schema":"https://github.com/citation-style-language/schema/raw/master/csl-citation.json"}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(de Carvalho et al., 2015</w:t>
      </w:r>
      <w:r w:rsidRPr="00E351FC">
        <w:rPr>
          <w:rFonts w:ascii="Times New Roman" w:hAnsi="Times New Roman"/>
          <w:szCs w:val="24"/>
          <w:lang w:eastAsia="en-GB"/>
        </w:rPr>
        <w:fldChar w:fldCharType="end"/>
      </w:r>
      <w:r w:rsidR="00A3707D">
        <w:rPr>
          <w:rFonts w:ascii="Times New Roman" w:hAnsi="Times New Roman"/>
          <w:szCs w:val="24"/>
          <w:lang w:eastAsia="en-GB"/>
        </w:rPr>
        <w:t xml:space="preserve">). </w:t>
      </w:r>
      <w:r w:rsidRPr="00E351FC">
        <w:rPr>
          <w:rFonts w:ascii="Times New Roman" w:hAnsi="Times New Roman"/>
          <w:szCs w:val="24"/>
          <w:lang w:eastAsia="en-GB"/>
        </w:rPr>
        <w:t>The Iron Triangle primarily measures the project management succe</w:t>
      </w:r>
      <w:r w:rsidR="00A3707D">
        <w:rPr>
          <w:rFonts w:ascii="Times New Roman" w:hAnsi="Times New Roman"/>
          <w:szCs w:val="24"/>
          <w:lang w:eastAsia="en-GB"/>
        </w:rPr>
        <w:t xml:space="preserve">ss at completion of a project. </w:t>
      </w:r>
      <w:r w:rsidRPr="00E351FC">
        <w:rPr>
          <w:rFonts w:ascii="Times New Roman" w:hAnsi="Times New Roman"/>
          <w:szCs w:val="24"/>
          <w:lang w:eastAsia="en-GB"/>
        </w:rPr>
        <w:t xml:space="preserve">First developed by Barnes in the 1970s the Iron Triangle sought to improve collaboration between production engineers, engineers responsible for cost, and the organisation’s management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{"citationItems":[{"id":"ITEM-1","itemData":{"DOI":"10.1108/IJMPB-01-2017-0004","ISBN":"1020130059","ISSN":"1753-8378","abstract":"Purpose – Barnes’ Iron Triangle was one of the first attempts to evaluate project success based on time, cost and performance, which were portrayed as interdependent dimensions. Over time, these criteria were expanded and especially criteria taking the satisfaction of stakeholder groups into account are becoming more and more popular. The purpose of this paper is to find out whether specific patterns for the selection of project success criteria across various fields of applications emerged which has not been regarded in literature before. Furthermore, the authors seek to identify of additional key factors influencing project success assessment next to the choice of project success criteria. Design/methodology/approach – The paper uses a review of recent literature published in academic journals, in standard references and in widespread project management frameworks (Organisational Competence Baseline, PRINCE2 and PMBoK Guide). Findings – The findings show that Barnes’ ideas are an integral part of all approaches investigated in the study. Additionally, the relevance of the so-called “soft criteria” related to the satisfaction of stakeholder groups, could be substantiated. However, the authors found no indications that patterns for the selection of project success criteria have emerged across various fields of applications. Factors influencing project success assessment are not taken into account in the examined articles in a systematic manner. This motivates for further research in this field. Research limitations/implications – Access limitations, papers not yet digitally available or the interpretations have an impact on the results. Practical implications – For appropriate project assessment the sound and well-rounded selection of hard and soft criteria and the consideration that not the field of application, but influencing factors yet to be analysed influence the selection of project success criteria are crucial. Project management professionals should choose the criteria suitable for their projects individually on a project-by-project basis. Originality/value – This paper reveals that no patterns have so far been developed to assess project success in various fields of application. Furthermore, factors influencing project success assessment are not considered in a systematic manner.","author":[{"dropping-particle":"","family":"Albert","given":"Matthias","non-dropping-particle":"","parse-names":false,"suffix":""},{"dropping-particle":"","family":"Balve","given":"Patrick","non-dropping-particle":"","parse-names":false,"suffix":""},{"dropping-particle":"","family":"Spang","given":"Konrad","non-dropping-particle":"","parse-names":false,"suffix":""}],"container-title":"International Journal of Managing Projects in Business","id":"ITEM-1","issue":"4","issued":{"date-parts":[["2017"]]},"page":"796-821","title":"Evaluation of project success: a structured literature review","type":"article-journal","volume":"10"},"uris":["http://www.mendeley.com/documents/?uuid=6f19b365-ecda-4e9b-aa32-bb0f2862330d"]}],"mendeley":{"formattedCitation":"(Albert, Balve &amp; Spang 2017)","manualFormatting":"(Albert et al., 2017)","plainTextFormattedCitation":"(Albert, Balve &amp; Spang 2017)","previouslyFormattedCitation":"(Albert, Balve &amp; Spang 2017)"},"properties":{"noteIndex":0},"schema":"https://github.com/citation-style-language/schema/raw/master/csl-citation.json"}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(Albert et al., 2017)</w:t>
      </w:r>
      <w:r w:rsidRPr="00E351FC">
        <w:rPr>
          <w:rFonts w:ascii="Times New Roman" w:hAnsi="Times New Roman"/>
          <w:szCs w:val="24"/>
          <w:lang w:eastAsia="en-GB"/>
        </w:rPr>
        <w:fldChar w:fldCharType="end"/>
      </w:r>
      <w:r w:rsidR="00A3707D">
        <w:rPr>
          <w:rFonts w:ascii="Times New Roman" w:hAnsi="Times New Roman"/>
          <w:szCs w:val="24"/>
          <w:lang w:eastAsia="en-GB"/>
        </w:rPr>
        <w:t xml:space="preserve">. </w:t>
      </w:r>
      <w:r w:rsidRPr="00E351FC">
        <w:rPr>
          <w:rFonts w:ascii="Times New Roman" w:hAnsi="Times New Roman"/>
          <w:szCs w:val="24"/>
          <w:lang w:eastAsia="en-GB"/>
        </w:rPr>
        <w:t xml:space="preserve">However meeting the time, cost and quality constraints of project management does not always underpin a successful </w:t>
      </w:r>
      <w:r w:rsidRPr="00E351FC">
        <w:rPr>
          <w:rFonts w:ascii="Times New Roman" w:hAnsi="Times New Roman"/>
          <w:szCs w:val="24"/>
          <w:lang w:eastAsia="en-GB"/>
        </w:rPr>
        <w:lastRenderedPageBreak/>
        <w:t>project</w:t>
      </w:r>
      <w:r w:rsidRPr="00E351FC" w:rsidDel="003978B1">
        <w:rPr>
          <w:rFonts w:ascii="Times New Roman" w:hAnsi="Times New Roman"/>
          <w:szCs w:val="24"/>
          <w:lang w:eastAsia="en-GB"/>
        </w:rPr>
        <w:t xml:space="preserve"> </w:t>
      </w:r>
      <w:r w:rsidRPr="00E351FC">
        <w:rPr>
          <w:rFonts w:ascii="Times New Roman" w:hAnsi="Times New Roman"/>
          <w:szCs w:val="24"/>
          <w:lang w:eastAsia="en-GB"/>
        </w:rPr>
        <w:t>(</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ijproman.2015.03.005","ISSN":"02637863","author":[{"dropping-particle":"","family":"Joslin","given":"Robert","non-dropping-particle":"","parse-names":false,"suffix":""},{"dropping-particle":"","family":"Müller","given":"Ralf","non-dropping-particle":"","parse-names":false,"suffix":""}],"container-title":"International Journal of Project Management","id":"ITEM-1","issue":"6","issued":{"date-parts":[["2015"]]},"page":"1377-1392","publisher":"Elsevier Ltd and IPMA","title":"Relationships between a project management methodology and project success in different project governance contexts","type":"article-journal","volume":"33"},"uris":["http://www.mendeley.com/documents/?uuid=9da46d9a-17d5-49b7-89e0-7fc5cb139212"]}],"mendeley":{"formattedCitation":"(Joslin &amp; Müller 2015)","manualFormatting":"Joslin and Müller, 2015;","plainTextFormattedCitation":"(Joslin &amp; Müller 2015)","previouslyFormattedCitation":"(Joslin &amp; Müller 2015)"},"properties":{"noteIndex":0},"schema":"https://github.com/citation-style-language/schema/raw/master/csl-citation.json"}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Joslin and Müller, 2015;</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{"citationItems":[{"id":"ITEM-1","itemData":{"DOI":"10.1016/j.ijproman.2017.07.007","ISBN":"0263-7863","ISSN":"02637863","abstract":"There is growing pressure on project managers to demonstrate the value of their projects to the funding organization. However, most projects lack a robust process for realizing such strategic value. While the literature recognizes the importance of project governance for enabling benefits realization, this research area lacks empirical evidence. Accordingly, this paper analyzes the relationships between effective project governance, benefit management, and project success. A scale for evaluating effective project governance was developed and validated based on feedback from 21 project governance experts. Subsequently, an international survey of 333 projects was used to test proposed relationships. The results indicate effective project governance improves project success both directly and through an enhanced benefit management process. Additionally, the most effective project governance and benefit management practices for improving project success are identified, such as the development and monitoring of a high quality project business case. The resulting model sets the foundations for a theory that explains how effective project governance enhances project success and enables the realization of strategic objectives through projects.","author":[{"dropping-particle":"","family":"Musawir","given":"Ata ul","non-dropping-particle":"","parse-names":false,"suffix":""},{"dropping-particle":"","family":"Serra","given":"Carlos Eduardo Martins","non-dropping-particle":"","parse-names":false,"suffix":""},{"dropping-particle":"","family":"Zwikael","given":"Ofer","non-dropping-particle":"","parse-names":false,"suffix":""},{"dropping-particle":"","family":"Ali","given":"Imran","non-dropping-particle":"","parse-names":false,"suffix":""}],"container-title":"International Journal of Project Management","id":"ITEM-1","issue":"8","issued":{"date-parts":[["2017"]]},"page":"1658-1672","publisher":"Elsevier Ltd, APM and IPMA","title":"Project governance, benefit management, and project success: Towards a framework for supporting organizational strategy implementation","type":"article-journal","volume":"35"},"uris":["http://www.mendeley.com/documents/?uuid=652b61f2-2949-4a96-bb8e-4ca57707c8fa"]}],"mendeley":{"formattedCitation":"(Musawir et al. 2017)","manualFormatting":"Musawir et al., 2017","plainTextFormattedCitation":"(Musawir et al. 2017)","previouslyFormattedCitation":"(Musawir et al. 2017)"},"properties":{"noteIndex":0},"schema":"https://github.com/citation-style-language/schema/raw/master/csl-citation.json"}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Musawir et al., 2017</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{"citationItems":[{"id":"ITEM-1","itemData":{"DOI":"10.1016/j.proeng.2017.08.032","ISBN":"3614634221","ISSN":"18777058","abstract":"The project management profession in the broader sense is mostly satisfied with the usual, widely used success criteria and factors, which are actually useful in themselves; they express the essence of the project's aspirations and are easy to use, and their fulfillment really correlates with success according to the relevant literature. It is understandable that certain players, for example contractors, almost exclusively concentrate on these, but still, the prediction and interpretation of success is a more complex problem. Researchers and experts have long been trying to answer the most important questions relating to the success and failure of projects. Their approaches differ fundamentally; therefore, the possibility of a consensus is a continuous quest. Everyone suggests different solutions and names different factors and criteria to define success. In what direction and how much the range of criteria and factors have to be integrated raises further questions, effectively making research endless and limitless. This summary concentrates on a smaller section of the whole research on success; the prediction and definition of success can only be done well with a well thought-out, customized set of tools adapted to the given project. This article gives a survey on ideas, principles, attempts and results based on a deep literature research to help the reader get better immersed in this topic and perhaps develop a new, unique view of success by understanding this review.","author":[{"dropping-particle":"","family":"Sebestyen","given":"Zoltan","non-dropping-particle":"","parse-names":false,"suffix":""}],"container-title":"Procedia Engineering","id":"ITEM-1","issue":"June","issued":{"date-parts":[["2017"]]},"page":"571-577","publisher":"Elsevier B.V.","title":"Further considerations in project success","type":"article-journal","volume":"196"},"uris":["http://www.mendeley.com/documents/?uuid=1ae4e306-7f93-464d-b6f2-bb6f14aa058b"]}],"mendeley":{"formattedCitation":"(Sebestyen 2017)","manualFormatting":"Sebestyen, 2017)","plainTextFormattedCitation":"(Sebestyen 2017)","previouslyFormattedCitation":"(Sebestyen 2017)"},"properties":{"noteIndex":0},"schema":"https://github.com/citation-style-language/schema/raw/master/csl-citation.json"}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Sebestyen, 2017)</w:t>
      </w:r>
      <w:r w:rsidRPr="00E351FC">
        <w:rPr>
          <w:rFonts w:ascii="Times New Roman" w:hAnsi="Times New Roman"/>
          <w:szCs w:val="24"/>
          <w:lang w:eastAsia="en-GB"/>
        </w:rPr>
        <w:fldChar w:fldCharType="end"/>
      </w:r>
      <w:r w:rsidR="00A3707D">
        <w:rPr>
          <w:rFonts w:ascii="Times New Roman" w:hAnsi="Times New Roman"/>
          <w:szCs w:val="24"/>
          <w:lang w:eastAsia="en-GB"/>
        </w:rPr>
        <w:t xml:space="preserve">. </w:t>
      </w:r>
      <w:r w:rsidRPr="00E351FC">
        <w:rPr>
          <w:rFonts w:ascii="Times New Roman" w:hAnsi="Times New Roman"/>
          <w:szCs w:val="24"/>
          <w:lang w:eastAsia="en-GB"/>
        </w:rPr>
        <w:t xml:space="preserve">For this research project management literature relating to measuring project success was reviewed.  In </w:t>
      </w:r>
      <w:r w:rsidR="00834089">
        <w:rPr>
          <w:rFonts w:ascii="Times New Roman" w:hAnsi="Times New Roman"/>
          <w:szCs w:val="24"/>
          <w:lang w:eastAsia="en-GB"/>
        </w:rPr>
        <w:t>total</w:t>
      </w:r>
      <w:r w:rsidRPr="00E351FC">
        <w:rPr>
          <w:rFonts w:ascii="Times New Roman" w:hAnsi="Times New Roman"/>
          <w:szCs w:val="24"/>
          <w:lang w:eastAsia="en-GB"/>
        </w:rPr>
        <w:t xml:space="preserve"> 39 journal articles specifically related to measuring project success ranging from</w:t>
      </w:r>
      <w:r w:rsidR="00A3707D">
        <w:rPr>
          <w:rFonts w:ascii="Times New Roman" w:hAnsi="Times New Roman"/>
          <w:szCs w:val="24"/>
          <w:lang w:eastAsia="en-GB"/>
        </w:rPr>
        <w:t xml:space="preserve"> 1998 to 2020 were considered. </w:t>
      </w:r>
      <w:r w:rsidRPr="00E351FC">
        <w:rPr>
          <w:rFonts w:ascii="Times New Roman" w:hAnsi="Times New Roman"/>
          <w:szCs w:val="24"/>
          <w:lang w:eastAsia="en-GB"/>
        </w:rPr>
        <w:t xml:space="preserve">The review showed that the most prevalent success measures used the Iron Triangle and a component of stakeholder/customer satisfaction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{"citationItems":[{"id":"ITEM-1","itemData":{"DOI":"10.1016/j.ijproman.2014.07.002","ISSN":"02637863","abstract":"This research aims to analyze the relation between project management maturity and the project success. Moreover, the moderating effect of top management support and the assignment of a dedicated project manager were analyzed. The methodological research approach was a survey of 336 professionals in the field of project management conducted in Brazilian organizations. The results show that project management maturity is significantly related to all vertices of the iron triangle (time, cost and technical performance) dimensions of success. However, it is not related to the customer satisfaction dimension. The two moderate variables, top management support and dedicated project manager, have significant impact on the time success dimension but not on customer satisfaction. It suggests focus on efficiency aspects rather than effectiveness aspects.","author":[{"dropping-particle":"","family":"Berssaneti","given":"Fernando Tobal","non-dropping-particle":"","parse-names":false,"suffix":""},{"dropping-particle":"","family":"Carvalho","given":"Marly Monteiro","non-dropping-particle":"","parse-names":false,"suffix":""}],"container-title":"International Journal of Project Management","id":"ITEM-1","issue":"3","issued":{"date-parts":[["2015"]]},"page":"638-649","publisher":"Elsevier Ltd and International Project Management Association","title":"Identification of variables that impact project success in Brazilian companies","type":"article-journal","volume":"33"},"uris":["http://www.mendeley.com/documents/?uuid=117b2e1a-e927-4fae-a967-2cd75d2cce0d"]}],"mendeley":{"formattedCitation":"(Berssaneti &amp; Carvalho 2015)","manualFormatting":"(Berssaneti and Carvalho, 2015; ","plainTextFormattedCitation":"(Berssaneti &amp; Carvalho 2015)","previouslyFormattedCitation":"(Berssaneti &amp; Carvalho 2015)"},"properties":{"noteIndex":0},"schema":"https://github.com/citation-style-language/schema/raw/master/csl-citation.json"}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 xml:space="preserve">(Berssaneti and Carvalho, 2015; </w:t>
      </w:r>
      <w:r w:rsidRPr="00E351FC">
        <w:rPr>
          <w:rFonts w:ascii="Times New Roman" w:hAnsi="Times New Roman"/>
          <w:szCs w:val="24"/>
          <w:lang w:eastAsia="en-GB"/>
        </w:rPr>
        <w:fldChar w:fldCharType="end"/>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ISBN":"9780998133133","author":[{"dropping-particle":"","family":"Hassani-alaoui","given":"Salma","non-dropping-particle":"","parse-names":false,"suffix":""},{"dropping-particle":"","family":"Cameron","given":"Ann-frances","non-dropping-particle":"","parse-names":false,"suffix":""},{"dropping-particle":"","family":"Giannelia","given":"Tanya","non-dropping-particle":"","parse-names":false,"suffix":""}],"container-title":"53rd Hawaii International Conference on System Sciences","id":"ITEM-1","issued":{"date-parts":[["2020"]]},"page":"6257-6266","title":"“We use scrum, but …”: Agile modifications and project success","type":"paper-conference"},"uris":["http://www.mendeley.com/documents/?uuid=943cf9ca-03a4-4092-ac5f-39c76651a02a"]}],"mendeley":{"formattedCitation":"(Hassani-alaoui, Cameron &amp; Giannelia 2020)","manualFormatting":"Hassani-alaoui et al., 2020)","plainTextFormattedCitation":"(Hassani-alaoui, Cameron &amp; Giannelia 2020)","previouslyFormattedCitation":"(Hassani-alaoui, Cameron &amp; Giannelia 2020)"},"properties":{"noteIndex":0},"schema":"https://github.com/citation-style-language/schema/raw/master/csl-citation.json"}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Hassani-alaoui et al., 2020)</w:t>
      </w:r>
      <w:r w:rsidRPr="00E351FC">
        <w:rPr>
          <w:rFonts w:ascii="Times New Roman" w:hAnsi="Times New Roman"/>
          <w:szCs w:val="24"/>
          <w:lang w:eastAsia="en-GB"/>
        </w:rPr>
        <w:fldChar w:fldCharType="end"/>
      </w:r>
      <w:r w:rsidR="00A3707D">
        <w:rPr>
          <w:rFonts w:ascii="Times New Roman" w:hAnsi="Times New Roman"/>
          <w:szCs w:val="24"/>
          <w:lang w:eastAsia="en-GB"/>
        </w:rPr>
        <w:t xml:space="preserve">. </w:t>
      </w:r>
      <w:r w:rsidRPr="00E351FC">
        <w:rPr>
          <w:rFonts w:ascii="Times New Roman" w:hAnsi="Times New Roman"/>
          <w:szCs w:val="24"/>
          <w:lang w:eastAsia="en-GB"/>
        </w:rPr>
        <w:t xml:space="preserve">Incorporating both of these measures means the project is judged against internal and external outcomes during and on completion of the project rather than any single measurement which may be influenced by factors outside the project manager’s control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{"citationItems":[{"id":"ITEM-1","itemData":{"DOI":"10.1002/pmj","ISBN":"1111111111","ISSN":"87569728","abstract":"A project team's performance is both directly influenced by the project manager's control techniques and overtly shaped by a variety of contextual factors, including organizational dynamics and industry regulations. This article examines the nature of-and the relationship between-project portfolio control techniques and portfolio management performance, looking at how this relationship is determined by the situational idiosyncrasies of internal and external dynamics-such as industry, governance, and geography-and from these, developing a model for controlling project portfolios. In doing so, it defines the concept of a project portfolio and overviews the literature on four lines of research involving project portfolio management, proposing five hypotheses that the authors' used to structure their Web-based survey of 136 international high-performing portfolio professionals, a survey investigating portfolio management best practices. It also describes the survey's participants, selected topics, and context variables. It then analyzes the survey findings in relation to the research hypotheses, evaluating the significant differences among portfolio control factors and performance factors, such as reporting, selection, and achieving purpose. It outlines the proposed model, a framework for managing project portfolios that is informed by the survey results. PUBLICATION ABSTRACT","author":[{"dropping-particle":"","family":"Ika","given":"Lavagnon A.","non-dropping-particle":"","parse-names":false,"suffix":""}],"container-title":"Project Management Journal","id":"ITEM-1","issue":"4","issued":{"date-parts":[["2009"]]},"page":"6-19","title":"Project success as a topic in project management journals","type":"article-journal","volume":"40"},"uris":["http://www.mendeley.com/documents/?uuid=13e692cc-c790-4c54-9b47-fce409a33e18"]}],"mendeley":{"formattedCitation":"(Ika 2009)","manualFormatting":"(Ika, 2009; Müller and Jugdev, 2012)","plainTextFormattedCitation":"(Ika 2009)","previouslyFormattedCitation":"(Ika 2009)"},"properties":{"noteIndex":0},"schema":"https://github.com/citation-style-language/schema/raw/master/csl-citation.json"}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 xml:space="preserve">(Ika, 2009; </w:t>
      </w:r>
      <w:r w:rsidRPr="00E351FC">
        <w:rPr>
          <w:rFonts w:ascii="Times New Roman" w:hAnsi="Times New Roman"/>
          <w:noProof/>
          <w:szCs w:val="24"/>
          <w:lang w:eastAsia="en-GB"/>
        </w:rPr>
        <w:fldChar w:fldCharType="begin" w:fldLock="1"/>
      </w:r>
      <w:r w:rsidR="0064300B">
        <w:rPr>
          <w:rFonts w:ascii="Times New Roman" w:hAnsi="Times New Roman"/>
          <w:noProof/>
          <w:szCs w:val="24"/>
          <w:lang w:eastAsia="en-GB"/>
        </w:rPr>
        <w:instrText>ADDIN CSL_CITATION {"citationItems":[{"id":"ITEM-1","itemData":{"DOI":"10.1108/17538371211269040","ISBN":"1753-8378","ISSN":"1753-8378","PMID":"84680624","abstract":"See, stats, and : http:// www. researchgate. net/ publication / 241702141 Critical : Pinto, Slevin, and – the success ARTICLE DOI : 10 . 1108 / 17538371211269040 CITATIONS 17 READS 1 , 947 2 : Ralf BI 138 , 726 SEE Kam Athabasca 85 SEE All - text , letting . Available:KamRetrieved:03ForAuthors:Ifyouwouldliketowriteforthis,oranyotherEmeraldpublication,thenpleaseuseourEmeraldforAuthorsservice.Informationabouthowtochoosewhichpublicationtowriteforandsubmissionguidelinesareavailableforall.Pleasevisitwww.emeraldinsight.com/authorsformoreinformation.AboutEmeraldwww.emeraldinsight.comWithoverfortyyears'experience,EmeraldGroupPublishingisaleadingindependentpublisherofglobalresearchwithimpactinbusiness,society,publicpolicyandeducation.Intotal,Emeraldpublishesover275journalsandmorethan130bookseries,aswellasanextensiverangeofonlineproductsandservices.EmeraldisbothCOUNTER3andTRANSFERcompliant.TheorganizationisapartneroftheCommitteeonPublicationEthics(COPE)andalsoworkswithPorticoandtheLOCKSSinitiativefordigitalarchivepreservation.AbstractPurpose–FewscholarshavebeencitedasfrequentlyasPinto,Slevin,andPrescottfortheircontributionstoprojectsuccessandrelatedcriticalsuccessfactors(CSF)inthe1980s.Studiessincethenbuiltontheirarticlestobroadenandrefineourunderstandingofthetopic.Thepurposeofthispaperistodiscussthereasonsfortheimpactoftheseseminalcontributionsandhowthetopicofprojectsuccesscontinuestoevolve.Design/methodology/approach–ThepaperanalysesthepopularityofPintoandhiscolleagues'contributionstoprojectsuccessandreviewsthedevelopmentofthisfieldofresearchsincethen.Findings–Projectsuccessremainsavibrantschoolofthoughtasdotheearlierdefinitions,measurementscalesanddimensions,andassessmenttechniquesthatPintoandhiscolleaguesdeveloped.Theauthorsviewsuccessmorebroadlyandthinkofitstrategicallybecausetheyconsiderlonger-termbusinessobjectives.Someresearchisnowbasedonmanagerialororganizationaltheoriesandreflectsthemulti-dimensionalandnetworkednatureofprojectsuccess.Practicalimplications–Practically,theclassiccontributionsinprojectsuccesscontinuetobevalid.Theauthorsseediversityinhowsuccessisdefinedandmeasured.TheCSFsvarybyprojecttypes,lifecyclephases,industries,nationalities,individuals,andorganizations.Originality/value–ThepaperrelatesearlierunderstandingsofprojectsuccesstosubsequentresearchinthefieldandunderscoresthesignificantfindingsbyPinto,Slevin,andPrescott.","author":[{"dropping-particle":"","family":"Müller","given":"Ralf","non-dropping-particle":"","parse-names":false,"suffix":""},{"dropping-particle":"","family":"Jugdev","given":"Kam","non-dropping-particle":"","parse-names":false,"suffix":""}],"container-title":"International Journal of Managing Projects in Business","id":"ITEM-1","issue":"4","issued":{"date-parts":[["2012"]]},"page":"757-775","title":"Critical success factors in projects: Pinto, Slevin, and Prescott - the elucidation of project success","type":"article-journal","volume":"5"},"uris":["http://www.mendeley.com/documents/?uuid=d2044240-4007-48fa-a078-41d0cfb9d2e7"]}],"mendeley":{"formattedCitation":"(Müller &amp; Jugdev 2012)","manualFormatting":"Müller and Jugdev, 2012","plainTextFormattedCitation":"(Müller &amp; Jugdev 2012)","previouslyFormattedCitation":"(Müller &amp; Jugdev 2012)"},"properties":{"noteIndex":0},"schema":"https://github.com/citation-style-language/schema/raw/master/csl-citation.json"}</w:instrText>
      </w:r>
      <w:r w:rsidRPr="00E351FC">
        <w:rPr>
          <w:rFonts w:ascii="Times New Roman" w:hAnsi="Times New Roman"/>
          <w:noProof/>
          <w:szCs w:val="24"/>
          <w:lang w:eastAsia="en-GB"/>
        </w:rPr>
        <w:fldChar w:fldCharType="separate"/>
      </w:r>
      <w:r w:rsidRPr="00E351FC">
        <w:rPr>
          <w:rFonts w:ascii="Times New Roman" w:hAnsi="Times New Roman"/>
          <w:noProof/>
          <w:szCs w:val="24"/>
          <w:lang w:eastAsia="en-GB"/>
        </w:rPr>
        <w:t>Müller and Jugdev, 2012</w:t>
      </w:r>
      <w:r w:rsidRPr="00E351FC">
        <w:rPr>
          <w:rFonts w:ascii="Times New Roman" w:hAnsi="Times New Roman"/>
          <w:noProof/>
          <w:szCs w:val="24"/>
          <w:lang w:eastAsia="en-GB"/>
        </w:rPr>
        <w:fldChar w:fldCharType="end"/>
      </w:r>
      <w:r w:rsidRPr="00E351FC">
        <w:rPr>
          <w:rFonts w:ascii="Times New Roman" w:hAnsi="Times New Roman"/>
          <w:noProof/>
          <w:szCs w:val="24"/>
          <w:lang w:eastAsia="en-GB"/>
        </w:rPr>
        <w:t>)</w:t>
      </w:r>
      <w:r w:rsidRPr="00E351FC">
        <w:rPr>
          <w:rFonts w:ascii="Times New Roman" w:hAnsi="Times New Roman"/>
          <w:szCs w:val="24"/>
          <w:lang w:eastAsia="en-GB"/>
        </w:rPr>
        <w:fldChar w:fldCharType="end"/>
      </w:r>
      <w:r w:rsidR="00A3707D">
        <w:rPr>
          <w:rFonts w:ascii="Times New Roman" w:hAnsi="Times New Roman"/>
          <w:szCs w:val="24"/>
          <w:lang w:eastAsia="en-GB"/>
        </w:rPr>
        <w:t xml:space="preserve">. </w:t>
      </w:r>
      <w:r w:rsidRPr="00E351FC">
        <w:rPr>
          <w:rFonts w:ascii="Times New Roman" w:hAnsi="Times New Roman"/>
          <w:szCs w:val="24"/>
          <w:lang w:eastAsia="en-GB"/>
        </w:rPr>
        <w:t xml:space="preserve">Noting the most common measures of project success this research intends to </w:t>
      </w:r>
      <w:r w:rsidR="00477A2F">
        <w:rPr>
          <w:rFonts w:ascii="Times New Roman" w:hAnsi="Times New Roman"/>
          <w:szCs w:val="24"/>
          <w:lang w:eastAsia="en-GB"/>
        </w:rPr>
        <w:t>determine h</w:t>
      </w:r>
      <w:r w:rsidRPr="00E351FC">
        <w:rPr>
          <w:rFonts w:ascii="Times New Roman" w:hAnsi="Times New Roman"/>
          <w:szCs w:val="24"/>
          <w:lang w:eastAsia="en-GB"/>
        </w:rPr>
        <w:t xml:space="preserve">ow project success </w:t>
      </w:r>
      <w:r w:rsidR="00477A2F">
        <w:rPr>
          <w:rFonts w:ascii="Times New Roman" w:hAnsi="Times New Roman"/>
          <w:szCs w:val="24"/>
          <w:lang w:eastAsia="en-GB"/>
        </w:rPr>
        <w:t xml:space="preserve">is </w:t>
      </w:r>
      <w:r w:rsidRPr="00E351FC">
        <w:rPr>
          <w:rFonts w:ascii="Times New Roman" w:hAnsi="Times New Roman"/>
          <w:szCs w:val="24"/>
          <w:lang w:eastAsia="en-GB"/>
        </w:rPr>
        <w:t>being measured and reported by NSW local government</w:t>
      </w:r>
      <w:r w:rsidR="00477A2F">
        <w:rPr>
          <w:rFonts w:ascii="Times New Roman" w:hAnsi="Times New Roman"/>
          <w:szCs w:val="24"/>
          <w:lang w:eastAsia="en-GB"/>
        </w:rPr>
        <w:t xml:space="preserve"> and w</w:t>
      </w:r>
      <w:r w:rsidRPr="00E351FC">
        <w:rPr>
          <w:rFonts w:ascii="Times New Roman" w:hAnsi="Times New Roman"/>
          <w:szCs w:val="24"/>
          <w:lang w:eastAsia="en-GB"/>
        </w:rPr>
        <w:t>hat the current success level of NSW local government projects</w:t>
      </w:r>
      <w:r w:rsidR="00477A2F">
        <w:rPr>
          <w:rFonts w:ascii="Times New Roman" w:hAnsi="Times New Roman"/>
          <w:szCs w:val="24"/>
          <w:lang w:eastAsia="en-GB"/>
        </w:rPr>
        <w:t xml:space="preserve"> is. A correlation analysis </w:t>
      </w:r>
      <w:r w:rsidR="009B1930">
        <w:rPr>
          <w:rFonts w:ascii="Times New Roman" w:hAnsi="Times New Roman"/>
          <w:szCs w:val="24"/>
          <w:lang w:eastAsia="en-GB"/>
        </w:rPr>
        <w:t>is</w:t>
      </w:r>
      <w:r w:rsidR="00477A2F">
        <w:rPr>
          <w:rFonts w:ascii="Times New Roman" w:hAnsi="Times New Roman"/>
          <w:szCs w:val="24"/>
          <w:lang w:eastAsia="en-GB"/>
        </w:rPr>
        <w:t xml:space="preserve"> </w:t>
      </w:r>
      <w:proofErr w:type="gramStart"/>
      <w:r w:rsidR="00477A2F">
        <w:rPr>
          <w:rFonts w:ascii="Times New Roman" w:hAnsi="Times New Roman"/>
          <w:szCs w:val="24"/>
          <w:lang w:eastAsia="en-GB"/>
        </w:rPr>
        <w:t>then  undertaken</w:t>
      </w:r>
      <w:proofErr w:type="gramEnd"/>
      <w:r w:rsidR="00477A2F">
        <w:rPr>
          <w:rFonts w:ascii="Times New Roman" w:hAnsi="Times New Roman"/>
          <w:szCs w:val="24"/>
          <w:lang w:eastAsia="en-GB"/>
        </w:rPr>
        <w:t xml:space="preserve"> to address the economic theory of economies of scale. </w:t>
      </w:r>
    </w:p>
    <w:p w14:paraId="6FF8B5E4" w14:textId="77777777" w:rsidR="00834089" w:rsidRDefault="00834089" w:rsidP="00834089">
      <w:pPr>
        <w:tabs>
          <w:tab w:val="left" w:pos="284"/>
        </w:tabs>
        <w:spacing w:line="276" w:lineRule="auto"/>
        <w:ind w:right="-738"/>
        <w:contextualSpacing/>
        <w:jc w:val="both"/>
        <w:rPr>
          <w:rFonts w:ascii="Times New Roman" w:hAnsi="Times New Roman"/>
          <w:szCs w:val="24"/>
          <w:lang w:eastAsia="en-GB"/>
        </w:rPr>
      </w:pPr>
    </w:p>
    <w:p w14:paraId="3366F0E7" w14:textId="4945C249" w:rsidR="00834089" w:rsidRPr="00E351FC" w:rsidRDefault="00834089" w:rsidP="009618F0">
      <w:pPr>
        <w:tabs>
          <w:tab w:val="left" w:pos="284"/>
        </w:tabs>
        <w:spacing w:line="276" w:lineRule="auto"/>
        <w:ind w:right="-738"/>
        <w:contextualSpacing/>
        <w:jc w:val="both"/>
        <w:rPr>
          <w:rFonts w:ascii="Times New Roman" w:hAnsi="Times New Roman"/>
          <w:szCs w:val="24"/>
          <w:lang w:eastAsia="en-GB"/>
        </w:rPr>
      </w:pPr>
      <w:proofErr w:type="gramStart"/>
      <w:r>
        <w:rPr>
          <w:rFonts w:ascii="Times New Roman" w:hAnsi="Times New Roman"/>
          <w:szCs w:val="24"/>
          <w:lang w:eastAsia="en-GB"/>
        </w:rPr>
        <w:t>In order to</w:t>
      </w:r>
      <w:proofErr w:type="gramEnd"/>
      <w:r>
        <w:rPr>
          <w:rFonts w:ascii="Times New Roman" w:hAnsi="Times New Roman"/>
          <w:szCs w:val="24"/>
          <w:lang w:eastAsia="en-GB"/>
        </w:rPr>
        <w:t xml:space="preserve"> answer the research questions, firstly the history of reporting in government and current practices in NSW local government </w:t>
      </w:r>
      <w:r w:rsidR="009B1930">
        <w:rPr>
          <w:rFonts w:ascii="Times New Roman" w:hAnsi="Times New Roman"/>
          <w:szCs w:val="24"/>
          <w:lang w:eastAsia="en-GB"/>
        </w:rPr>
        <w:t>is</w:t>
      </w:r>
      <w:r>
        <w:rPr>
          <w:rFonts w:ascii="Times New Roman" w:hAnsi="Times New Roman"/>
          <w:szCs w:val="24"/>
          <w:lang w:eastAsia="en-GB"/>
        </w:rPr>
        <w:t xml:space="preserve"> considered. Using publicly available documents from each NSW council, a</w:t>
      </w:r>
      <w:r w:rsidR="009B1930">
        <w:rPr>
          <w:rFonts w:ascii="Times New Roman" w:hAnsi="Times New Roman"/>
          <w:szCs w:val="24"/>
          <w:lang w:eastAsia="en-GB"/>
        </w:rPr>
        <w:t>n appropriate</w:t>
      </w:r>
      <w:r>
        <w:rPr>
          <w:rFonts w:ascii="Times New Roman" w:hAnsi="Times New Roman"/>
          <w:szCs w:val="24"/>
          <w:lang w:eastAsia="en-GB"/>
        </w:rPr>
        <w:t xml:space="preserve"> success measure </w:t>
      </w:r>
      <w:r w:rsidR="009B1930">
        <w:rPr>
          <w:rFonts w:ascii="Times New Roman" w:hAnsi="Times New Roman"/>
          <w:szCs w:val="24"/>
          <w:lang w:eastAsia="en-GB"/>
        </w:rPr>
        <w:t>is</w:t>
      </w:r>
      <w:r>
        <w:rPr>
          <w:rFonts w:ascii="Times New Roman" w:hAnsi="Times New Roman"/>
          <w:szCs w:val="24"/>
          <w:lang w:eastAsia="en-GB"/>
        </w:rPr>
        <w:t xml:space="preserve"> adopted and then determined. </w:t>
      </w:r>
      <w:r w:rsidR="00477A2F">
        <w:rPr>
          <w:rFonts w:ascii="Times New Roman" w:hAnsi="Times New Roman"/>
          <w:szCs w:val="24"/>
          <w:lang w:eastAsia="en-GB"/>
        </w:rPr>
        <w:t xml:space="preserve">The organisational size and revenue </w:t>
      </w:r>
      <w:proofErr w:type="gramStart"/>
      <w:r w:rsidR="009B1930">
        <w:rPr>
          <w:rFonts w:ascii="Times New Roman" w:hAnsi="Times New Roman"/>
          <w:szCs w:val="24"/>
          <w:lang w:eastAsia="en-GB"/>
        </w:rPr>
        <w:t>is</w:t>
      </w:r>
      <w:proofErr w:type="gramEnd"/>
      <w:r w:rsidR="00477A2F">
        <w:rPr>
          <w:rFonts w:ascii="Times New Roman" w:hAnsi="Times New Roman"/>
          <w:szCs w:val="24"/>
          <w:lang w:eastAsia="en-GB"/>
        </w:rPr>
        <w:t xml:space="preserve"> obtained and correlated with the project success results to determine if the analysis supports the theory of economies of scale. </w:t>
      </w:r>
      <w:r>
        <w:rPr>
          <w:rFonts w:ascii="Times New Roman" w:hAnsi="Times New Roman"/>
          <w:szCs w:val="24"/>
          <w:lang w:eastAsia="en-GB"/>
        </w:rPr>
        <w:t>A final discussion focus</w:t>
      </w:r>
      <w:r w:rsidR="009B1930">
        <w:rPr>
          <w:rFonts w:ascii="Times New Roman" w:hAnsi="Times New Roman"/>
          <w:szCs w:val="24"/>
          <w:lang w:eastAsia="en-GB"/>
        </w:rPr>
        <w:t>ses</w:t>
      </w:r>
      <w:r>
        <w:rPr>
          <w:rFonts w:ascii="Times New Roman" w:hAnsi="Times New Roman"/>
          <w:szCs w:val="24"/>
          <w:lang w:eastAsia="en-GB"/>
        </w:rPr>
        <w:t xml:space="preserve"> on suggestions for improving project reporting in NSW local government.  </w:t>
      </w:r>
    </w:p>
    <w:p w14:paraId="0F34982D" w14:textId="77777777" w:rsidR="00A36866" w:rsidRDefault="00A36866" w:rsidP="009618F0">
      <w:pPr>
        <w:pStyle w:val="Heading1"/>
        <w:numPr>
          <w:ilvl w:val="1"/>
          <w:numId w:val="1"/>
        </w:numPr>
        <w:tabs>
          <w:tab w:val="left" w:pos="284"/>
        </w:tabs>
        <w:spacing w:line="276" w:lineRule="auto"/>
        <w:ind w:right="-737"/>
        <w:jc w:val="both"/>
        <w:rPr>
          <w:i/>
          <w:iCs/>
          <w:kern w:val="0"/>
          <w:szCs w:val="28"/>
        </w:rPr>
      </w:pPr>
      <w:r>
        <w:rPr>
          <w:i/>
          <w:iCs/>
          <w:kern w:val="0"/>
          <w:szCs w:val="28"/>
        </w:rPr>
        <w:t>International Local Government Performance Reporting</w:t>
      </w:r>
    </w:p>
    <w:p w14:paraId="6FBEAA0C" w14:textId="44B15E27" w:rsidR="002E7D1B" w:rsidRDefault="00A36866" w:rsidP="0064300B">
      <w:pPr>
        <w:spacing w:line="276" w:lineRule="auto"/>
        <w:ind w:right="-808"/>
        <w:jc w:val="both"/>
        <w:rPr>
          <w:rFonts w:ascii="Times New Roman" w:hAnsi="Times New Roman"/>
          <w:szCs w:val="24"/>
          <w:lang w:eastAsia="en-GB"/>
        </w:rPr>
      </w:pPr>
      <w:proofErr w:type="gramStart"/>
      <w:r w:rsidRPr="009618F0">
        <w:rPr>
          <w:rFonts w:ascii="Times New Roman" w:hAnsi="Times New Roman"/>
          <w:szCs w:val="24"/>
          <w:lang w:eastAsia="en-GB"/>
        </w:rPr>
        <w:t>In order to</w:t>
      </w:r>
      <w:proofErr w:type="gramEnd"/>
      <w:r w:rsidRPr="009618F0">
        <w:rPr>
          <w:rFonts w:ascii="Times New Roman" w:hAnsi="Times New Roman"/>
          <w:szCs w:val="24"/>
          <w:lang w:eastAsia="en-GB"/>
        </w:rPr>
        <w:t xml:space="preserve"> provide context to performance reporting in NSW local government a brief discussion of international </w:t>
      </w:r>
      <w:r w:rsidR="00FB2678">
        <w:rPr>
          <w:rFonts w:ascii="Times New Roman" w:hAnsi="Times New Roman"/>
          <w:szCs w:val="24"/>
          <w:lang w:eastAsia="en-GB"/>
        </w:rPr>
        <w:t xml:space="preserve">and Australian </w:t>
      </w:r>
      <w:r w:rsidRPr="009618F0">
        <w:rPr>
          <w:rFonts w:ascii="Times New Roman" w:hAnsi="Times New Roman"/>
          <w:szCs w:val="24"/>
          <w:lang w:eastAsia="en-GB"/>
        </w:rPr>
        <w:t xml:space="preserve">local government performance reporting </w:t>
      </w:r>
      <w:r w:rsidR="009B1930">
        <w:rPr>
          <w:rFonts w:ascii="Times New Roman" w:hAnsi="Times New Roman"/>
          <w:szCs w:val="24"/>
          <w:lang w:eastAsia="en-GB"/>
        </w:rPr>
        <w:t>is</w:t>
      </w:r>
      <w:r w:rsidRPr="009618F0">
        <w:rPr>
          <w:rFonts w:ascii="Times New Roman" w:hAnsi="Times New Roman"/>
          <w:szCs w:val="24"/>
          <w:lang w:eastAsia="en-GB"/>
        </w:rPr>
        <w:t xml:space="preserve"> undertaken.</w:t>
      </w:r>
      <w:r w:rsidR="00FB2678">
        <w:rPr>
          <w:rFonts w:ascii="Times New Roman" w:hAnsi="Times New Roman"/>
          <w:szCs w:val="24"/>
          <w:lang w:eastAsia="en-GB"/>
        </w:rPr>
        <w:t xml:space="preserve"> </w:t>
      </w:r>
      <w:r w:rsidR="0015663D">
        <w:rPr>
          <w:rFonts w:ascii="Times New Roman" w:hAnsi="Times New Roman"/>
          <w:szCs w:val="24"/>
          <w:lang w:eastAsia="en-GB"/>
        </w:rPr>
        <w:t xml:space="preserve">In both the case of Australian and international reporting requirements there is no consistency in what, when and how local government must report. </w:t>
      </w:r>
      <w:r w:rsidR="00FB2678">
        <w:rPr>
          <w:rFonts w:ascii="Times New Roman" w:hAnsi="Times New Roman"/>
          <w:szCs w:val="24"/>
          <w:lang w:eastAsia="en-GB"/>
        </w:rPr>
        <w:t>A</w:t>
      </w:r>
      <w:r w:rsidR="009618F0">
        <w:rPr>
          <w:rFonts w:ascii="Times New Roman" w:hAnsi="Times New Roman"/>
          <w:szCs w:val="24"/>
          <w:lang w:eastAsia="en-GB"/>
        </w:rPr>
        <w:t xml:space="preserve"> review of 17 countries including Australia to determine any similarities and identify barriers to performance reporting</w:t>
      </w:r>
      <w:r w:rsidR="00FB2678" w:rsidRPr="00FB2678">
        <w:rPr>
          <w:rFonts w:ascii="Times New Roman" w:hAnsi="Times New Roman"/>
          <w:szCs w:val="24"/>
          <w:lang w:eastAsia="en-GB"/>
        </w:rPr>
        <w:t xml:space="preserve"> </w:t>
      </w:r>
      <w:r w:rsidR="00FB2678">
        <w:rPr>
          <w:rFonts w:ascii="Times New Roman" w:hAnsi="Times New Roman"/>
          <w:szCs w:val="24"/>
          <w:lang w:eastAsia="en-GB"/>
        </w:rPr>
        <w:t>found numerous differences including: the compulsory nature of performance reporting; auditing of reports; reporting more than financial measures; publication online; and the amount of flexibility in reporting performance indicators</w:t>
      </w:r>
      <w:r w:rsidR="00FB2678" w:rsidRPr="00FB2678">
        <w:rPr>
          <w:rFonts w:ascii="Times New Roman" w:hAnsi="Times New Roman"/>
          <w:szCs w:val="24"/>
          <w:lang w:eastAsia="en-GB"/>
        </w:rPr>
        <w:t xml:space="preserve"> </w:t>
      </w:r>
      <w:r w:rsidR="00FB2678">
        <w:rPr>
          <w:rFonts w:ascii="Times New Roman" w:hAnsi="Times New Roman"/>
          <w:szCs w:val="24"/>
          <w:lang w:eastAsia="en-GB"/>
        </w:rPr>
        <w:t>(</w:t>
      </w:r>
      <w:r w:rsidR="00FB2678">
        <w:rPr>
          <w:rFonts w:ascii="Times New Roman" w:hAnsi="Times New Roman"/>
          <w:szCs w:val="24"/>
          <w:lang w:eastAsia="en-GB"/>
        </w:rPr>
        <w:fldChar w:fldCharType="begin" w:fldLock="1"/>
      </w:r>
      <w:r w:rsidR="006E5D7D">
        <w:rPr>
          <w:rFonts w:ascii="Times New Roman" w:hAnsi="Times New Roman"/>
          <w:szCs w:val="24"/>
          <w:lang w:eastAsia="en-GB"/>
        </w:rPr>
        <w:instrText>ADDIN CSL_CITATION {"citationItems":[{"id":"ITEM-1","itemData":{"DOI":"10.1080/15309576.2015.1137768","ISSN":"15579271","abstract":"Providing information on economy, efficiency, and effectiveness is one of the most important innovations in local government management, with performance reporting emerging as a new component for accountability and decision-making. This article compares 17 countries to ascertain whether there is convergence between them, studying key issues in the implementation of performance reporting by local governments. It also identifies some lessons that can be of use to countries that want to implement or improve performance reporting systems. Findings show that there is no convergence in practice or results, and that institutional factors influence the implementation of performance reporting; in many countries, performance reporting has been introduced by central and regional governments as a mechanism to control local government activities in order to enhance performance. Austerity has underlined the importance of performance information, especially in Southern European countries, but more must be done before the full impact of performance reporting can be achieved.","author":[{"dropping-particle":"","family":"Brusca","given":"Isabel","non-dropping-particle":"","parse-names":false,"suffix":""},{"dropping-particle":"","family":"Montesinos","given":"Vicente","non-dropping-particle":"","parse-names":false,"suffix":""}],"container-title":"Public Performance and Management Review","id":"ITEM-1","issue":"3","issued":{"date-parts":[["2016"]]},"page":"506-534","publisher":"Taylor &amp; Francis","title":"Implementing performance reporting in local government: A cross-countries comparison","type":"article-journal","volume":"39"},"uris":["http://www.mendeley.com/documents/?uuid=655738d7-a075-4959-a5f8-01281b96b7ab"]}],"mendeley":{"formattedCitation":"(Brusca &amp; Montesinos 2016)","manualFormatting":"Brusca and Montesinos, 2016)","plainTextFormattedCitation":"(Brusca &amp; Montesinos 2016)","previouslyFormattedCitation":"(Brusca &amp; Montesinos 2016)"},"properties":{"noteIndex":0},"schema":"https://github.com/citation-style-language/schema/raw/master/csl-citation.json"}</w:instrText>
      </w:r>
      <w:r w:rsidR="00FB2678">
        <w:rPr>
          <w:rFonts w:ascii="Times New Roman" w:hAnsi="Times New Roman"/>
          <w:szCs w:val="24"/>
          <w:lang w:eastAsia="en-GB"/>
        </w:rPr>
        <w:fldChar w:fldCharType="separate"/>
      </w:r>
      <w:r w:rsidR="00FB2678" w:rsidRPr="00A36866">
        <w:rPr>
          <w:rFonts w:ascii="Times New Roman" w:hAnsi="Times New Roman"/>
          <w:noProof/>
          <w:szCs w:val="24"/>
          <w:lang w:eastAsia="en-GB"/>
        </w:rPr>
        <w:t xml:space="preserve">Brusca </w:t>
      </w:r>
      <w:r w:rsidR="00FB2678">
        <w:rPr>
          <w:rFonts w:ascii="Times New Roman" w:hAnsi="Times New Roman"/>
          <w:noProof/>
          <w:szCs w:val="24"/>
          <w:lang w:eastAsia="en-GB"/>
        </w:rPr>
        <w:t>and</w:t>
      </w:r>
      <w:r w:rsidR="00FB2678" w:rsidRPr="00A36866">
        <w:rPr>
          <w:rFonts w:ascii="Times New Roman" w:hAnsi="Times New Roman"/>
          <w:noProof/>
          <w:szCs w:val="24"/>
          <w:lang w:eastAsia="en-GB"/>
        </w:rPr>
        <w:t xml:space="preserve"> Montesinos</w:t>
      </w:r>
      <w:r w:rsidR="00FB2678">
        <w:rPr>
          <w:rFonts w:ascii="Times New Roman" w:hAnsi="Times New Roman"/>
          <w:noProof/>
          <w:szCs w:val="24"/>
          <w:lang w:eastAsia="en-GB"/>
        </w:rPr>
        <w:t>,</w:t>
      </w:r>
      <w:r w:rsidR="00FB2678" w:rsidRPr="00A36866">
        <w:rPr>
          <w:rFonts w:ascii="Times New Roman" w:hAnsi="Times New Roman"/>
          <w:noProof/>
          <w:szCs w:val="24"/>
          <w:lang w:eastAsia="en-GB"/>
        </w:rPr>
        <w:t xml:space="preserve"> 2016)</w:t>
      </w:r>
      <w:r w:rsidR="00FB2678">
        <w:rPr>
          <w:rFonts w:ascii="Times New Roman" w:hAnsi="Times New Roman"/>
          <w:szCs w:val="24"/>
          <w:lang w:eastAsia="en-GB"/>
        </w:rPr>
        <w:fldChar w:fldCharType="end"/>
      </w:r>
      <w:r w:rsidR="009618F0">
        <w:rPr>
          <w:rFonts w:ascii="Times New Roman" w:hAnsi="Times New Roman"/>
          <w:szCs w:val="24"/>
          <w:lang w:eastAsia="en-GB"/>
        </w:rPr>
        <w:t xml:space="preserve">. Countries with minimal or no performance reporting or where reports were difficult to obtain were not included. </w:t>
      </w:r>
      <w:r w:rsidR="00CC5EBC">
        <w:rPr>
          <w:rFonts w:ascii="Times New Roman" w:hAnsi="Times New Roman"/>
          <w:szCs w:val="24"/>
          <w:lang w:eastAsia="en-GB"/>
        </w:rPr>
        <w:t xml:space="preserve">Other studies also present the differences in international performance reporting. For </w:t>
      </w:r>
      <w:r w:rsidR="00FB2678">
        <w:rPr>
          <w:rFonts w:ascii="Times New Roman" w:hAnsi="Times New Roman"/>
          <w:szCs w:val="24"/>
          <w:lang w:eastAsia="en-GB"/>
        </w:rPr>
        <w:t>instance</w:t>
      </w:r>
      <w:r w:rsidR="00CC5EBC">
        <w:rPr>
          <w:rFonts w:ascii="Times New Roman" w:hAnsi="Times New Roman"/>
          <w:szCs w:val="24"/>
          <w:lang w:eastAsia="en-GB"/>
        </w:rPr>
        <w:t xml:space="preserve"> </w:t>
      </w:r>
      <w:r w:rsidR="00A14642">
        <w:rPr>
          <w:rFonts w:ascii="Times New Roman" w:hAnsi="Times New Roman"/>
          <w:szCs w:val="24"/>
          <w:lang w:eastAsia="en-GB"/>
        </w:rPr>
        <w:t xml:space="preserve">New Zealand </w:t>
      </w:r>
      <w:r w:rsidR="0064300B">
        <w:rPr>
          <w:rFonts w:ascii="Times New Roman" w:hAnsi="Times New Roman"/>
          <w:szCs w:val="24"/>
          <w:lang w:eastAsia="en-GB"/>
        </w:rPr>
        <w:t>councils</w:t>
      </w:r>
      <w:r w:rsidR="00A14642">
        <w:rPr>
          <w:rFonts w:ascii="Times New Roman" w:hAnsi="Times New Roman"/>
          <w:szCs w:val="24"/>
          <w:lang w:eastAsia="en-GB"/>
        </w:rPr>
        <w:t xml:space="preserve"> must produce a Long Term Plan (LTP) and then produce an annual report</w:t>
      </w:r>
      <w:r w:rsidR="0064300B">
        <w:rPr>
          <w:rFonts w:ascii="Times New Roman" w:hAnsi="Times New Roman"/>
          <w:szCs w:val="24"/>
          <w:lang w:eastAsia="en-GB"/>
        </w:rPr>
        <w:t xml:space="preserve"> on their </w:t>
      </w:r>
      <w:r w:rsidR="0064300B">
        <w:rPr>
          <w:rFonts w:ascii="Times New Roman" w:hAnsi="Times New Roman"/>
          <w:szCs w:val="24"/>
          <w:lang w:eastAsia="en-GB"/>
        </w:rPr>
        <w:lastRenderedPageBreak/>
        <w:t xml:space="preserve">performance </w:t>
      </w:r>
      <w:r w:rsidR="008C3C1C">
        <w:rPr>
          <w:rFonts w:ascii="Times New Roman" w:hAnsi="Times New Roman"/>
          <w:szCs w:val="24"/>
          <w:lang w:eastAsia="en-GB"/>
        </w:rPr>
        <w:t xml:space="preserve">against the LTP </w:t>
      </w:r>
      <w:r w:rsidR="0064300B">
        <w:rPr>
          <w:rFonts w:ascii="Times New Roman" w:hAnsi="Times New Roman"/>
          <w:szCs w:val="24"/>
          <w:lang w:eastAsia="en-GB"/>
        </w:rPr>
        <w:fldChar w:fldCharType="begin" w:fldLock="1"/>
      </w:r>
      <w:r w:rsidR="00507BE3">
        <w:rPr>
          <w:rFonts w:ascii="Times New Roman" w:hAnsi="Times New Roman"/>
          <w:szCs w:val="24"/>
          <w:lang w:eastAsia="en-GB"/>
        </w:rPr>
        <w:instrText>ADDIN CSL_CITATION {"citationItems":[{"id":"ITEM-1","itemData":{"DOI":"10.1111/acfi.12252","ISSN":"1467629X","abstract":"Increasingly, public sector organisations are being encouraged or required to provide service performance information in addition to financial statements. Yet, reporting is often inferior, as shown by this example of local governments in New Zealand. Poor quality reporting has led to different initiatives to improve service performance reporting quality, and this study investigates the effectiveness of three initiatives undertaken by the Auditor-General. Drawing on contemporary institutional and legitimacy theories, we find that normative pressure in tandem with threats to legitimacy is influential in improving service performance reporting. However, despite mimetic examples also being used, the analysis shows it is an ineffective tool in the New Zealand local government context.","author":[{"dropping-particle":"","family":"Keerasuntonpong","given":"Prae","non-dropping-particle":"","parse-names":false,"suffix":""},{"dropping-particle":"","family":"Cordery","given":"Carolyn","non-dropping-particle":"","parse-names":false,"suffix":""}],"container-title":"Accounting and Finance","id":"ITEM-1","issue":"4","issued":{"date-parts":[["2018"]]},"page":"1169-1200","title":"How might normative and mimetic pressures improve local government service performance reporting?","type":"article-journal","volume":"58"},"uris":["http://www.mendeley.com/documents/?uuid=8dd34176-15f2-4ba5-8743-29702406f7b7"]}],"mendeley":{"formattedCitation":"(Keerasuntonpong &amp; Cordery 2018)","manualFormatting":"(Keerasuntonpong and Cordery, 2018)","plainTextFormattedCitation":"(Keerasuntonpong &amp; Cordery 2018)","previouslyFormattedCitation":"(Keerasuntonpong &amp; Cordery 2018)"},"properties":{"noteIndex":0},"schema":"https://github.com/citation-style-language/schema/raw/master/csl-citation.json"}</w:instrText>
      </w:r>
      <w:r w:rsidR="0064300B">
        <w:rPr>
          <w:rFonts w:ascii="Times New Roman" w:hAnsi="Times New Roman"/>
          <w:szCs w:val="24"/>
          <w:lang w:eastAsia="en-GB"/>
        </w:rPr>
        <w:fldChar w:fldCharType="separate"/>
      </w:r>
      <w:r w:rsidR="0064300B" w:rsidRPr="0064300B">
        <w:rPr>
          <w:rFonts w:ascii="Times New Roman" w:hAnsi="Times New Roman"/>
          <w:noProof/>
          <w:szCs w:val="24"/>
          <w:lang w:eastAsia="en-GB"/>
        </w:rPr>
        <w:t xml:space="preserve">(Keerasuntonpong </w:t>
      </w:r>
      <w:r w:rsidR="00507BE3">
        <w:rPr>
          <w:rFonts w:ascii="Times New Roman" w:hAnsi="Times New Roman"/>
          <w:noProof/>
          <w:szCs w:val="24"/>
          <w:lang w:eastAsia="en-GB"/>
        </w:rPr>
        <w:t>and</w:t>
      </w:r>
      <w:r w:rsidR="0064300B" w:rsidRPr="0064300B">
        <w:rPr>
          <w:rFonts w:ascii="Times New Roman" w:hAnsi="Times New Roman"/>
          <w:noProof/>
          <w:szCs w:val="24"/>
          <w:lang w:eastAsia="en-GB"/>
        </w:rPr>
        <w:t xml:space="preserve"> Cordery</w:t>
      </w:r>
      <w:r w:rsidR="00507BE3">
        <w:rPr>
          <w:rFonts w:ascii="Times New Roman" w:hAnsi="Times New Roman"/>
          <w:noProof/>
          <w:szCs w:val="24"/>
          <w:lang w:eastAsia="en-GB"/>
        </w:rPr>
        <w:t>,</w:t>
      </w:r>
      <w:r w:rsidR="0064300B" w:rsidRPr="0064300B">
        <w:rPr>
          <w:rFonts w:ascii="Times New Roman" w:hAnsi="Times New Roman"/>
          <w:noProof/>
          <w:szCs w:val="24"/>
          <w:lang w:eastAsia="en-GB"/>
        </w:rPr>
        <w:t xml:space="preserve"> 2018)</w:t>
      </w:r>
      <w:r w:rsidR="0064300B">
        <w:rPr>
          <w:rFonts w:ascii="Times New Roman" w:hAnsi="Times New Roman"/>
          <w:szCs w:val="24"/>
          <w:lang w:eastAsia="en-GB"/>
        </w:rPr>
        <w:fldChar w:fldCharType="end"/>
      </w:r>
      <w:r w:rsidR="0064300B">
        <w:rPr>
          <w:rFonts w:ascii="Times New Roman" w:hAnsi="Times New Roman"/>
          <w:szCs w:val="24"/>
          <w:lang w:eastAsia="en-GB"/>
        </w:rPr>
        <w:t xml:space="preserve">. </w:t>
      </w:r>
      <w:r w:rsidR="00F83889">
        <w:rPr>
          <w:rFonts w:ascii="Times New Roman" w:hAnsi="Times New Roman"/>
          <w:szCs w:val="24"/>
          <w:lang w:eastAsia="en-GB"/>
        </w:rPr>
        <w:t xml:space="preserve">The New Zealand annual reports have been described as “…a useful source of information…” and recommended to be condensed to make it easier for users to find information </w:t>
      </w:r>
      <w:r w:rsidR="00F83889">
        <w:rPr>
          <w:rFonts w:ascii="Times New Roman" w:hAnsi="Times New Roman"/>
          <w:szCs w:val="24"/>
          <w:lang w:eastAsia="en-GB"/>
        </w:rPr>
        <w:fldChar w:fldCharType="begin" w:fldLock="1"/>
      </w:r>
      <w:r w:rsidR="006E5D7D">
        <w:rPr>
          <w:rFonts w:ascii="Times New Roman" w:hAnsi="Times New Roman"/>
          <w:szCs w:val="24"/>
          <w:lang w:eastAsia="en-GB"/>
        </w:rPr>
        <w:instrText>ADDIN CSL_CITATION {"citationItems":[{"id":"ITEM-1","itemData":{"DOI":"10.1080/09540962.2020.1719669","ISSN":"14679302","abstract":"The authors examine whether the publicly-available accounting information about infrastructural assets and other information in New Zealand local government’s financial statements is helpful for the assessment of investment in infrastructural assets. Their analysis indicates that information on annual net investments for infrastructural assets is useful for understanding the level and type of infrastructural assets investments and how these assets are funded. Further, such investment focuses more on visible infrastructural assets than invisible infrastructural assets. This study contributes to the literature on the reporting and management of public infrastructure assets. IMPACT: Local government in many countries is responsible for investing and maintaining infrastructural assets and is often accused of under-investing in these assets. Information published in local government financial statements can assist in assessing the level of funding sources for infrastructural assets and the choices that local government makes in relation to which types of assets are funded. This paper’s finding that local government allocates more funding to visible, rather than invisible, infrastructural assets has important policy implications for the sustainability of invisible infrastructural assets and will be of interest to both local and central governments.","author":[{"dropping-particle":"","family":"Ehalaiye","given":"Dimu","non-dropping-particle":"","parse-names":false,"suffix":""},{"dropping-particle":"","family":"Redmayne","given":"Nives Botica","non-dropping-particle":"","parse-names":false,"suffix":""},{"dropping-particle":"","family":"Laswad","given":"Fawzi","non-dropping-particle":"","parse-names":false,"suffix":""}],"container-title":"Public Money and Management","id":"ITEM-1","issue":"2","issued":{"date-parts":[["2021"]]},"page":"88-98d","publisher":"Taylor &amp; Francis","title":"Does accounting information contribute to a better understanding of public assets management? The case of local government infrastructural assets.","type":"article-journal","volume":"41"},"uris":["http://www.mendeley.com/documents/?uuid=9376c9a1-485b-4970-bd6b-8bbd2839e7bf"]}],"mendeley":{"formattedCitation":"(Ehalaiye, Redmayne &amp; Laswad 2021)","manualFormatting":"(Ehalaiye, Redmayne &amp; Laswad 2021, p.96)","plainTextFormattedCitation":"(Ehalaiye, Redmayne &amp; Laswad 2021)","previouslyFormattedCitation":"(Ehalaiye, Redmayne &amp; Laswad 2021)"},"properties":{"noteIndex":0},"schema":"https://github.com/citation-style-language/schema/raw/master/csl-citation.json"}</w:instrText>
      </w:r>
      <w:r w:rsidR="00F83889">
        <w:rPr>
          <w:rFonts w:ascii="Times New Roman" w:hAnsi="Times New Roman"/>
          <w:szCs w:val="24"/>
          <w:lang w:eastAsia="en-GB"/>
        </w:rPr>
        <w:fldChar w:fldCharType="separate"/>
      </w:r>
      <w:r w:rsidR="00F83889" w:rsidRPr="00F83889">
        <w:rPr>
          <w:rFonts w:ascii="Times New Roman" w:hAnsi="Times New Roman"/>
          <w:noProof/>
          <w:szCs w:val="24"/>
          <w:lang w:eastAsia="en-GB"/>
        </w:rPr>
        <w:t>(Ehalaiye, Redmayne &amp; Laswad 2021</w:t>
      </w:r>
      <w:r w:rsidR="00F83889">
        <w:rPr>
          <w:rFonts w:ascii="Times New Roman" w:hAnsi="Times New Roman"/>
          <w:noProof/>
          <w:szCs w:val="24"/>
          <w:lang w:eastAsia="en-GB"/>
        </w:rPr>
        <w:t>, p.96</w:t>
      </w:r>
      <w:r w:rsidR="00F83889" w:rsidRPr="00F83889">
        <w:rPr>
          <w:rFonts w:ascii="Times New Roman" w:hAnsi="Times New Roman"/>
          <w:noProof/>
          <w:szCs w:val="24"/>
          <w:lang w:eastAsia="en-GB"/>
        </w:rPr>
        <w:t>)</w:t>
      </w:r>
      <w:r w:rsidR="00F83889">
        <w:rPr>
          <w:rFonts w:ascii="Times New Roman" w:hAnsi="Times New Roman"/>
          <w:szCs w:val="24"/>
          <w:lang w:eastAsia="en-GB"/>
        </w:rPr>
        <w:fldChar w:fldCharType="end"/>
      </w:r>
      <w:r w:rsidR="00F83889">
        <w:rPr>
          <w:rFonts w:ascii="Times New Roman" w:hAnsi="Times New Roman"/>
          <w:szCs w:val="24"/>
          <w:lang w:eastAsia="en-GB"/>
        </w:rPr>
        <w:t xml:space="preserve">. </w:t>
      </w:r>
      <w:r w:rsidR="00CC5EBC">
        <w:rPr>
          <w:rFonts w:ascii="Times New Roman" w:hAnsi="Times New Roman"/>
          <w:szCs w:val="24"/>
          <w:lang w:eastAsia="en-GB"/>
        </w:rPr>
        <w:t xml:space="preserve">Italy and Spain are </w:t>
      </w:r>
      <w:r w:rsidR="00FB2678">
        <w:rPr>
          <w:rFonts w:ascii="Times New Roman" w:hAnsi="Times New Roman"/>
          <w:szCs w:val="24"/>
          <w:lang w:eastAsia="en-GB"/>
        </w:rPr>
        <w:t>mandated</w:t>
      </w:r>
      <w:r w:rsidR="00CC5EBC">
        <w:rPr>
          <w:rFonts w:ascii="Times New Roman" w:hAnsi="Times New Roman"/>
          <w:szCs w:val="24"/>
          <w:lang w:eastAsia="en-GB"/>
        </w:rPr>
        <w:t xml:space="preserve"> to produce performance reports by their central governments </w:t>
      </w:r>
      <w:r w:rsidR="00CC5EBC">
        <w:rPr>
          <w:rFonts w:ascii="Times New Roman" w:hAnsi="Times New Roman"/>
          <w:szCs w:val="24"/>
          <w:lang w:eastAsia="en-GB"/>
        </w:rPr>
        <w:fldChar w:fldCharType="begin" w:fldLock="1"/>
      </w:r>
      <w:r w:rsidR="00FB02F7">
        <w:rPr>
          <w:rFonts w:ascii="Times New Roman" w:hAnsi="Times New Roman"/>
          <w:szCs w:val="24"/>
          <w:lang w:eastAsia="en-GB"/>
        </w:rPr>
        <w:instrText>ADDIN CSL_CITATION {"citationItems":[{"id":"ITEM-1","itemData":{"DOI":"10.1080/09540962.2013.785701","ISBN":"0029126517","ISSN":"09540962","abstract":"This article presents a comparative analysis of the perceived usefulness of performance information by managers in local authorities in Italy and Spain. Italy and Spain have similar cultural and administrative characteristics and in both countries there are external requirements (from central government) to adopt performance indicators. The adoption of performance indicators was found to be almost symbolic in both states","author":[{"dropping-particle":"","family":"Montesinos","given":"Vicente","non-dropping-particle":"","parse-names":false,"suffix":""},{"dropping-particle":"","family":"Brusca","given":"Isabel","non-dropping-particle":"","parse-names":false,"suffix":""},{"dropping-particle":"","family":"Rossi","given":"Francesca Manes","non-dropping-particle":"","parse-names":false,"suffix":""},{"dropping-particle":"","family":"Aversano","given":"Natalia","non-dropping-particle":"","parse-names":false,"suffix":""}],"container-title":"Public Money and Management","id":"ITEM-1","issue":"3","issued":{"date-parts":[["2013"]]},"page":"171-176","title":"The usefulness of performance reporting in local government: Comparing Italy and Spain","type":"article-journal","volume":"33"},"uris":["http://www.mendeley.com/documents/?uuid=ba63c838-afb8-44df-a753-a44c4ed7bdaf"]}],"mendeley":{"formattedCitation":"(Montesinos et al. 2013)","manualFormatting":"(Montesinos et al., 2013)","plainTextFormattedCitation":"(Montesinos et al. 2013)","previouslyFormattedCitation":"(Montesinos et al. 2013)"},"properties":{"noteIndex":0},"schema":"https://github.com/citation-style-language/schema/raw/master/csl-citation.json"}</w:instrText>
      </w:r>
      <w:r w:rsidR="00CC5EBC">
        <w:rPr>
          <w:rFonts w:ascii="Times New Roman" w:hAnsi="Times New Roman"/>
          <w:szCs w:val="24"/>
          <w:lang w:eastAsia="en-GB"/>
        </w:rPr>
        <w:fldChar w:fldCharType="separate"/>
      </w:r>
      <w:r w:rsidR="00CC5EBC" w:rsidRPr="00CC5EBC">
        <w:rPr>
          <w:rFonts w:ascii="Times New Roman" w:hAnsi="Times New Roman"/>
          <w:noProof/>
          <w:szCs w:val="24"/>
          <w:lang w:eastAsia="en-GB"/>
        </w:rPr>
        <w:t>(Montesinos et al.</w:t>
      </w:r>
      <w:r w:rsidR="00507BE3">
        <w:rPr>
          <w:rFonts w:ascii="Times New Roman" w:hAnsi="Times New Roman"/>
          <w:noProof/>
          <w:szCs w:val="24"/>
          <w:lang w:eastAsia="en-GB"/>
        </w:rPr>
        <w:t>,</w:t>
      </w:r>
      <w:r w:rsidR="00CC5EBC" w:rsidRPr="00CC5EBC">
        <w:rPr>
          <w:rFonts w:ascii="Times New Roman" w:hAnsi="Times New Roman"/>
          <w:noProof/>
          <w:szCs w:val="24"/>
          <w:lang w:eastAsia="en-GB"/>
        </w:rPr>
        <w:t xml:space="preserve"> 2013)</w:t>
      </w:r>
      <w:r w:rsidR="00CC5EBC">
        <w:rPr>
          <w:rFonts w:ascii="Times New Roman" w:hAnsi="Times New Roman"/>
          <w:szCs w:val="24"/>
          <w:lang w:eastAsia="en-GB"/>
        </w:rPr>
        <w:fldChar w:fldCharType="end"/>
      </w:r>
      <w:r w:rsidR="00554F4C">
        <w:rPr>
          <w:rFonts w:ascii="Times New Roman" w:hAnsi="Times New Roman"/>
          <w:szCs w:val="24"/>
          <w:lang w:eastAsia="en-GB"/>
        </w:rPr>
        <w:t>, whereas</w:t>
      </w:r>
      <w:r w:rsidR="00CC5EBC">
        <w:rPr>
          <w:rFonts w:ascii="Times New Roman" w:hAnsi="Times New Roman"/>
          <w:szCs w:val="24"/>
          <w:lang w:eastAsia="en-GB"/>
        </w:rPr>
        <w:t xml:space="preserve"> </w:t>
      </w:r>
      <w:r w:rsidR="00554F4C">
        <w:rPr>
          <w:rFonts w:ascii="Times New Roman" w:hAnsi="Times New Roman"/>
          <w:szCs w:val="24"/>
          <w:lang w:eastAsia="en-GB"/>
        </w:rPr>
        <w:t>l</w:t>
      </w:r>
      <w:r w:rsidR="00FB2678">
        <w:rPr>
          <w:rFonts w:ascii="Times New Roman" w:hAnsi="Times New Roman"/>
          <w:szCs w:val="24"/>
          <w:lang w:eastAsia="en-GB"/>
        </w:rPr>
        <w:t>ocal government in</w:t>
      </w:r>
      <w:r w:rsidR="00CC5EBC">
        <w:rPr>
          <w:rFonts w:ascii="Times New Roman" w:hAnsi="Times New Roman"/>
          <w:szCs w:val="24"/>
          <w:lang w:eastAsia="en-GB"/>
        </w:rPr>
        <w:t xml:space="preserve"> Ghana </w:t>
      </w:r>
      <w:r w:rsidR="00FB2678">
        <w:rPr>
          <w:rFonts w:ascii="Times New Roman" w:hAnsi="Times New Roman"/>
          <w:szCs w:val="24"/>
          <w:lang w:eastAsia="en-GB"/>
        </w:rPr>
        <w:t>use</w:t>
      </w:r>
      <w:r w:rsidR="00CC5EBC">
        <w:rPr>
          <w:rFonts w:ascii="Times New Roman" w:hAnsi="Times New Roman"/>
          <w:szCs w:val="24"/>
          <w:lang w:eastAsia="en-GB"/>
        </w:rPr>
        <w:t xml:space="preserve"> </w:t>
      </w:r>
      <w:r w:rsidR="00FB2678">
        <w:rPr>
          <w:rFonts w:ascii="Times New Roman" w:hAnsi="Times New Roman"/>
          <w:szCs w:val="24"/>
          <w:lang w:eastAsia="en-GB"/>
        </w:rPr>
        <w:t xml:space="preserve">a </w:t>
      </w:r>
      <w:r w:rsidR="00CC5EBC">
        <w:rPr>
          <w:rFonts w:ascii="Times New Roman" w:hAnsi="Times New Roman"/>
          <w:szCs w:val="24"/>
          <w:lang w:eastAsia="en-GB"/>
        </w:rPr>
        <w:t xml:space="preserve">non-financial reporting system </w:t>
      </w:r>
      <w:r w:rsidR="00CC5EBC">
        <w:rPr>
          <w:rFonts w:ascii="Times New Roman" w:hAnsi="Times New Roman"/>
          <w:szCs w:val="24"/>
          <w:lang w:eastAsia="en-GB"/>
        </w:rPr>
        <w:fldChar w:fldCharType="begin" w:fldLock="1"/>
      </w:r>
      <w:r w:rsidR="00FB02F7">
        <w:rPr>
          <w:rFonts w:ascii="Times New Roman" w:hAnsi="Times New Roman"/>
          <w:szCs w:val="24"/>
          <w:lang w:eastAsia="en-GB"/>
        </w:rPr>
        <w:instrText>ADDIN CSL_CITATION {"citationItems":[{"id":"ITEM-1","itemData":{"DOI":"10.1108/IJPSM-06-2019-0177","ISSN":"09513558","abstract":"Purpose: The object of this paper is to understand how central–local relations and internal technical characteristics contribute to performance reporting delays at the local level in a Global South context. Design/methodology/approach: The paper develops and tests four propositions using a combination of secondary data analyses and semistructured interviews with 30 local government officials. Findings: The findings indicate that delays in performance reporting are generally high in pre-election years because leadership commitments at the local level largely shift toward national politics (campaigning for re-election of the president). Additional reporting delays were found to be the result of low financial capacity to maintain appropriate data collection and management systems, lack of highly trained monitoring and evaluation experts at the local level and lack of sanctions for noncompliance. Research limitations/implications: The fact that some types of Districts (large municipalities and metro areas with access to large financial resources) were excluded from the analysis induces some bias to the findings. The choice of 30 out of a total 260 local governments limits the analyses to only 12% of views and perceptions of local government reporting delay. Additionally sourcing responses from a few monitoring and evaluation (M&amp;E) personnel out of hundreds of mid- to upper-level employees limited the breath of discussions that could have resulted from a broader study. Practical implications: The results of this paper suggest that any attempt at imposing sanctions on late reporting may not be very successful since national party politics, which lie outside the control of municipalities, is one of the main factors that drive reporting delay. Rather than imposing sanctions, government should consider incentivizing the reporting process. On the other hand, since internally generated funds (IGF) and the M&amp;E team are factors that lie within the control of the municipality, any attempt to decrease reporting delay should first focus on improving local revenues and strengthening municipal M&amp;E capacity building. Originality/value: This paper adds to the existing literature by offering directions for approaching performance reporting delay in two ways. First, it emphasizes central–local relations as an important political determinant of performance reporting delay. Second, it explores reporting delay in Ghana's local governments and therefore provides useful insights …","author":[{"dropping-particle":"","family":"Kaye-Essien","given":"Charles Wharton","non-dropping-particle":"","parse-names":false,"suffix":""}],"container-title":"International Journal of Public Sector Management","id":"ITEM-1","issue":"4","issued":{"date-parts":[["2020"]]},"page":"477-496","title":"Performance reporting delay in local government: a global south view","type":"article-journal","volume":"33"},"uris":["http://www.mendeley.com/documents/?uuid=e3f29a6f-69be-4cbd-b927-52989364cf70"]}],"mendeley":{"formattedCitation":"(Kaye-Essien 2020)","manualFormatting":"(Kaye-Essien, 2020)","plainTextFormattedCitation":"(Kaye-Essien 2020)","previouslyFormattedCitation":"(Kaye-Essien 2020)"},"properties":{"noteIndex":0},"schema":"https://github.com/citation-style-language/schema/raw/master/csl-citation.json"}</w:instrText>
      </w:r>
      <w:r w:rsidR="00CC5EBC">
        <w:rPr>
          <w:rFonts w:ascii="Times New Roman" w:hAnsi="Times New Roman"/>
          <w:szCs w:val="24"/>
          <w:lang w:eastAsia="en-GB"/>
        </w:rPr>
        <w:fldChar w:fldCharType="separate"/>
      </w:r>
      <w:r w:rsidR="00CC5EBC" w:rsidRPr="00CC5EBC">
        <w:rPr>
          <w:rFonts w:ascii="Times New Roman" w:hAnsi="Times New Roman"/>
          <w:noProof/>
          <w:szCs w:val="24"/>
          <w:lang w:eastAsia="en-GB"/>
        </w:rPr>
        <w:t>(Kaye-Essien</w:t>
      </w:r>
      <w:r w:rsidR="00507BE3">
        <w:rPr>
          <w:rFonts w:ascii="Times New Roman" w:hAnsi="Times New Roman"/>
          <w:noProof/>
          <w:szCs w:val="24"/>
          <w:lang w:eastAsia="en-GB"/>
        </w:rPr>
        <w:t>,</w:t>
      </w:r>
      <w:r w:rsidR="00CC5EBC" w:rsidRPr="00CC5EBC">
        <w:rPr>
          <w:rFonts w:ascii="Times New Roman" w:hAnsi="Times New Roman"/>
          <w:noProof/>
          <w:szCs w:val="24"/>
          <w:lang w:eastAsia="en-GB"/>
        </w:rPr>
        <w:t xml:space="preserve"> 2020)</w:t>
      </w:r>
      <w:r w:rsidR="00CC5EBC">
        <w:rPr>
          <w:rFonts w:ascii="Times New Roman" w:hAnsi="Times New Roman"/>
          <w:szCs w:val="24"/>
          <w:lang w:eastAsia="en-GB"/>
        </w:rPr>
        <w:fldChar w:fldCharType="end"/>
      </w:r>
      <w:r w:rsidR="00CC5EBC">
        <w:rPr>
          <w:rFonts w:ascii="Times New Roman" w:hAnsi="Times New Roman"/>
          <w:szCs w:val="24"/>
          <w:lang w:eastAsia="en-GB"/>
        </w:rPr>
        <w:t xml:space="preserve">. </w:t>
      </w:r>
      <w:r w:rsidR="0015663D">
        <w:rPr>
          <w:rFonts w:ascii="Times New Roman" w:hAnsi="Times New Roman"/>
          <w:szCs w:val="24"/>
          <w:lang w:eastAsia="en-GB"/>
        </w:rPr>
        <w:t>As to be expected with different governing structures</w:t>
      </w:r>
      <w:r w:rsidR="00205060">
        <w:rPr>
          <w:rFonts w:ascii="Times New Roman" w:hAnsi="Times New Roman"/>
          <w:szCs w:val="24"/>
          <w:lang w:eastAsia="en-GB"/>
        </w:rPr>
        <w:t>,</w:t>
      </w:r>
      <w:r w:rsidR="0015663D">
        <w:rPr>
          <w:rFonts w:ascii="Times New Roman" w:hAnsi="Times New Roman"/>
          <w:szCs w:val="24"/>
          <w:lang w:eastAsia="en-GB"/>
        </w:rPr>
        <w:t xml:space="preserve"> local government (or equivalent) performance reporting is variable from country to country. </w:t>
      </w:r>
    </w:p>
    <w:p w14:paraId="008E74F1" w14:textId="77777777" w:rsidR="002E7D1B" w:rsidRDefault="002E7D1B" w:rsidP="0064300B">
      <w:pPr>
        <w:spacing w:line="276" w:lineRule="auto"/>
        <w:ind w:right="-808"/>
        <w:jc w:val="both"/>
        <w:rPr>
          <w:rFonts w:ascii="Times New Roman" w:hAnsi="Times New Roman"/>
          <w:szCs w:val="24"/>
          <w:lang w:eastAsia="en-GB"/>
        </w:rPr>
      </w:pPr>
    </w:p>
    <w:p w14:paraId="7428E849" w14:textId="11C3A5A2" w:rsidR="00A36866" w:rsidRPr="009618F0" w:rsidRDefault="00CC5EBC" w:rsidP="00277FBA">
      <w:pPr>
        <w:tabs>
          <w:tab w:val="left" w:pos="284"/>
        </w:tabs>
        <w:spacing w:line="276" w:lineRule="auto"/>
        <w:ind w:right="-738"/>
        <w:contextualSpacing/>
        <w:jc w:val="both"/>
        <w:rPr>
          <w:rFonts w:ascii="Times New Roman" w:hAnsi="Times New Roman"/>
          <w:szCs w:val="24"/>
          <w:lang w:eastAsia="en-GB"/>
        </w:rPr>
      </w:pPr>
      <w:proofErr w:type="gramStart"/>
      <w:r>
        <w:rPr>
          <w:rFonts w:ascii="Times New Roman" w:hAnsi="Times New Roman"/>
          <w:szCs w:val="24"/>
          <w:lang w:eastAsia="en-GB"/>
        </w:rPr>
        <w:t>Similar to</w:t>
      </w:r>
      <w:proofErr w:type="gramEnd"/>
      <w:r>
        <w:rPr>
          <w:rFonts w:ascii="Times New Roman" w:hAnsi="Times New Roman"/>
          <w:szCs w:val="24"/>
          <w:lang w:eastAsia="en-GB"/>
        </w:rPr>
        <w:t xml:space="preserve"> the variability between countries, states within Australia have different require</w:t>
      </w:r>
      <w:r w:rsidR="00ED2E60">
        <w:rPr>
          <w:rFonts w:ascii="Times New Roman" w:hAnsi="Times New Roman"/>
          <w:szCs w:val="24"/>
          <w:lang w:eastAsia="en-GB"/>
        </w:rPr>
        <w:t xml:space="preserve">ments for performance reporting such as requirements for strategic objectives in Victoria and publication of comparative information in Queensland </w:t>
      </w:r>
      <w:r>
        <w:rPr>
          <w:rFonts w:ascii="Times New Roman" w:hAnsi="Times New Roman"/>
          <w:szCs w:val="24"/>
          <w:lang w:eastAsia="en-GB"/>
        </w:rPr>
        <w:t>(</w:t>
      </w:r>
      <w:proofErr w:type="spellStart"/>
      <w:r>
        <w:rPr>
          <w:rFonts w:ascii="Times New Roman" w:hAnsi="Times New Roman"/>
          <w:szCs w:val="24"/>
          <w:lang w:eastAsia="en-GB"/>
        </w:rPr>
        <w:t>Brusca</w:t>
      </w:r>
      <w:proofErr w:type="spellEnd"/>
      <w:r>
        <w:rPr>
          <w:rFonts w:ascii="Times New Roman" w:hAnsi="Times New Roman"/>
          <w:szCs w:val="24"/>
          <w:lang w:eastAsia="en-GB"/>
        </w:rPr>
        <w:t xml:space="preserve"> and Montesinos, 2016). </w:t>
      </w:r>
      <w:r w:rsidR="00707D7B" w:rsidRPr="00E351FC">
        <w:rPr>
          <w:rFonts w:ascii="Times New Roman" w:hAnsi="Times New Roman"/>
          <w:szCs w:val="24"/>
          <w:lang w:eastAsia="en-GB"/>
        </w:rPr>
        <w:t xml:space="preserve">Within the remaining states and territories of Australia different performance measurement systems are in use and not all are mandatory </w:t>
      </w:r>
      <w:r w:rsidR="00707D7B" w:rsidRPr="00E351FC">
        <w:rPr>
          <w:rFonts w:ascii="Times New Roman" w:hAnsi="Times New Roman"/>
          <w:szCs w:val="24"/>
          <w:lang w:eastAsia="en-GB"/>
        </w:rPr>
        <w:fldChar w:fldCharType="begin" w:fldLock="1"/>
      </w:r>
      <w:r w:rsidR="00707D7B">
        <w:rPr>
          <w:rFonts w:ascii="Times New Roman" w:hAnsi="Times New Roman"/>
          <w:szCs w:val="24"/>
          <w:lang w:eastAsia="en-GB"/>
        </w:rPr>
        <w:instrText>ADDIN CSL_CITATION {"citationItems":[{"id":"ITEM-1","itemData":{"DOI":"10.1080/09540962.2013.785701","ISBN":"0029126517","ISSN":"09540962","abstract":"This article presents a comparative analysis of the perceived usefulness of performance information by managers in local authorities in Italy and Spain. Italy and Spain have similar cultural and administrative characteristics and in both countries there are external requirements (from central government) to adopt performance indicators. The adoption of performance indicators was found to be almost symbolic in both states","author":[{"dropping-particle":"","family":"Montesinos","given":"Vicente","non-dropping-particle":"","parse-names":false,"suffix":""},{"dropping-particle":"","family":"Brusca","given":"Isabel","non-dropping-particle":"","parse-names":false,"suffix":""},{"dropping-particle":"","family":"Rossi","given":"Francesca Manes","non-dropping-particle":"","parse-names":false,"suffix":""},{"dropping-particle":"","family":"Aversano","given":"Natalia","non-dropping-particle":"","parse-names":false,"suffix":""}],"container-title":"Public Money and Management","id":"ITEM-1","issue":"3","issued":{"date-parts":[["2013"]]},"page":"171-176","title":"The usefulness of performance reporting in local government: Comparing Italy and Spain","type":"article-journal","volume":"33"},"uris":["http://www.mendeley.com/documents/?uuid=ba63c838-afb8-44df-a753-a44c4ed7bdaf"]}],"mendeley":{"formattedCitation":"(Montesinos et al. 2013)","manualFormatting":"(Montesinos et al., 2013","plainTextFormattedCitation":"(Montesinos et al. 2013)","previouslyFormattedCitation":"(Montesinos et al. 2013)"},"properties":{"noteIndex":0},"schema":"https://github.com/citation-style-language/schema/raw/master/csl-citation.json"}</w:instrText>
      </w:r>
      <w:r w:rsidR="00707D7B" w:rsidRPr="00E351FC">
        <w:rPr>
          <w:rFonts w:ascii="Times New Roman" w:hAnsi="Times New Roman"/>
          <w:szCs w:val="24"/>
          <w:lang w:eastAsia="en-GB"/>
        </w:rPr>
        <w:fldChar w:fldCharType="separate"/>
      </w:r>
      <w:r w:rsidR="00707D7B" w:rsidRPr="00E351FC">
        <w:rPr>
          <w:rFonts w:ascii="Times New Roman" w:hAnsi="Times New Roman"/>
          <w:noProof/>
          <w:szCs w:val="24"/>
          <w:lang w:eastAsia="en-GB"/>
        </w:rPr>
        <w:t>(Montesinos et al., 2013</w:t>
      </w:r>
      <w:r w:rsidR="00707D7B" w:rsidRPr="00E351FC">
        <w:rPr>
          <w:rFonts w:ascii="Times New Roman" w:hAnsi="Times New Roman"/>
          <w:szCs w:val="24"/>
          <w:lang w:eastAsia="en-GB"/>
        </w:rPr>
        <w:fldChar w:fldCharType="end"/>
      </w:r>
      <w:r w:rsidR="00707D7B">
        <w:rPr>
          <w:rFonts w:ascii="Times New Roman" w:hAnsi="Times New Roman"/>
          <w:szCs w:val="24"/>
          <w:lang w:eastAsia="en-GB"/>
        </w:rPr>
        <w:t xml:space="preserve">; </w:t>
      </w:r>
      <w:proofErr w:type="spellStart"/>
      <w:r w:rsidR="00707D7B">
        <w:rPr>
          <w:rFonts w:ascii="Times New Roman" w:hAnsi="Times New Roman"/>
          <w:szCs w:val="24"/>
          <w:lang w:eastAsia="en-GB"/>
        </w:rPr>
        <w:t>Brusca</w:t>
      </w:r>
      <w:proofErr w:type="spellEnd"/>
      <w:r w:rsidR="00707D7B">
        <w:rPr>
          <w:rFonts w:ascii="Times New Roman" w:hAnsi="Times New Roman"/>
          <w:szCs w:val="24"/>
          <w:lang w:eastAsia="en-GB"/>
        </w:rPr>
        <w:t xml:space="preserve"> and Montesinos, 2016)</w:t>
      </w:r>
      <w:r w:rsidR="00707D7B" w:rsidRPr="00E351FC">
        <w:rPr>
          <w:rFonts w:ascii="Times New Roman" w:hAnsi="Times New Roman"/>
          <w:szCs w:val="24"/>
          <w:lang w:eastAsia="en-GB"/>
        </w:rPr>
        <w:t xml:space="preserve">. Reports on local government performance make use of accrual accounting and tend to focus on financial operations as they are easier to measure and compare between councils. As </w:t>
      </w:r>
      <w:r w:rsidR="00707D7B" w:rsidRPr="00E351FC">
        <w:rPr>
          <w:rFonts w:ascii="Times New Roman" w:hAnsi="Times New Roman"/>
          <w:szCs w:val="24"/>
          <w:lang w:eastAsia="en-GB"/>
        </w:rPr>
        <w:fldChar w:fldCharType="begin" w:fldLock="1"/>
      </w:r>
      <w:r w:rsidR="00707D7B">
        <w:rPr>
          <w:rFonts w:ascii="Times New Roman" w:hAnsi="Times New Roman"/>
          <w:szCs w:val="24"/>
          <w:lang w:eastAsia="en-GB"/>
        </w:rPr>
        <w:instrText>ADDIN CSL_CITATION {"citationItems":[{"id":"ITEM-1","itemData":{"author":[{"dropping-particle":"","family":"Walker","given":"R. G.","non-dropping-particle":"","parse-names":false,"suffix":""}],"container-title":"Australian Accounting Review","id":"ITEM-1","issue":"1","issued":{"date-parts":[["2002"]]},"page":"43-54","title":"Are annual reports of government agencies really 'General Purpose' if they do not include performance indicators?","type":"article-journal","volume":"12"},"uris":["http://www.mendeley.com/documents/?uuid=484ffdb0-15dd-4d2c-87c4-33101f16ee24"]}],"mendeley":{"formattedCitation":"(Walker 2002)","manualFormatting":"Walker (2002, p.43)","plainTextFormattedCitation":"(Walker 2002)","previouslyFormattedCitation":"(Walker 2002)"},"properties":{"noteIndex":0},"schema":"https://github.com/citation-style-language/schema/raw/master/csl-citation.json"}</w:instrText>
      </w:r>
      <w:r w:rsidR="00707D7B" w:rsidRPr="00E351FC">
        <w:rPr>
          <w:rFonts w:ascii="Times New Roman" w:hAnsi="Times New Roman"/>
          <w:szCs w:val="24"/>
          <w:lang w:eastAsia="en-GB"/>
        </w:rPr>
        <w:fldChar w:fldCharType="separate"/>
      </w:r>
      <w:r w:rsidR="00707D7B" w:rsidRPr="00E351FC">
        <w:rPr>
          <w:rFonts w:ascii="Times New Roman" w:hAnsi="Times New Roman"/>
          <w:noProof/>
          <w:szCs w:val="24"/>
          <w:lang w:eastAsia="en-GB"/>
        </w:rPr>
        <w:t>Walker (2002, p.43)</w:t>
      </w:r>
      <w:r w:rsidR="00707D7B" w:rsidRPr="00E351FC">
        <w:rPr>
          <w:rFonts w:ascii="Times New Roman" w:hAnsi="Times New Roman"/>
          <w:szCs w:val="24"/>
          <w:lang w:eastAsia="en-GB"/>
        </w:rPr>
        <w:fldChar w:fldCharType="end"/>
      </w:r>
      <w:r w:rsidR="00707D7B" w:rsidRPr="00E351FC">
        <w:rPr>
          <w:rFonts w:ascii="Times New Roman" w:hAnsi="Times New Roman"/>
          <w:szCs w:val="24"/>
          <w:lang w:eastAsia="en-GB"/>
        </w:rPr>
        <w:t xml:space="preserve"> states “without some form of information about operational performance, much of the information conveyed in purely financial reports on expenditure by general gover</w:t>
      </w:r>
      <w:r w:rsidR="00707D7B">
        <w:rPr>
          <w:rFonts w:ascii="Times New Roman" w:hAnsi="Times New Roman"/>
          <w:szCs w:val="24"/>
          <w:lang w:eastAsia="en-GB"/>
        </w:rPr>
        <w:t xml:space="preserve">nment agencies lacks meaning.” In addition to required performance reporting the Victorian </w:t>
      </w:r>
      <w:r w:rsidR="00554F4C">
        <w:rPr>
          <w:rFonts w:ascii="Times New Roman" w:hAnsi="Times New Roman"/>
          <w:szCs w:val="24"/>
          <w:lang w:eastAsia="en-GB"/>
        </w:rPr>
        <w:t>S</w:t>
      </w:r>
      <w:r w:rsidR="00707D7B">
        <w:rPr>
          <w:rFonts w:ascii="Times New Roman" w:hAnsi="Times New Roman"/>
          <w:szCs w:val="24"/>
          <w:lang w:eastAsia="en-GB"/>
        </w:rPr>
        <w:t xml:space="preserve">tate </w:t>
      </w:r>
      <w:r w:rsidR="00554F4C">
        <w:rPr>
          <w:rFonts w:ascii="Times New Roman" w:hAnsi="Times New Roman"/>
          <w:szCs w:val="24"/>
          <w:lang w:eastAsia="en-GB"/>
        </w:rPr>
        <w:t>G</w:t>
      </w:r>
      <w:r w:rsidR="00707D7B">
        <w:rPr>
          <w:rFonts w:ascii="Times New Roman" w:hAnsi="Times New Roman"/>
          <w:szCs w:val="24"/>
          <w:lang w:eastAsia="en-GB"/>
        </w:rPr>
        <w:t xml:space="preserve">overnment also conducts and publishes a state-wide community survey of each council </w:t>
      </w:r>
      <w:r w:rsidR="00057413">
        <w:rPr>
          <w:rFonts w:ascii="Times New Roman" w:hAnsi="Times New Roman"/>
          <w:szCs w:val="24"/>
          <w:lang w:eastAsia="en-GB"/>
        </w:rPr>
        <w:t>comprising</w:t>
      </w:r>
      <w:r w:rsidR="00707D7B">
        <w:rPr>
          <w:rFonts w:ascii="Times New Roman" w:hAnsi="Times New Roman"/>
          <w:szCs w:val="24"/>
          <w:lang w:eastAsia="en-GB"/>
        </w:rPr>
        <w:t xml:space="preserve"> a minimum of 400 residents </w:t>
      </w:r>
      <w:r w:rsidR="00707D7B">
        <w:rPr>
          <w:rFonts w:ascii="Times New Roman" w:hAnsi="Times New Roman"/>
          <w:szCs w:val="24"/>
          <w:lang w:eastAsia="en-GB"/>
        </w:rPr>
        <w:fldChar w:fldCharType="begin" w:fldLock="1"/>
      </w:r>
      <w:r w:rsidR="00707D7B">
        <w:rPr>
          <w:rFonts w:ascii="Times New Roman" w:hAnsi="Times New Roman"/>
          <w:szCs w:val="24"/>
          <w:lang w:eastAsia="en-GB"/>
        </w:rPr>
        <w:instrText>ADDIN CSL_CITATION {"citationItems":[{"id":"ITEM-1","itemData":{"URL":"https://www.localgovernment.vic.gov.au/our-programs/council-community-satisfaction-survey","accessed":{"date-parts":[["2022","4","9"]]},"author":[{"dropping-particle":"","family":"Victorian State Government","given":"","non-dropping-particle":"","parse-names":false,"suffix":""}],"id":"ITEM-1","issued":{"date-parts":[["2022"]]},"title":"Council community satisfaction survey","type":"webpage"},"uris":["http://www.mendeley.com/documents/?uuid=c59bb558-a862-3b8e-9e88-b7dbc5c6c5e3"]}],"mendeley":{"formattedCitation":"(Victorian State Government 2022)","manualFormatting":"(Victorian State Government, 2022)","plainTextFormattedCitation":"(Victorian State Government 2022)","previouslyFormattedCitation":"(Victorian State Government 2022)"},"properties":{"noteIndex":0},"schema":"https://github.com/citation-style-language/schema/raw/master/csl-citation.json"}</w:instrText>
      </w:r>
      <w:r w:rsidR="00707D7B">
        <w:rPr>
          <w:rFonts w:ascii="Times New Roman" w:hAnsi="Times New Roman"/>
          <w:szCs w:val="24"/>
          <w:lang w:eastAsia="en-GB"/>
        </w:rPr>
        <w:fldChar w:fldCharType="separate"/>
      </w:r>
      <w:r w:rsidR="00707D7B" w:rsidRPr="00A3707D">
        <w:rPr>
          <w:rFonts w:ascii="Times New Roman" w:hAnsi="Times New Roman"/>
          <w:noProof/>
          <w:szCs w:val="24"/>
          <w:lang w:eastAsia="en-GB"/>
        </w:rPr>
        <w:t>(Victorian State Government</w:t>
      </w:r>
      <w:r w:rsidR="00707D7B">
        <w:rPr>
          <w:rFonts w:ascii="Times New Roman" w:hAnsi="Times New Roman"/>
          <w:noProof/>
          <w:szCs w:val="24"/>
          <w:lang w:eastAsia="en-GB"/>
        </w:rPr>
        <w:t>,</w:t>
      </w:r>
      <w:r w:rsidR="00707D7B" w:rsidRPr="00A3707D">
        <w:rPr>
          <w:rFonts w:ascii="Times New Roman" w:hAnsi="Times New Roman"/>
          <w:noProof/>
          <w:szCs w:val="24"/>
          <w:lang w:eastAsia="en-GB"/>
        </w:rPr>
        <w:t xml:space="preserve"> 2022)</w:t>
      </w:r>
      <w:r w:rsidR="00707D7B">
        <w:rPr>
          <w:rFonts w:ascii="Times New Roman" w:hAnsi="Times New Roman"/>
          <w:szCs w:val="24"/>
          <w:lang w:eastAsia="en-GB"/>
        </w:rPr>
        <w:fldChar w:fldCharType="end"/>
      </w:r>
      <w:r w:rsidR="00707D7B">
        <w:rPr>
          <w:rFonts w:ascii="Times New Roman" w:hAnsi="Times New Roman"/>
          <w:szCs w:val="24"/>
          <w:lang w:eastAsia="en-GB"/>
        </w:rPr>
        <w:t xml:space="preserve">. Whilst not a mandated reporting requirement for local government the surveys benchmark resident views </w:t>
      </w:r>
      <w:r w:rsidR="00554F4C">
        <w:rPr>
          <w:rFonts w:ascii="Times New Roman" w:hAnsi="Times New Roman"/>
          <w:szCs w:val="24"/>
          <w:lang w:eastAsia="en-GB"/>
        </w:rPr>
        <w:t>on</w:t>
      </w:r>
      <w:r w:rsidR="00707D7B">
        <w:rPr>
          <w:rFonts w:ascii="Times New Roman" w:hAnsi="Times New Roman"/>
          <w:szCs w:val="24"/>
          <w:lang w:eastAsia="en-GB"/>
        </w:rPr>
        <w:t xml:space="preserve"> overall performance; consultation and engagement; customer service; and overall direction. A study of Australian government agencies found </w:t>
      </w:r>
      <w:proofErr w:type="gramStart"/>
      <w:r w:rsidR="00707D7B">
        <w:rPr>
          <w:rFonts w:ascii="Times New Roman" w:hAnsi="Times New Roman"/>
          <w:szCs w:val="24"/>
          <w:lang w:eastAsia="en-GB"/>
        </w:rPr>
        <w:t>a majority of</w:t>
      </w:r>
      <w:proofErr w:type="gramEnd"/>
      <w:r w:rsidR="00707D7B">
        <w:rPr>
          <w:rFonts w:ascii="Times New Roman" w:hAnsi="Times New Roman"/>
          <w:szCs w:val="24"/>
          <w:lang w:eastAsia="en-GB"/>
        </w:rPr>
        <w:t xml:space="preserve"> respondents believed performance reporting was useful to stakeholders (Lee, 2008). A survey such as the Victorian State Government one could demonstrate if performance reporting is indeed useful to stakeholders.</w:t>
      </w:r>
    </w:p>
    <w:p w14:paraId="60643533" w14:textId="77777777" w:rsidR="00E351FC" w:rsidRPr="00E351FC" w:rsidRDefault="00A36866" w:rsidP="00E351FC">
      <w:pPr>
        <w:pStyle w:val="Heading1"/>
        <w:tabs>
          <w:tab w:val="left" w:pos="284"/>
        </w:tabs>
        <w:spacing w:line="276" w:lineRule="auto"/>
        <w:ind w:right="-737"/>
        <w:jc w:val="both"/>
        <w:rPr>
          <w:i/>
          <w:iCs/>
          <w:kern w:val="0"/>
          <w:szCs w:val="28"/>
        </w:rPr>
      </w:pPr>
      <w:r>
        <w:rPr>
          <w:i/>
          <w:iCs/>
          <w:kern w:val="0"/>
          <w:szCs w:val="28"/>
        </w:rPr>
        <w:t>1.</w:t>
      </w:r>
      <w:r w:rsidR="00CC5EBC">
        <w:rPr>
          <w:i/>
          <w:iCs/>
          <w:kern w:val="0"/>
          <w:szCs w:val="28"/>
        </w:rPr>
        <w:t>2</w:t>
      </w:r>
      <w:r>
        <w:rPr>
          <w:i/>
          <w:iCs/>
          <w:kern w:val="0"/>
          <w:szCs w:val="28"/>
        </w:rPr>
        <w:t xml:space="preserve"> </w:t>
      </w:r>
      <w:r w:rsidR="00E351FC" w:rsidRPr="00E351FC">
        <w:rPr>
          <w:i/>
          <w:iCs/>
          <w:kern w:val="0"/>
          <w:szCs w:val="28"/>
        </w:rPr>
        <w:t>Performance Reporting in NSW Local Government</w:t>
      </w:r>
    </w:p>
    <w:p w14:paraId="7F59D47E" w14:textId="77777777" w:rsidR="0017688F" w:rsidRDefault="00E351FC" w:rsidP="00E351FC">
      <w:pPr>
        <w:tabs>
          <w:tab w:val="left" w:pos="284"/>
        </w:tabs>
        <w:spacing w:line="276" w:lineRule="auto"/>
        <w:ind w:right="-737"/>
        <w:contextualSpacing/>
        <w:jc w:val="both"/>
        <w:rPr>
          <w:rFonts w:ascii="Times New Roman" w:hAnsi="Times New Roman"/>
          <w:szCs w:val="24"/>
          <w:lang w:eastAsia="en-GB"/>
        </w:rPr>
      </w:pPr>
      <w:r w:rsidRPr="00E351FC">
        <w:rPr>
          <w:rFonts w:ascii="Times New Roman" w:hAnsi="Times New Roman"/>
          <w:szCs w:val="24"/>
          <w:lang w:eastAsia="en-GB"/>
        </w:rPr>
        <w:t>Local government in NSW is required to regularly demonstrate to the community and reporting bodies that they are achieving sustainable operational targets</w:t>
      </w:r>
      <w:r w:rsidR="0015663D">
        <w:rPr>
          <w:rFonts w:ascii="Times New Roman" w:hAnsi="Times New Roman"/>
          <w:szCs w:val="24"/>
          <w:lang w:eastAsia="en-GB"/>
        </w:rPr>
        <w:t xml:space="preserve"> through performance reporting</w:t>
      </w:r>
      <w:r w:rsidRPr="00E351FC">
        <w:rPr>
          <w:rFonts w:ascii="Times New Roman" w:hAnsi="Times New Roman"/>
          <w:szCs w:val="24"/>
          <w:lang w:eastAsia="en-GB"/>
        </w:rPr>
        <w:t xml:space="preserve">. Councils primarily demonstrate their sustainability and efficiency through audited General Purpose Financial Statements (GPFS) within Annual Reports. A perceived lack of efficiency in government agencies led to the introduction of New Public </w:t>
      </w:r>
      <w:r w:rsidRPr="00E351FC">
        <w:rPr>
          <w:rFonts w:ascii="Times New Roman" w:hAnsi="Times New Roman"/>
          <w:szCs w:val="24"/>
          <w:lang w:eastAsia="en-GB"/>
        </w:rPr>
        <w:lastRenderedPageBreak/>
        <w:t xml:space="preserve">Management (NPM) early in the 1980s through to the late 1990s which sought to improve organisational performance by introducing modern business practices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{"citationItems":[{"id":"ITEM-1","itemData":{"DOI":"10.1017/S1755773910000299","ISBN":"1755-7739","ISSN":"17557747","abstract":"This article presents an analytical platform for discussing and analyzing administrative reforms in terms of democracy. First, we present the democratic theory positions represented by output democracy and input democracy. These two positions are used to classify different types of reform. The second explanatory approach on democracy and reforms is transformative, and it applies a mixture of external features, domestic administrative culture, and polity features to understand variations in the democratic aspects of public sector reforms. Central issues are whether these reforms can be seen as alternatives or whether they complement each other in terms of layering processes. Third, we take a broad overview of New Public Management (NPM) and post-NPM reforms and carry out an in-depth analysis of a new administrative policy report by the Norwegian centre-left government. Finally, we discuss briefly the broader comparative implications of our findings.","author":[{"dropping-particle":"","family":"Christensen","given":"Tom","non-dropping-particle":"","parse-names":false,"suffix":""},{"dropping-particle":"","family":"Lægreid","given":"Per","non-dropping-particle":"","parse-names":false,"suffix":""}],"container-title":"European Political Science Review","id":"ITEM-1","issue":"1","issued":{"date-parts":[["2011"]]},"page":"125-146","title":"Democracy and administrative policy: Contrasting elements of New Public Management (NPM) and post-NPM","type":"article-journal","volume":"3"},"uris":["http://www.mendeley.com/documents/?uuid=4e540b1d-3998-4ca5-8686-b62fbb509184"]}],"mendeley":{"formattedCitation":"(Christensen &amp; Lægreid 2011)","manualFormatting":"(Christensen and Lægreid 2011","plainTextFormattedCitation":"(Christensen &amp; Lægreid 2011)","previouslyFormattedCitation":"(Christensen &amp; Lægreid 2011)"},"properties":{"noteIndex":0},"schema":"https://github.com/citation-style-language/schema/raw/master/csl-citation.json"}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(Christensen and Lægreid 2011</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{"citationItems":[{"id":"ITEM-1","itemData":{"editor":[{"dropping-particle":"","family":"Hammerschmid","given":"Gerhard","non-dropping-particle":"","parse-names":false,"suffix":""},{"dropping-particle":"","family":"Walle","given":"Steven","non-dropping-particle":"Van de","parse-names":false,"suffix":""},{"dropping-particle":"","family":"Andrews","given":"Rhys","non-dropping-particle":"","parse-names":false,"suffix":""},{"dropping-particle":"","family":"Bezes","given":"Phillipe","non-dropping-particle":"","parse-names":false,"suffix":""}],"id":"ITEM-1","issued":{"date-parts":[["2016"]]},"publisher":"Edward Elgar Publishing Limited","title":"Public administration reforms in Europe: The view from the top","type":"book"},"uris":["http://www.mendeley.com/documents/?uuid=907efad8-04b1-44d3-9b04-7cd552c16dde"]}],"mendeley":{"formattedCitation":"(Hammerschmid et al. 2016)","manualFormatting":"Hammerschmid et al., 2016)","plainTextFormattedCitation":"(Hammerschmid et al. 2016)","previouslyFormattedCitation":"(Hammerschmid et al. 2016)"},"properties":{"noteIndex":0},"schema":"https://github.com/citation-style-language/schema/raw/master/csl-citation.json"}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Hammerschmid et al., 2016)</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One example of the influence of NPM on public organisations was the increased importance of accountability such as financial performance reporting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{"citationItems":[{"id":"ITEM-1","itemData":{"DOI":"10.1016/j.accfor.2017.01.003","ISSN":"14676303","abstract":"The purpose of this editorial paper is to introduce the special issue and outline its majorthemes. This special issue of Accounting Forum aims to stimulate interdisciplinary and critical research on public sector reforms, particularly in the context of Public Private Partnerships and other public sector organisations. The editorial also seeks to provide a research agenda and new directions for more research in the field, considering the ambiguities of this hybrid organisational forms and the complexity of accounting and accountability reforms.","author":[{"dropping-particle":"","family":"Caperchione","given":"Eugenio","non-dropping-particle":"","parse-names":false,"suffix":""},{"dropping-particle":"","family":"Demirag","given":"Istemi","non-dropping-particle":"","parse-names":false,"suffix":""},{"dropping-particle":"","family":"Grossi","given":"Giuseppe","non-dropping-particle":"","parse-names":false,"suffix":""}],"container-title":"Accounting Forum","id":"ITEM-1","issue":"1","issued":{"date-parts":[["2017"]]},"page":"1-7","publisher":"Elsevier Ltd","title":"Public sector reforms and public private partnerships: Overview and research agenda","type":"article-journal","volume":"41"},"uris":["http://www.mendeley.com/documents/?uuid=0887ef78-d05a-434a-864a-f6737a46c642"]}],"mendeley":{"formattedCitation":"(Caperchione, Demirag &amp; Grossi 2017)","manualFormatting":"(Caperchione et al., 2017; ","plainTextFormattedCitation":"(Caperchione, Demirag &amp; Grossi 2017)","previouslyFormattedCitation":"(Caperchione, Demirag &amp; Grossi 2017)"},"properties":{"noteIndex":0},"schema":"https://github.com/citation-style-language/schema/raw/master/csl-citation.json"}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 xml:space="preserve">(Caperchione et al., 2017; </w:t>
      </w:r>
      <w:r w:rsidRPr="00E351FC">
        <w:rPr>
          <w:rFonts w:ascii="Times New Roman" w:hAnsi="Times New Roman"/>
          <w:szCs w:val="24"/>
          <w:lang w:eastAsia="en-GB"/>
        </w:rPr>
        <w:fldChar w:fldCharType="end"/>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{"citationItems":[{"id":"ITEM-1","itemData":{"author":[{"dropping-particle":"","family":"Pollanen","given":"Raili M.","non-dropping-particle":"","parse-names":false,"suffix":""}],"container-title":"International Journal of Business and Public Administration","id":"ITEM-1","issue":"2","issued":{"date-parts":[["2014"]]},"page":"105 - 120","title":"Annual performance reporting as accountability mechanism in local government","type":"article-journal","volume":"11"},"uris":["http://www.mendeley.com/documents/?uuid=15229cd0-3eed-4d09-8442-ecc412912fc3"]}],"mendeley":{"formattedCitation":"(Pollanen 2014)","manualFormatting":"Pollanen 2014)","plainTextFormattedCitation":"(Pollanen 2014)","previouslyFormattedCitation":"(Pollanen 2014)"},"properties":{"noteIndex":0},"schema":"https://github.com/citation-style-language/schema/raw/master/csl-citation.json"}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Pollanen 2014)</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Furthermore one of the underlying doctrinal components of NPM put forward by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{"citationItems":[{"id":"ITEM-1","itemData":{"DOI":"10.1016/0361-3682(93)E0001-W","ISSN":"03613682","abstract":"Changes in public sector accounting in a number of OECD countries over the 1980s were central to the rise of the \"New Public Management\" (NPM) and its associated doctrines of public accountability and organizational best practice. This paper discusses the rise of NPM as an alternative to the tradition of public accountability embodied in progressive-era public administration ideas. It argues that, in spite of allegations of internationalization and the adoption of a new global paradigm in public management, there was considerable variation in the extent to which different OECD countries adopted NPM over the 1980s. It further argues that conventional explanations of the rise of NPM (\"Englishness\", party political incumbency, economic performance record and government size) seem hard to sustain even from a relatively brief inspection of such cross-national data as are available, and that an explanation based on initial endowment may give us a different perspective on those changes. © 1995.","author":[{"dropping-particle":"","family":"Hood","given":"Christopher","non-dropping-particle":"","parse-names":false,"suffix":""}],"container-title":"Accounting, Organizations and Society","id":"ITEM-1","issue":"2-3","issued":{"date-parts":[["1995"]]},"page":"93-109","title":"The \"new public management\" in the 1980s: Variations on a theme","type":"article-journal","volume":"20"},"uris":["http://www.mendeley.com/documents/?uuid=90e8baf8-1570-4257-97a1-2279aa2177a9"]}],"mendeley":{"formattedCitation":"(Hood 1995)","manualFormatting":"Hood (1995)","plainTextFormattedCitation":"(Hood 1995)","previouslyFormattedCitation":"(Hood 1995)"},"properties":{"noteIndex":0},"schema":"https://github.com/citation-style-language/schema/raw/master/csl-citation.json"}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Hood (1995)</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was the adoption of formal measures of performance and success. The introduction of measurable standards was an attempt to address low trust in politicians and managers of public organisations (Hood, 1995). In some </w:t>
      </w:r>
      <w:proofErr w:type="gramStart"/>
      <w:r w:rsidRPr="00E351FC">
        <w:rPr>
          <w:rFonts w:ascii="Times New Roman" w:hAnsi="Times New Roman"/>
          <w:szCs w:val="24"/>
          <w:lang w:eastAsia="en-GB"/>
        </w:rPr>
        <w:t>cases</w:t>
      </w:r>
      <w:proofErr w:type="gramEnd"/>
      <w:r w:rsidRPr="00E351FC">
        <w:rPr>
          <w:rFonts w:ascii="Times New Roman" w:hAnsi="Times New Roman"/>
          <w:szCs w:val="24"/>
          <w:lang w:eastAsia="en-GB"/>
        </w:rPr>
        <w:t xml:space="preserve"> ‘gaming’ of performance reporting occurred whereby performance reporting was selective in the information provided (Try and Radnor</w:t>
      </w:r>
      <w:r w:rsidR="0015663D">
        <w:rPr>
          <w:rFonts w:ascii="Times New Roman" w:hAnsi="Times New Roman"/>
          <w:szCs w:val="24"/>
          <w:lang w:eastAsia="en-GB"/>
        </w:rPr>
        <w:t>,</w:t>
      </w:r>
      <w:r w:rsidRPr="00E351FC">
        <w:rPr>
          <w:rFonts w:ascii="Times New Roman" w:hAnsi="Times New Roman"/>
          <w:szCs w:val="24"/>
          <w:lang w:eastAsia="en-GB"/>
        </w:rPr>
        <w:t xml:space="preserve"> 2007; Walker, 2002). ‘Gaming’ is used to refer to reported data having a degree of distortion </w:t>
      </w:r>
      <w:r w:rsidRPr="00E351FC">
        <w:rPr>
          <w:rFonts w:ascii="Times New Roman" w:hAnsi="Times New Roman"/>
          <w:szCs w:val="24"/>
          <w:lang w:eastAsia="en-GB"/>
        </w:rPr>
        <w:fldChar w:fldCharType="begin" w:fldLock="1"/>
      </w:r>
      <w:r w:rsidR="0015663D">
        <w:rPr>
          <w:rFonts w:ascii="Times New Roman" w:hAnsi="Times New Roman"/>
          <w:szCs w:val="24"/>
          <w:lang w:eastAsia="en-GB"/>
        </w:rPr>
        <w:instrText>ADDIN CSL_CITATION {"citationItems":[{"id":"ITEM-1","itemData":{"DOI":"10.1111/1467-8500.12225","ISSN":"14678500","abstract":"Regulatory authorities are increasingly relying upon performance data for developing public policy. However, this reliance necessarily assumes that the data are free from material distortion. This paper provides a conceptual framework for understanding the ‘means’, ‘motive’, and ‘opportunity’ for distorting data employed in high-stakes performance-management programmes. We present empirical evidence which suggests that the use of data drawn entirely from financial statements by no means guarantees a distortion-free depiction of performance. In addition, we provide econometric evidence of some important determinants of performance data distortion. Taken as a whole, the following analysis provides a comprehensive picture of the salient matters which must be addressed to ensure accurate data for public policy-making purposes.","author":[{"dropping-particle":"","family":"Drew","given":"Joseph","non-dropping-particle":"","parse-names":false,"suffix":""},{"dropping-particle":"","family":"Grant","given":"Bligh","non-dropping-particle":"","parse-names":false,"suffix":""}],"container-title":"Australian Journal of Public Administration","id":"ITEM-1","issue":"2","issued":{"date-parts":[["2017"]]},"page":"237-250","title":"Means, motive, and opportunity – local government data distortion in a high-stakes environment","type":"article-journal","volume":"76"},"uris":["http://www.mendeley.com/documents/?uuid=f7facaf7-a2d8-4719-ba2f-5bd0ac289a2a"]}],"mendeley":{"formattedCitation":"(Drew &amp; Grant 2017)","manualFormatting":"(Drew and Grant, 2017)","plainTextFormattedCitation":"(Drew &amp; Grant 2017)","previouslyFormattedCitation":"(Drew &amp; Grant 2017)"},"properties":{"noteIndex":0},"schema":"https://github.com/citation-style-language/schema/raw/master/csl-citation.json"}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(Drew and Grant</w:t>
      </w:r>
      <w:r w:rsidR="0015663D">
        <w:rPr>
          <w:rFonts w:ascii="Times New Roman" w:hAnsi="Times New Roman"/>
          <w:noProof/>
          <w:szCs w:val="24"/>
          <w:lang w:eastAsia="en-GB"/>
        </w:rPr>
        <w:t>,</w:t>
      </w:r>
      <w:r w:rsidRPr="00E351FC">
        <w:rPr>
          <w:rFonts w:ascii="Times New Roman" w:hAnsi="Times New Roman"/>
          <w:noProof/>
          <w:szCs w:val="24"/>
          <w:lang w:eastAsia="en-GB"/>
        </w:rPr>
        <w:t xml:space="preserve"> 2017)</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p>
    <w:p w14:paraId="3439E65A" w14:textId="77777777" w:rsidR="0017688F" w:rsidRDefault="0017688F" w:rsidP="00E351FC">
      <w:pPr>
        <w:tabs>
          <w:tab w:val="left" w:pos="284"/>
        </w:tabs>
        <w:spacing w:line="276" w:lineRule="auto"/>
        <w:ind w:right="-737"/>
        <w:contextualSpacing/>
        <w:jc w:val="both"/>
        <w:rPr>
          <w:rFonts w:ascii="Times New Roman" w:hAnsi="Times New Roman"/>
          <w:szCs w:val="24"/>
          <w:lang w:eastAsia="en-GB"/>
        </w:rPr>
      </w:pPr>
    </w:p>
    <w:p w14:paraId="2C46D8D9" w14:textId="713D51CC" w:rsidR="00E351FC" w:rsidRPr="00E351FC" w:rsidRDefault="00E351FC" w:rsidP="00E351FC">
      <w:pPr>
        <w:tabs>
          <w:tab w:val="left" w:pos="284"/>
        </w:tabs>
        <w:spacing w:line="276" w:lineRule="auto"/>
        <w:ind w:right="-737"/>
        <w:contextualSpacing/>
        <w:jc w:val="both"/>
        <w:rPr>
          <w:rFonts w:ascii="Times New Roman" w:hAnsi="Times New Roman"/>
          <w:szCs w:val="24"/>
          <w:lang w:eastAsia="en-GB"/>
        </w:rPr>
      </w:pPr>
      <w:r w:rsidRPr="00E351FC">
        <w:rPr>
          <w:rFonts w:ascii="Times New Roman" w:hAnsi="Times New Roman"/>
          <w:szCs w:val="24"/>
          <w:lang w:eastAsia="en-GB"/>
        </w:rPr>
        <w:t>A</w:t>
      </w:r>
      <w:r w:rsidR="0015663D">
        <w:rPr>
          <w:rFonts w:ascii="Times New Roman" w:hAnsi="Times New Roman"/>
          <w:szCs w:val="24"/>
          <w:lang w:eastAsia="en-GB"/>
        </w:rPr>
        <w:t>s well as gaming, a</w:t>
      </w:r>
      <w:r w:rsidRPr="00E351FC">
        <w:rPr>
          <w:rFonts w:ascii="Times New Roman" w:hAnsi="Times New Roman"/>
          <w:szCs w:val="24"/>
          <w:lang w:eastAsia="en-GB"/>
        </w:rPr>
        <w:t xml:space="preserve">n unintended consequence of NPM was the creation of new barriers to efficiency, such as duplication of roles, reduced public service ethos and increased costs; all of which led to a reduction in NPM reforms in some countries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{"citationItems":[{"id":"ITEM-1","itemData":{"DOI":"10.1080/14782804.2017.1352494","ISSN":"14782790","abstract":"Since 1980s, European Union countries have witnessed significant transformations as regards public management reforms. This era can be examined in two periods. Until mid-1990s the reforms were heavily influenced by the principles of new public management (NPM) paradigm whereas the second period of reforms was handled in the midst of intense criticism towards NPM. Today debate on public management reforms is omnipresent in the entire European Union. On the other hand, the EU requests candidate countries to put into practice public management reforms. The potential effectiveness of such demands is far from being clear in an environment where intense debates are ongoing over the path that public management reforms should take. Some studies show that there is increasing confusion on the direction of public management reforms especially after the 2008 economic crisis. In Turkey, reactionary measures were taken against NPM regulations which led to the fragmentation of central authority: independent regulatory agencies were put under tighter control of the government, and prime minister’s office and president’s office were expanded and reinforced. A closer look at these practices implicates that these steps are beyond fashioning an integrated administration as a response to the fragmentation in the central government.","author":[{"dropping-particle":"","family":"Demir","given":"Fatih","non-dropping-particle":"","parse-names":false,"suffix":""}],"container-title":"Journal of Contemporary European Studies","id":"ITEM-1","issue":"2","issued":{"date-parts":[["2018"]]},"page":"149-164","publisher":"Routledge","title":"Post-NPM and re-centralisation: current themes in Europe and Turkey","type":"article-journal","volume":"26"},"uris":["http://www.mendeley.com/documents/?uuid=a113c2c5-79e8-4ca0-99c9-ec1396e4d266"]}],"mendeley":{"formattedCitation":"(Demir 2018)","manualFormatting":"(Demir, 2018","plainTextFormattedCitation":"(Demir 2018)","previouslyFormattedCitation":"(Demir 2018)"},"properties":{"noteIndex":0},"schema":"https://github.com/citation-style-language/schema/raw/master/csl-citation.json"}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(Demir, 2018</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{"citationItems":[{"id":"ITEM-1","itemData":{"DOI":"10.1093/jopart/mui057","ISSN":"10531858","abstract":"The \"new public management\" (NPM) wave in public sector organizational change was founded on themes of disaggregation, competition, and incentivization. Although its effects are still working through in countries new to NPM, this wave has now largely stalled or been reversed in some key \"leading-edge\" countries. This ebbing chiefly reflects the cumulation of adverse indirect effects on citizens' capacities for solving social problems because NPM has radically increased institutional and policy complexity. The character of the post-NPM regime is currently being formed. We set out the case that a range of connected and information technology-centered changes will be critical for the current and next wave of change, and we focus on themes of reintegration, needs-based holism, and digitization changes. The overall movement incorporating these new shifts is toward \"digital-era governance\" (DEG), which involves reintegrating functions into the governmental sphere, adopting holistic and needs-oriented structures, and progressing digitalization of administrative processes. DEG offers a perhaps unique opportunity to create self-sustaining change, in a broad range of closely connected technological, organizational, cultural, and social effects. But there are alternative scenarios as to how far DEG will be recognized as a coherent phenomenon and implemented successfully.","author":[{"dropping-particle":"","family":"Dunleavy","given":"Patrick","non-dropping-particle":"","parse-names":false,"suffix":""},{"dropping-particle":"","family":"Margetts","given":"Helen","non-dropping-particle":"","parse-names":false,"suffix":""},{"dropping-particle":"","family":"Bastow","given":"Simon","non-dropping-particle":"","parse-names":false,"suffix":""},{"dropping-particle":"","family":"Tinkler","given":"Jane","non-dropping-particle":"","parse-names":false,"suffix":""}],"container-title":"Journal of Public Administration Research and Theory","id":"ITEM-1","issue":"3","issued":{"date-parts":[["2005","9","15"]]},"page":"467-494","publisher":"Oxford University Press","title":"New public management is dead - Long live digital-era governance","type":"article","volume":"16"},"uris":["http://www.mendeley.com/documents/?uuid=27de8ffc-32d6-3f77-864b-18ebe9174f32"]}],"mendeley":{"formattedCitation":"(Dunleavy et al. 2005)","manualFormatting":"Dunleavy et al., 2005)","plainTextFormattedCitation":"(Dunleavy et al. 2005)","previouslyFormattedCitation":"(Dunleavy et al. 2005)"},"properties":{"noteIndex":0},"schema":"https://github.com/citation-style-language/schema/raw/master/csl-citation.json"}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Dunleavy et al., 2005)</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Known as ‘Post-NPM reforms’, the revision of government processes including transparent decision making, community engagement and decentralisation commenced in the late 1990s and continues throughout international government agencies </w:t>
      </w:r>
      <w:r w:rsidRPr="00E351FC">
        <w:rPr>
          <w:rFonts w:ascii="Times New Roman" w:hAnsi="Times New Roman"/>
          <w:szCs w:val="24"/>
          <w:lang w:eastAsia="en-GB"/>
        </w:rPr>
        <w:fldChar w:fldCharType="begin" w:fldLock="1"/>
      </w:r>
      <w:r w:rsidR="00707D7B">
        <w:rPr>
          <w:rFonts w:ascii="Times New Roman" w:hAnsi="Times New Roman"/>
          <w:szCs w:val="24"/>
          <w:lang w:eastAsia="en-GB"/>
        </w:rPr>
        <w:instrText>ADDIN CSL_CITATION {"citationItems":[{"id":"ITEM-1","itemData":{"DOI":"10.1017/S1755773910000299","ISBN":"1755-7739","ISSN":"17557747","abstract":"This article presents an analytical platform for discussing and analyzing administrative reforms in terms of democracy. First, we present the democratic theory positions represented by output democracy and input democracy. These two positions are used to classify different types of reform. The second explanatory approach on democracy and reforms is transformative, and it applies a mixture of external features, domestic administrative culture, and polity features to understand variations in the democratic aspects of public sector reforms. Central issues are whether these reforms can be seen as alternatives or whether they complement each other in terms of layering processes. Third, we take a broad overview of New Public Management (NPM) and post-NPM reforms and carry out an in-depth analysis of a new administrative policy report by the Norwegian centre-left government. Finally, we discuss briefly the broader comparative implications of our findings.","author":[{"dropping-particle":"","family":"Christensen","given":"Tom","non-dropping-particle":"","parse-names":false,"suffix":""},{"dropping-particle":"","family":"Lægreid","given":"Per","non-dropping-particle":"","parse-names":false,"suffix":""}],"container-title":"European Political Science Review","id":"ITEM-1","issue":"1","issued":{"date-parts":[["2011"]]},"page":"125-146","title":"Democracy and administrative policy: Contrasting elements of New Public Management (NPM) and post-NPM","type":"article-journal","volume":"3"},"uris":["http://www.mendeley.com/documents/?uuid=4e540b1d-3998-4ca5-8686-b62fbb509184"]}],"mendeley":{"formattedCitation":"(Christensen &amp; Lægreid 2011)","manualFormatting":"(Christensen and Lægreid, 2011;","plainTextFormattedCitation":"(Christensen &amp; Lægreid 2011)","previouslyFormattedCitation":"(Christensen &amp; Lægreid 2011)"},"properties":{"noteIndex":0},"schema":"https://github.com/citation-style-language/schema/raw/master/csl-citation.json"}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(Christensen and Lægreid</w:t>
      </w:r>
      <w:r w:rsidR="00707D7B">
        <w:rPr>
          <w:rFonts w:ascii="Times New Roman" w:hAnsi="Times New Roman"/>
          <w:noProof/>
          <w:szCs w:val="24"/>
          <w:lang w:eastAsia="en-GB"/>
        </w:rPr>
        <w:t>,</w:t>
      </w:r>
      <w:r w:rsidRPr="00E351FC">
        <w:rPr>
          <w:rFonts w:ascii="Times New Roman" w:hAnsi="Times New Roman"/>
          <w:noProof/>
          <w:szCs w:val="24"/>
          <w:lang w:eastAsia="en-GB"/>
        </w:rPr>
        <w:t xml:space="preserve"> 2011;</w:t>
      </w:r>
      <w:r w:rsidRPr="00E351FC">
        <w:rPr>
          <w:rFonts w:ascii="Times New Roman" w:hAnsi="Times New Roman"/>
          <w:szCs w:val="24"/>
          <w:lang w:eastAsia="en-GB"/>
        </w:rPr>
        <w:fldChar w:fldCharType="end"/>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{"citationItems":[{"id":"ITEM-1","itemData":{"DOI":"10.1080/14782804.2017.1352494","ISSN":"14782790","abstract":"Since 1980s, European Union countries have witnessed significant transformations as regards public management reforms. This era can be examined in two periods. Until mid-1990s the reforms were heavily influenced by the principles of new public management (NPM) paradigm whereas the second period of reforms was handled in the midst of intense criticism towards NPM. Today debate on public management reforms is omnipresent in the entire European Union. On the other hand, the EU requests candidate countries to put into practice public management reforms. The potential effectiveness of such demands is far from being clear in an environment where intense debates are ongoing over the path that public management reforms should take. Some studies show that there is increasing confusion on the direction of public management reforms especially after the 2008 economic crisis. In Turkey, reactionary measures were taken against NPM regulations which led to the fragmentation of central authority: independent regulatory agencies were put under tighter control of the government, and prime minister’s office and president’s office were expanded and reinforced. A closer look at these practices implicates that these steps are beyond fashioning an integrated administration as a response to the fragmentation in the central government.","author":[{"dropping-particle":"","family":"Demir","given":"Fatih","non-dropping-particle":"","parse-names":false,"suffix":""}],"container-title":"Journal of Contemporary European Studies","id":"ITEM-1","issue":"2","issued":{"date-parts":[["2018"]]},"page":"149-164","publisher":"Routledge","title":"Post-NPM and re-centralisation: current themes in Europe and Turkey","type":"article-journal","volume":"26"},"uris":["http://www.mendeley.com/documents/?uuid=a113c2c5-79e8-4ca0-99c9-ec1396e4d266"]}],"mendeley":{"formattedCitation":"(Demir 2018)","manualFormatting":" Demir 2018)","plainTextFormattedCitation":"(Demir 2018)","previouslyFormattedCitation":"(Demir 2018)"},"properties":{"noteIndex":0},"schema":"https://github.com/citation-style-language/schema/raw/master/csl-citation.json"}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 xml:space="preserve"> Demir 2018)</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The level of NPM is variable between countries, with some still following the NPM practices with others progressing toward post-NPM reforms </w:t>
      </w:r>
      <w:r w:rsidRPr="00E351FC">
        <w:rPr>
          <w:rFonts w:ascii="Times New Roman" w:hAnsi="Times New Roman"/>
          <w:szCs w:val="24"/>
          <w:lang w:eastAsia="en-GB"/>
        </w:rPr>
        <w:fldChar w:fldCharType="begin" w:fldLock="1"/>
      </w:r>
      <w:r w:rsidR="00707D7B">
        <w:rPr>
          <w:rFonts w:ascii="Times New Roman" w:hAnsi="Times New Roman"/>
          <w:szCs w:val="24"/>
          <w:lang w:eastAsia="en-GB"/>
        </w:rPr>
        <w:instrText>ADDIN CSL_CITATION {"citationItems":[{"id":"ITEM-1","itemData":{"editor":[{"dropping-particle":"","family":"Hammerschmid","given":"Gerhard","non-dropping-particle":"","parse-names":false,"suffix":""},{"dropping-particle":"","family":"Walle","given":"Steven","non-dropping-particle":"Van de","parse-names":false,"suffix":""},{"dropping-particle":"","family":"Andrews","given":"Rhys","non-dropping-particle":"","parse-names":false,"suffix":""},{"dropping-particle":"","family":"Bezes","given":"Phillipe","non-dropping-particle":"","parse-names":false,"suffix":""}],"id":"ITEM-1","issued":{"date-parts":[["2016"]]},"publisher":"Edward Elgar Publishing Limited","title":"Public administration reforms in Europe: The view from the top","type":"book"},"uris":["http://www.mendeley.com/documents/?uuid=907efad8-04b1-44d3-9b04-7cd552c16dde"]}],"mendeley":{"formattedCitation":"(Hammerschmid et al. 2016)","manualFormatting":"(Hammerschmid et al., 2016)","plainTextFormattedCitation":"(Hammerschmid et al. 2016)","previouslyFormattedCitation":"(Hammerschmid et al. 2016)"},"properties":{"noteIndex":0},"schema":"https://github.com/citation-style-language/schema/raw/master/csl-citation.json"}</w:instrText>
      </w:r>
      <w:r w:rsidRPr="00E351FC">
        <w:rPr>
          <w:rFonts w:ascii="Times New Roman" w:hAnsi="Times New Roman"/>
          <w:szCs w:val="24"/>
          <w:lang w:eastAsia="en-GB"/>
        </w:rPr>
        <w:fldChar w:fldCharType="separate"/>
      </w:r>
      <w:r w:rsidR="00A36866" w:rsidRPr="00A36866">
        <w:rPr>
          <w:rFonts w:ascii="Times New Roman" w:hAnsi="Times New Roman"/>
          <w:noProof/>
          <w:szCs w:val="24"/>
          <w:lang w:eastAsia="en-GB"/>
        </w:rPr>
        <w:t>(Hammerschmid et al.</w:t>
      </w:r>
      <w:r w:rsidR="00707D7B">
        <w:rPr>
          <w:rFonts w:ascii="Times New Roman" w:hAnsi="Times New Roman"/>
          <w:noProof/>
          <w:szCs w:val="24"/>
          <w:lang w:eastAsia="en-GB"/>
        </w:rPr>
        <w:t>,</w:t>
      </w:r>
      <w:r w:rsidR="00A36866" w:rsidRPr="00A36866">
        <w:rPr>
          <w:rFonts w:ascii="Times New Roman" w:hAnsi="Times New Roman"/>
          <w:noProof/>
          <w:szCs w:val="24"/>
          <w:lang w:eastAsia="en-GB"/>
        </w:rPr>
        <w:t xml:space="preserve"> 2016)</w:t>
      </w:r>
      <w:r w:rsidRPr="00E351FC">
        <w:rPr>
          <w:rFonts w:ascii="Times New Roman" w:hAnsi="Times New Roman"/>
          <w:szCs w:val="24"/>
          <w:lang w:eastAsia="en-GB"/>
        </w:rPr>
        <w:fldChar w:fldCharType="end"/>
      </w:r>
      <w:r w:rsidRPr="00E351FC">
        <w:rPr>
          <w:rFonts w:ascii="Times New Roman" w:hAnsi="Times New Roman"/>
          <w:szCs w:val="24"/>
          <w:lang w:eastAsia="en-GB"/>
        </w:rPr>
        <w:t>. Despite the curtailment of NP</w:t>
      </w:r>
      <w:r w:rsidR="00834089">
        <w:rPr>
          <w:rFonts w:ascii="Times New Roman" w:hAnsi="Times New Roman"/>
          <w:szCs w:val="24"/>
          <w:lang w:eastAsia="en-GB"/>
        </w:rPr>
        <w:t>M</w:t>
      </w:r>
      <w:r w:rsidRPr="00E351FC">
        <w:rPr>
          <w:rFonts w:ascii="Times New Roman" w:hAnsi="Times New Roman"/>
          <w:szCs w:val="24"/>
          <w:lang w:eastAsia="en-GB"/>
        </w:rPr>
        <w:t xml:space="preserve"> the mandatory performance reporting of public organisational performance </w:t>
      </w:r>
      <w:r w:rsidR="00057413">
        <w:rPr>
          <w:rFonts w:ascii="Times New Roman" w:hAnsi="Times New Roman"/>
          <w:szCs w:val="24"/>
          <w:lang w:eastAsia="en-GB"/>
        </w:rPr>
        <w:t xml:space="preserve">focused on financial statements </w:t>
      </w:r>
      <w:r w:rsidRPr="00E351FC">
        <w:rPr>
          <w:rFonts w:ascii="Times New Roman" w:hAnsi="Times New Roman"/>
          <w:szCs w:val="24"/>
          <w:lang w:eastAsia="en-GB"/>
        </w:rPr>
        <w:t xml:space="preserve">has remained in NSW local government.  </w:t>
      </w:r>
    </w:p>
    <w:p w14:paraId="34F9C19E" w14:textId="77777777" w:rsidR="00E351FC" w:rsidRPr="00E351FC" w:rsidRDefault="00E351FC" w:rsidP="00E351FC">
      <w:pPr>
        <w:tabs>
          <w:tab w:val="left" w:pos="284"/>
        </w:tabs>
        <w:spacing w:line="276" w:lineRule="auto"/>
        <w:ind w:right="-738"/>
        <w:contextualSpacing/>
        <w:jc w:val="both"/>
        <w:rPr>
          <w:rFonts w:ascii="Times New Roman" w:hAnsi="Times New Roman"/>
          <w:szCs w:val="24"/>
          <w:lang w:eastAsia="en-GB"/>
        </w:rPr>
      </w:pPr>
    </w:p>
    <w:p w14:paraId="6C859A7F" w14:textId="77777777" w:rsidR="00E351FC" w:rsidRDefault="00E351FC" w:rsidP="00E351FC">
      <w:pPr>
        <w:tabs>
          <w:tab w:val="left" w:pos="284"/>
        </w:tabs>
        <w:spacing w:line="276" w:lineRule="auto"/>
        <w:ind w:right="-738"/>
        <w:contextualSpacing/>
        <w:jc w:val="both"/>
        <w:rPr>
          <w:rFonts w:ascii="Times New Roman" w:hAnsi="Times New Roman"/>
          <w:szCs w:val="24"/>
          <w:lang w:eastAsia="en-GB"/>
        </w:rPr>
      </w:pPr>
      <w:r w:rsidRPr="00E351FC">
        <w:rPr>
          <w:rFonts w:ascii="Times New Roman" w:hAnsi="Times New Roman"/>
          <w:szCs w:val="24"/>
          <w:lang w:eastAsia="en-GB"/>
        </w:rPr>
        <w:t>Public interest of government performance regularly focuses on projects rather than ongoing management of day-to-day operations due to the exciting nature of projects, the defined goals, and finite schedule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{"citationItems":[{"id":"ITEM-1","itemData":{"author":[{"dropping-particle":"","family":"Rosenthal","given":"Stephen R","non-dropping-particle":"","parse-names":false,"suffix":""}],"container-title":"Journal of Policy Analysis and Management","id":"ITEM-1","issue":"1","issued":{"date-parts":[["1989"]]},"page":"110-116","title":"Producing results in government: Moving beyond project management and its limited view of success","type":"article-journal","volume":"8"},"uris":["http://www.mendeley.com/documents/?uuid=bbfbb88e-0765-4c29-81ce-5dc6ab7ac2b9"]}],"mendeley":{"formattedCitation":"(Rosenthal 1989)","manualFormatting":"Rosenthal, 1989)","plainTextFormattedCitation":"(Rosenthal 1989)","previouslyFormattedCitation":"(Rosenthal 1989)"},"properties":{"noteIndex":0},"schema":"https://github.com/citation-style-language/schema/raw/master/csl-citation.json"}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Rosenthal, 1989)</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This public interest is reflected in various local government prizes and awards which are primarily focused on large capital projects. Even the way councils communicate with their ratepayers and the wider community demonstrates a difference between projects and operations. Often newsletters and websites showcase the latest capital project to be completed by a council rather than improvements in services even though the latter may have brought about commensurate financial savings or other benefits. For example councils can achieve significant savings through ad hoc resource sharing between adjacent councils for functional areas such as waste disposal and administrative services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{"citationItems":[{"id":"ITEM-1","itemData":{"DOI":"10.1080/0811114042000335278","ISSN":"14767244","abstract":"Broad consensus exists in Australian policy circles on the need to enhance the efficiency of local government. However, the question of the most appropriate model for local governance remains controversial. Quite apart from larger amalgamated municipalities, a range of promising alternative options can be identified that may be able to effectively combine more efficient service delivery with vibrant local democracy, including existing small councils, ad hoc resource sharing models, Regional Organizations of Councils (ROCs), area integration and joint board models, virtual local government, and agency models. This article seeks to identify and evaluate the characteristics of these alternative models. © 2005 Editorial Board, Urban Policy and Research.","author":[{"dropping-particle":"","family":"Dollery","given":"Brian","non-dropping-particle":"","parse-names":false,"suffix":""},{"dropping-particle":"","family":"Johnson","given":"Andrew","non-dropping-particle":"","parse-names":false,"suffix":""}],"container-title":"Urban Policy and Research","id":"ITEM-1","issue":"1","issued":{"date-parts":[["2005"]]},"page":"73-85","title":"Enhancing efficiency in Australian local government: An evaluation of alternative models of municipal governance","type":"article-journal","volume":"23"},"uris":["http://www.mendeley.com/documents/?uuid=d3cfa1b1-bd89-4a3f-b2cb-77583c9a2e8b"]}],"mendeley":{"formattedCitation":"(Dollery &amp; Johnson 2005)","manualFormatting":"(Dollery and Johnson, 2005)","plainTextFormattedCitation":"(Dollery &amp; Johnson 2005)","previouslyFormattedCitation":"(Dollery &amp; Johnson 2005)"},"properties":{"noteIndex":0},"schema":"https://github.com/citation-style-language/schema/raw/master/csl-citation.json"}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(Dollery and Johnson, 2005)</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proofErr w:type="gramStart"/>
      <w:r w:rsidRPr="00E351FC">
        <w:rPr>
          <w:rFonts w:ascii="Times New Roman" w:hAnsi="Times New Roman"/>
          <w:szCs w:val="24"/>
          <w:lang w:eastAsia="en-GB"/>
        </w:rPr>
        <w:t>However</w:t>
      </w:r>
      <w:proofErr w:type="gramEnd"/>
      <w:r w:rsidRPr="00E351FC">
        <w:rPr>
          <w:rFonts w:ascii="Times New Roman" w:hAnsi="Times New Roman"/>
          <w:szCs w:val="24"/>
          <w:lang w:eastAsia="en-GB"/>
        </w:rPr>
        <w:t xml:space="preserve"> </w:t>
      </w:r>
      <w:r w:rsidRPr="00E351FC">
        <w:rPr>
          <w:rFonts w:ascii="Times New Roman" w:hAnsi="Times New Roman"/>
          <w:szCs w:val="24"/>
          <w:lang w:eastAsia="en-GB"/>
        </w:rPr>
        <w:lastRenderedPageBreak/>
        <w:t xml:space="preserve">resource sharing is unlikely to be promoted by the councils involved possibly due to the low community interest.  </w:t>
      </w:r>
    </w:p>
    <w:p w14:paraId="5C84DAA5" w14:textId="77777777" w:rsidR="009C7D82" w:rsidRPr="00707D7B" w:rsidRDefault="00707D7B" w:rsidP="00707D7B">
      <w:pPr>
        <w:pStyle w:val="Heading1"/>
        <w:tabs>
          <w:tab w:val="left" w:pos="284"/>
        </w:tabs>
        <w:spacing w:line="276" w:lineRule="auto"/>
        <w:ind w:right="-737"/>
        <w:jc w:val="both"/>
        <w:rPr>
          <w:i/>
          <w:iCs/>
          <w:kern w:val="0"/>
          <w:szCs w:val="28"/>
        </w:rPr>
      </w:pPr>
      <w:r>
        <w:rPr>
          <w:i/>
          <w:iCs/>
          <w:kern w:val="0"/>
          <w:szCs w:val="28"/>
        </w:rPr>
        <w:t xml:space="preserve">1.3 </w:t>
      </w:r>
      <w:r w:rsidRPr="00707D7B">
        <w:rPr>
          <w:i/>
          <w:iCs/>
          <w:kern w:val="0"/>
          <w:szCs w:val="28"/>
        </w:rPr>
        <w:t xml:space="preserve">Amalgamation in local government </w:t>
      </w:r>
    </w:p>
    <w:p w14:paraId="6FC4C3FB" w14:textId="1B78B943" w:rsidR="009C7D82" w:rsidRPr="00E351FC" w:rsidRDefault="00FB02F7" w:rsidP="00E351F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Performance reporting of NSW local government has been used to </w:t>
      </w:r>
      <w:r w:rsidR="00707D7B">
        <w:rPr>
          <w:rFonts w:ascii="Times New Roman" w:hAnsi="Times New Roman"/>
          <w:szCs w:val="24"/>
          <w:lang w:eastAsia="en-GB"/>
        </w:rPr>
        <w:t>support</w:t>
      </w:r>
      <w:r>
        <w:rPr>
          <w:rFonts w:ascii="Times New Roman" w:hAnsi="Times New Roman"/>
          <w:szCs w:val="24"/>
          <w:lang w:eastAsia="en-GB"/>
        </w:rPr>
        <w:t xml:space="preserve"> a reduction in the number of councils through amalgamation. </w:t>
      </w:r>
      <w:r w:rsidR="009C7D82">
        <w:rPr>
          <w:rFonts w:ascii="Times New Roman" w:hAnsi="Times New Roman"/>
          <w:szCs w:val="24"/>
          <w:lang w:eastAsia="en-GB"/>
        </w:rPr>
        <w:t xml:space="preserve">Significant savings and improved efficiencies have been put forward as reasons to amalgamate NSW councils (Drew, </w:t>
      </w:r>
      <w:proofErr w:type="spellStart"/>
      <w:r w:rsidR="009C7D82">
        <w:rPr>
          <w:rFonts w:ascii="Times New Roman" w:hAnsi="Times New Roman"/>
          <w:szCs w:val="24"/>
          <w:lang w:eastAsia="en-GB"/>
        </w:rPr>
        <w:t>Kort</w:t>
      </w:r>
      <w:proofErr w:type="spellEnd"/>
      <w:r w:rsidR="009C7D82">
        <w:rPr>
          <w:rFonts w:ascii="Times New Roman" w:hAnsi="Times New Roman"/>
          <w:szCs w:val="24"/>
          <w:lang w:eastAsia="en-GB"/>
        </w:rPr>
        <w:t xml:space="preserve"> and </w:t>
      </w:r>
      <w:proofErr w:type="spellStart"/>
      <w:r w:rsidR="009C7D82">
        <w:rPr>
          <w:rFonts w:ascii="Times New Roman" w:hAnsi="Times New Roman"/>
          <w:szCs w:val="24"/>
          <w:lang w:eastAsia="en-GB"/>
        </w:rPr>
        <w:t>Dollery</w:t>
      </w:r>
      <w:proofErr w:type="spellEnd"/>
      <w:r w:rsidR="009C7D82">
        <w:rPr>
          <w:rFonts w:ascii="Times New Roman" w:hAnsi="Times New Roman"/>
          <w:szCs w:val="24"/>
          <w:lang w:eastAsia="en-GB"/>
        </w:rPr>
        <w:t xml:space="preserve">, 2017). </w:t>
      </w:r>
      <w:r>
        <w:rPr>
          <w:rFonts w:ascii="Times New Roman" w:hAnsi="Times New Roman"/>
          <w:szCs w:val="24"/>
          <w:lang w:eastAsia="en-GB"/>
        </w:rPr>
        <w:t xml:space="preserve">Local government reform has been primarily driven </w:t>
      </w:r>
      <w:r w:rsidRPr="00FB02F7">
        <w:rPr>
          <w:rFonts w:ascii="Times New Roman" w:hAnsi="Times New Roman"/>
          <w:szCs w:val="24"/>
          <w:lang w:eastAsia="en-GB"/>
        </w:rPr>
        <w:t>by the NSW state government through the O</w:t>
      </w:r>
      <w:r>
        <w:rPr>
          <w:rFonts w:ascii="Times New Roman" w:hAnsi="Times New Roman"/>
          <w:szCs w:val="24"/>
          <w:lang w:eastAsia="en-GB"/>
        </w:rPr>
        <w:t xml:space="preserve">ffice of </w:t>
      </w:r>
      <w:r w:rsidRPr="00FB02F7">
        <w:rPr>
          <w:rFonts w:ascii="Times New Roman" w:hAnsi="Times New Roman"/>
          <w:szCs w:val="24"/>
          <w:lang w:eastAsia="en-GB"/>
        </w:rPr>
        <w:t>L</w:t>
      </w:r>
      <w:r>
        <w:rPr>
          <w:rFonts w:ascii="Times New Roman" w:hAnsi="Times New Roman"/>
          <w:szCs w:val="24"/>
          <w:lang w:eastAsia="en-GB"/>
        </w:rPr>
        <w:t xml:space="preserve">ocal </w:t>
      </w:r>
      <w:r w:rsidRPr="00FB02F7">
        <w:rPr>
          <w:rFonts w:ascii="Times New Roman" w:hAnsi="Times New Roman"/>
          <w:szCs w:val="24"/>
          <w:lang w:eastAsia="en-GB"/>
        </w:rPr>
        <w:t>G</w:t>
      </w:r>
      <w:r>
        <w:rPr>
          <w:rFonts w:ascii="Times New Roman" w:hAnsi="Times New Roman"/>
          <w:szCs w:val="24"/>
          <w:lang w:eastAsia="en-GB"/>
        </w:rPr>
        <w:t>overnment</w:t>
      </w:r>
      <w:r w:rsidRPr="00FB02F7">
        <w:rPr>
          <w:rFonts w:ascii="Times New Roman" w:hAnsi="Times New Roman"/>
          <w:szCs w:val="24"/>
          <w:lang w:eastAsia="en-GB"/>
        </w:rPr>
        <w:t xml:space="preserve"> </w:t>
      </w:r>
      <w:r w:rsidR="00057413">
        <w:rPr>
          <w:rFonts w:ascii="Times New Roman" w:hAnsi="Times New Roman"/>
          <w:szCs w:val="24"/>
          <w:lang w:eastAsia="en-GB"/>
        </w:rPr>
        <w:t xml:space="preserve">NSW (OLG NSW) </w:t>
      </w:r>
      <w:r w:rsidRPr="00FB02F7">
        <w:rPr>
          <w:rFonts w:ascii="Times New Roman" w:hAnsi="Times New Roman"/>
          <w:szCs w:val="24"/>
          <w:lang w:eastAsia="en-GB"/>
        </w:rPr>
        <w:t>in order to create sustainable councils which are able to meet the future needs of the community</w:t>
      </w:r>
      <w:r>
        <w:rPr>
          <w:rFonts w:ascii="Times New Roman" w:hAnsi="Times New Roman"/>
          <w:szCs w:val="24"/>
          <w:lang w:eastAsia="en-GB"/>
        </w:rPr>
        <w:t xml:space="preserve"> </w:t>
      </w:r>
      <w:r w:rsidR="00057413">
        <w:rPr>
          <w:rFonts w:ascii="Times New Roman" w:hAnsi="Times New Roman"/>
          <w:szCs w:val="24"/>
          <w:lang w:eastAsia="en-GB"/>
        </w:rPr>
        <w:fldChar w:fldCharType="begin" w:fldLock="1"/>
      </w:r>
      <w:r w:rsidR="00057413">
        <w:rPr>
          <w:rFonts w:ascii="Times New Roman" w:hAnsi="Times New Roman"/>
          <w:szCs w:val="24"/>
          <w:lang w:eastAsia="en-GB"/>
        </w:rPr>
        <w:instrText>ADDIN CSL_CITATION {"citationItems":[{"id":"ITEM-1","itemData":{"author":[{"dropping-particle":"","family":"Office of Local Government NSW","given":"","non-dropping-particle":"","parse-names":false,"suffix":""}],"id":"ITEM-1","issued":{"date-parts":[["2016"]]},"title":"Local Government (Council Amalgamations) Proclamation 2016 - NSW Legislation","type":"article"},"uris":["http://www.mendeley.com/documents/?uuid=6f40c804-a91d-3cd1-b6fc-8a01c17aad65"]}],"mendeley":{"formattedCitation":"(Office of Local Government NSW 2016b)","plainTextFormattedCitation":"(Office of Local Government NSW 2016b)","previouslyFormattedCitation":"(Office of Local Government NSW 2016b)"},"properties":{"noteIndex":0},"schema":"https://github.com/citation-style-language/schema/raw/master/csl-citation.json"}</w:instrText>
      </w:r>
      <w:r w:rsidR="00057413">
        <w:rPr>
          <w:rFonts w:ascii="Times New Roman" w:hAnsi="Times New Roman"/>
          <w:szCs w:val="24"/>
          <w:lang w:eastAsia="en-GB"/>
        </w:rPr>
        <w:fldChar w:fldCharType="separate"/>
      </w:r>
      <w:r w:rsidR="00057413">
        <w:rPr>
          <w:rFonts w:ascii="Times New Roman" w:hAnsi="Times New Roman"/>
          <w:noProof/>
          <w:szCs w:val="24"/>
          <w:lang w:eastAsia="en-GB"/>
        </w:rPr>
        <w:t>OLG</w:t>
      </w:r>
      <w:r w:rsidR="00057413" w:rsidRPr="00FB02F7">
        <w:rPr>
          <w:rFonts w:ascii="Times New Roman" w:hAnsi="Times New Roman"/>
          <w:noProof/>
          <w:szCs w:val="24"/>
          <w:lang w:eastAsia="en-GB"/>
        </w:rPr>
        <w:t xml:space="preserve"> NSW 2016b)</w:t>
      </w:r>
      <w:r w:rsidR="00057413">
        <w:rPr>
          <w:rFonts w:ascii="Times New Roman" w:hAnsi="Times New Roman"/>
          <w:szCs w:val="24"/>
          <w:lang w:eastAsia="en-GB"/>
        </w:rPr>
        <w:fldChar w:fldCharType="end"/>
      </w:r>
      <w:r>
        <w:rPr>
          <w:rFonts w:ascii="Times New Roman" w:hAnsi="Times New Roman"/>
          <w:szCs w:val="24"/>
          <w:lang w:eastAsia="en-GB"/>
        </w:rPr>
        <w:t xml:space="preserve">. </w:t>
      </w:r>
      <w:r w:rsidRPr="00FB02F7">
        <w:rPr>
          <w:rFonts w:ascii="Times New Roman" w:hAnsi="Times New Roman"/>
          <w:szCs w:val="24"/>
          <w:lang w:eastAsia="en-GB"/>
        </w:rPr>
        <w:t>The local government reform process was also supported by the NSW private sector which argued that larger councils in fewer numbers would enable strategic decisions to be enacted more effectively</w:t>
      </w:r>
      <w:r>
        <w:rPr>
          <w:rFonts w:ascii="Times New Roman" w:hAnsi="Times New Roman"/>
          <w:szCs w:val="24"/>
          <w:lang w:eastAsia="en-GB"/>
        </w:rPr>
        <w:t xml:space="preserve"> </w:t>
      </w:r>
      <w:r>
        <w:rPr>
          <w:rFonts w:ascii="Times New Roman" w:hAnsi="Times New Roman"/>
          <w:szCs w:val="24"/>
          <w:lang w:eastAsia="en-GB"/>
        </w:rPr>
        <w:fldChar w:fldCharType="begin" w:fldLock="1"/>
      </w:r>
      <w:r w:rsidR="00F83889">
        <w:rPr>
          <w:rFonts w:ascii="Times New Roman" w:hAnsi="Times New Roman"/>
          <w:szCs w:val="24"/>
          <w:lang w:eastAsia="en-GB"/>
        </w:rPr>
        <w:instrText>ADDIN CSL_CITATION {"citationItems":[{"id":"ITEM-1","itemData":{"URL":"http://businesschamber.com.au/Sydney-Business-Chamber/News-Media/Latest-News/Time-for-Reform-of-Sydney%25E2%2580%2599s-Local-Councils","accessed":{"date-parts":[["2016","4","21"]]},"author":[{"dropping-particle":"","family":"Sydney Business Chamber","given":"","non-dropping-particle":"","parse-names":false,"suffix":""}],"id":"ITEM-1","issued":{"date-parts":[["2015"]]},"title":"Time for reform of Sydney's Local Councils","type":"webpage"},"uris":["http://www.mendeley.com/documents/?uuid=fa7e0b7a-6a1e-4308-a3e2-518e7c77b5d1"]}],"mendeley":{"formattedCitation":"(Sydney Business Chamber 2015)","plainTextFormattedCitation":"(Sydney Business Chamber 2015)","previouslyFormattedCitation":"(Sydney Business Chamber 2015)"},"properties":{"noteIndex":0},"schema":"https://github.com/citation-style-language/schema/raw/master/csl-citation.json"}</w:instrText>
      </w:r>
      <w:r>
        <w:rPr>
          <w:rFonts w:ascii="Times New Roman" w:hAnsi="Times New Roman"/>
          <w:szCs w:val="24"/>
          <w:lang w:eastAsia="en-GB"/>
        </w:rPr>
        <w:fldChar w:fldCharType="separate"/>
      </w:r>
      <w:r w:rsidRPr="00FB02F7">
        <w:rPr>
          <w:rFonts w:ascii="Times New Roman" w:hAnsi="Times New Roman"/>
          <w:noProof/>
          <w:szCs w:val="24"/>
          <w:lang w:eastAsia="en-GB"/>
        </w:rPr>
        <w:t>(Sydney Business Chamber 2015)</w:t>
      </w:r>
      <w:r>
        <w:rPr>
          <w:rFonts w:ascii="Times New Roman" w:hAnsi="Times New Roman"/>
          <w:szCs w:val="24"/>
          <w:lang w:eastAsia="en-GB"/>
        </w:rPr>
        <w:fldChar w:fldCharType="end"/>
      </w:r>
      <w:r>
        <w:rPr>
          <w:rFonts w:ascii="Times New Roman" w:hAnsi="Times New Roman"/>
          <w:szCs w:val="24"/>
          <w:lang w:eastAsia="en-GB"/>
        </w:rPr>
        <w:t xml:space="preserve">. </w:t>
      </w:r>
      <w:r w:rsidR="00707D7B">
        <w:rPr>
          <w:rFonts w:ascii="Times New Roman" w:hAnsi="Times New Roman"/>
          <w:szCs w:val="24"/>
          <w:lang w:eastAsia="en-GB"/>
        </w:rPr>
        <w:t xml:space="preserve">Self-reported data has been used to compare councils and identify which councils are deemed unsustainable and therefore not ‘fit for the future’ and suitable for amalgamation. </w:t>
      </w:r>
      <w:r>
        <w:rPr>
          <w:rFonts w:ascii="Times New Roman" w:hAnsi="Times New Roman"/>
          <w:szCs w:val="24"/>
          <w:lang w:eastAsia="en-GB"/>
        </w:rPr>
        <w:t>The basis for reform has relied on ‘economies of scale’ and result</w:t>
      </w:r>
      <w:r w:rsidR="00707D7B">
        <w:rPr>
          <w:rFonts w:ascii="Times New Roman" w:hAnsi="Times New Roman"/>
          <w:szCs w:val="24"/>
          <w:lang w:eastAsia="en-GB"/>
        </w:rPr>
        <w:t>ed in</w:t>
      </w:r>
      <w:r>
        <w:rPr>
          <w:rFonts w:ascii="Times New Roman" w:hAnsi="Times New Roman"/>
          <w:szCs w:val="24"/>
          <w:lang w:eastAsia="en-GB"/>
        </w:rPr>
        <w:t xml:space="preserve"> reporting bias both of which will be discussed further</w:t>
      </w:r>
    </w:p>
    <w:p w14:paraId="6A9F5E6E" w14:textId="77777777" w:rsidR="00E351FC" w:rsidRPr="00707D7B" w:rsidRDefault="00707D7B" w:rsidP="00707D7B">
      <w:pPr>
        <w:pStyle w:val="Heading1"/>
        <w:tabs>
          <w:tab w:val="left" w:pos="284"/>
        </w:tabs>
        <w:spacing w:line="276" w:lineRule="auto"/>
        <w:ind w:right="-737"/>
        <w:jc w:val="both"/>
        <w:rPr>
          <w:i/>
          <w:iCs/>
          <w:kern w:val="0"/>
          <w:szCs w:val="28"/>
        </w:rPr>
      </w:pPr>
      <w:r>
        <w:rPr>
          <w:i/>
          <w:iCs/>
          <w:kern w:val="0"/>
          <w:szCs w:val="28"/>
        </w:rPr>
        <w:t xml:space="preserve">1.4 </w:t>
      </w:r>
      <w:r w:rsidRPr="00707D7B">
        <w:rPr>
          <w:i/>
          <w:iCs/>
          <w:kern w:val="0"/>
          <w:szCs w:val="28"/>
        </w:rPr>
        <w:t>Projects and Operations</w:t>
      </w:r>
    </w:p>
    <w:p w14:paraId="7EF691AD" w14:textId="6700931E" w:rsidR="0017688F" w:rsidRDefault="00E351FC" w:rsidP="00E351FC">
      <w:pPr>
        <w:tabs>
          <w:tab w:val="left" w:pos="284"/>
        </w:tabs>
        <w:spacing w:line="276" w:lineRule="auto"/>
        <w:ind w:right="-738"/>
        <w:contextualSpacing/>
        <w:jc w:val="both"/>
        <w:rPr>
          <w:rFonts w:ascii="Times New Roman" w:hAnsi="Times New Roman"/>
          <w:szCs w:val="24"/>
          <w:lang w:eastAsia="en-GB"/>
        </w:rPr>
      </w:pPr>
      <w:r w:rsidRPr="00E351FC">
        <w:rPr>
          <w:rFonts w:ascii="Times New Roman" w:hAnsi="Times New Roman"/>
          <w:szCs w:val="24"/>
          <w:lang w:eastAsia="en-GB"/>
        </w:rPr>
        <w:t>In an operationally focused organisation such as a NSW council successful projects indirectly lead to better performance (Cooke-Davies, 2002) and attract a more diverse workforce (Rosenthal, 1989). Projects can also directly im</w:t>
      </w:r>
      <w:r w:rsidR="00834089">
        <w:rPr>
          <w:rFonts w:ascii="Times New Roman" w:hAnsi="Times New Roman"/>
          <w:szCs w:val="24"/>
          <w:lang w:eastAsia="en-GB"/>
        </w:rPr>
        <w:t>pact organisational performance</w:t>
      </w:r>
      <w:r w:rsidRPr="00E351FC">
        <w:rPr>
          <w:rFonts w:ascii="Times New Roman" w:hAnsi="Times New Roman"/>
          <w:szCs w:val="24"/>
          <w:lang w:eastAsia="en-GB"/>
        </w:rPr>
        <w:t xml:space="preserve"> whereby poor project performance can increase on-going operational maintenance costs or require extensive re-work </w:t>
      </w:r>
      <w:proofErr w:type="gramStart"/>
      <w:r w:rsidRPr="00E351FC">
        <w:rPr>
          <w:rFonts w:ascii="Times New Roman" w:hAnsi="Times New Roman"/>
          <w:szCs w:val="24"/>
          <w:lang w:eastAsia="en-GB"/>
        </w:rPr>
        <w:t>in excess of</w:t>
      </w:r>
      <w:proofErr w:type="gramEnd"/>
      <w:r w:rsidRPr="00E351FC">
        <w:rPr>
          <w:rFonts w:ascii="Times New Roman" w:hAnsi="Times New Roman"/>
          <w:szCs w:val="24"/>
          <w:lang w:eastAsia="en-GB"/>
        </w:rPr>
        <w:t xml:space="preserve"> the initial</w:t>
      </w:r>
      <w:r w:rsidR="007A45C6">
        <w:rPr>
          <w:rFonts w:ascii="Times New Roman" w:hAnsi="Times New Roman"/>
          <w:szCs w:val="24"/>
          <w:lang w:eastAsia="en-GB"/>
        </w:rPr>
        <w:t xml:space="preserve"> project budget. I</w:t>
      </w:r>
      <w:r w:rsidRPr="00E351FC">
        <w:rPr>
          <w:rFonts w:ascii="Times New Roman" w:hAnsi="Times New Roman"/>
          <w:szCs w:val="24"/>
          <w:lang w:eastAsia="en-GB"/>
        </w:rPr>
        <w:t xml:space="preserve">n either of these </w:t>
      </w:r>
      <w:r w:rsidR="007A45C6" w:rsidRPr="00E351FC">
        <w:rPr>
          <w:rFonts w:ascii="Times New Roman" w:hAnsi="Times New Roman"/>
          <w:szCs w:val="24"/>
          <w:lang w:eastAsia="en-GB"/>
        </w:rPr>
        <w:t>case</w:t>
      </w:r>
      <w:r w:rsidR="007A45C6">
        <w:rPr>
          <w:rFonts w:ascii="Times New Roman" w:hAnsi="Times New Roman"/>
          <w:szCs w:val="24"/>
          <w:lang w:eastAsia="en-GB"/>
        </w:rPr>
        <w:t>s</w:t>
      </w:r>
      <w:r w:rsidRPr="00E351FC">
        <w:rPr>
          <w:rFonts w:ascii="Times New Roman" w:hAnsi="Times New Roman"/>
          <w:szCs w:val="24"/>
          <w:lang w:eastAsia="en-GB"/>
        </w:rPr>
        <w:t xml:space="preserve"> limited expenditure must be increased. The community interest in projects is not reflected in legislated reporting requirements for NSW local government, such as the</w:t>
      </w:r>
      <w:r w:rsidR="00057413">
        <w:rPr>
          <w:rFonts w:ascii="Times New Roman" w:hAnsi="Times New Roman"/>
          <w:szCs w:val="24"/>
          <w:lang w:eastAsia="en-GB"/>
        </w:rPr>
        <w:t xml:space="preserve"> </w:t>
      </w:r>
      <w:r w:rsidRPr="00E351FC">
        <w:rPr>
          <w:rFonts w:ascii="Times New Roman" w:hAnsi="Times New Roman"/>
          <w:szCs w:val="24"/>
          <w:lang w:eastAsia="en-GB"/>
        </w:rPr>
        <w:t>OLG NSW annual Comparative Information of New South Wales Local Government (CINSWLG)</w:t>
      </w:r>
      <w:r w:rsidRPr="00E351FC" w:rsidDel="009120ED">
        <w:rPr>
          <w:rFonts w:ascii="Times New Roman" w:hAnsi="Times New Roman"/>
          <w:szCs w:val="24"/>
          <w:lang w:eastAsia="en-GB"/>
        </w:rPr>
        <w:t xml:space="preserve"> </w:t>
      </w:r>
      <w:r w:rsidRPr="00E351FC">
        <w:rPr>
          <w:rFonts w:ascii="Times New Roman" w:hAnsi="Times New Roman"/>
          <w:szCs w:val="24"/>
          <w:lang w:eastAsia="en-GB"/>
        </w:rPr>
        <w:t xml:space="preserve">reports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NSW","given":"","non-dropping-particle":"","parse-names":false,"suffix":""}],"id":"ITEM-1","issued":{"date-parts":[["2014"]]},"number-of-pages":"353","publisher":"NSW Government","title":"Comparative information on NSW local government","type":"report"},"uris":["http://www.mendeley.com/documents/?uuid=0113a420-200e-4117-82d8-5063573470fd"]}],"mendeley":{"formattedCitation":"(Office of Local Government NSW 2014)","manualFormatting":"(OLG NSW, 2014)","plainTextFormattedCitation":"(Office of Local Government NSW 2014)","previouslyFormattedCitation":"(Office of Local Government NSW 2014)"},"properties":{"noteIndex":0},"schema":"https://github.com/citation-style-language/schema/raw/master/csl-citation.json"}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(OLG NSW, 2014)</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t>
      </w:r>
    </w:p>
    <w:p w14:paraId="543F9361" w14:textId="77777777" w:rsidR="0017688F" w:rsidRDefault="0017688F" w:rsidP="00E351FC">
      <w:pPr>
        <w:tabs>
          <w:tab w:val="left" w:pos="284"/>
        </w:tabs>
        <w:spacing w:line="276" w:lineRule="auto"/>
        <w:ind w:right="-738"/>
        <w:contextualSpacing/>
        <w:jc w:val="both"/>
        <w:rPr>
          <w:rFonts w:ascii="Times New Roman" w:hAnsi="Times New Roman"/>
          <w:szCs w:val="24"/>
          <w:lang w:eastAsia="en-GB"/>
        </w:rPr>
      </w:pPr>
    </w:p>
    <w:p w14:paraId="2605E20E" w14:textId="77777777" w:rsidR="0017688F" w:rsidRDefault="00E351FC" w:rsidP="00E351FC">
      <w:pPr>
        <w:tabs>
          <w:tab w:val="left" w:pos="284"/>
        </w:tabs>
        <w:spacing w:line="276" w:lineRule="auto"/>
        <w:ind w:right="-738"/>
        <w:contextualSpacing/>
        <w:jc w:val="both"/>
        <w:rPr>
          <w:rFonts w:ascii="Times New Roman" w:hAnsi="Times New Roman"/>
          <w:szCs w:val="24"/>
          <w:lang w:eastAsia="en-GB"/>
        </w:rPr>
      </w:pPr>
      <w:r w:rsidRPr="00E351FC">
        <w:rPr>
          <w:rFonts w:ascii="Times New Roman" w:hAnsi="Times New Roman"/>
          <w:szCs w:val="24"/>
          <w:lang w:eastAsia="en-GB"/>
        </w:rPr>
        <w:t xml:space="preserve">Under the Integrated Planning and Reporting (IP&amp;R) framework councils are required to develop a ten year Community Strategic Plan (CSP), a four year Delivery Plan, and a one year Operational Plan (OP)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{"citationItems":[{"id":"ITEM-1","itemData":{"URL":"http://122.102.106.44/councils/integrated-planning-and-reporting/framework","accessed":{"date-parts":[["2020","5","31"]]},"author":[{"dropping-particle":"","family":"Office of Local Government NSW","given":"","non-dropping-particle":"","parse-names":false,"suffix":""}],"container-title":"OLG NSW","id":"ITEM-1","issued":{"date-parts":[["2013"]]},"title":"Integrated planning and reporting framework","type":"webpage"},"uris":["http://www.mendeley.com/documents/?uuid=98801906-fe44-316f-81a6-d721bac0c64a"]}],"mendeley":{"formattedCitation":"(Office of Local Government NSW 2013)","manualFormatting":"(OLG NSW, 2013)","plainTextFormattedCitation":"(Office of Local Government NSW 2013)","previouslyFormattedCitation":"(Office of Local Government NSW 2013)"},"properties":{"noteIndex":0},"schema":"https://github.com/citation-style-language/schema/raw/master/csl-citation.json"}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(OLG NSW, 2013)</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As the name suggests the OP predominantly focuses on the operational aspirations for each council. Performance against the OP and the financial performance and capability of each NSW council is compiled and published in an Annual Report. The IP&amp;R framework typifies the post-NPM </w:t>
      </w:r>
      <w:r w:rsidRPr="00E351FC">
        <w:rPr>
          <w:rFonts w:ascii="Times New Roman" w:hAnsi="Times New Roman"/>
          <w:szCs w:val="24"/>
          <w:lang w:eastAsia="en-GB"/>
        </w:rPr>
        <w:lastRenderedPageBreak/>
        <w:t xml:space="preserve">reforms as councils are required to focus on community engagement during the development of the CSP and transparency in decision making when publishing their Annual Reports. Annual Reports are a transparent method of presenting public performance to the community however they infrequently report non-financial performance (Lee, 2008).  </w:t>
      </w:r>
    </w:p>
    <w:p w14:paraId="4ABE098E" w14:textId="77777777" w:rsidR="0017688F" w:rsidRDefault="0017688F" w:rsidP="00E351FC">
      <w:pPr>
        <w:tabs>
          <w:tab w:val="left" w:pos="284"/>
        </w:tabs>
        <w:spacing w:line="276" w:lineRule="auto"/>
        <w:ind w:right="-738"/>
        <w:contextualSpacing/>
        <w:jc w:val="both"/>
        <w:rPr>
          <w:rFonts w:ascii="Times New Roman" w:hAnsi="Times New Roman"/>
          <w:szCs w:val="24"/>
          <w:lang w:eastAsia="en-GB"/>
        </w:rPr>
      </w:pPr>
    </w:p>
    <w:p w14:paraId="77815796" w14:textId="19B5F3B9" w:rsidR="0017688F" w:rsidRDefault="00E351FC" w:rsidP="00E351FC">
      <w:pPr>
        <w:tabs>
          <w:tab w:val="left" w:pos="284"/>
        </w:tabs>
        <w:spacing w:line="276" w:lineRule="auto"/>
        <w:ind w:right="-738"/>
        <w:contextualSpacing/>
        <w:jc w:val="both"/>
        <w:rPr>
          <w:rFonts w:ascii="Times New Roman" w:hAnsi="Times New Roman"/>
          <w:szCs w:val="24"/>
          <w:lang w:eastAsia="en-GB"/>
        </w:rPr>
      </w:pPr>
      <w:r w:rsidRPr="00E351FC">
        <w:rPr>
          <w:rFonts w:ascii="Times New Roman" w:hAnsi="Times New Roman"/>
          <w:szCs w:val="24"/>
          <w:lang w:eastAsia="en-GB"/>
        </w:rPr>
        <w:t xml:space="preserve">When non-financial data such as project success is reported individual councils are inconsistent in their approach. Each councils’ Annual Report is scrutinized by the OLG NSW focusing on independently audited financial statements and associated financial indicators such as: Debt Servicing Ratio; Infrastructure Backlog Ratio; and Operating Performance Ratio. The various ratios provide an overall picture of the financial status of each council, which is then used for benchmarking purposes. For example the Operating Performance Ratio measures a council’s ability to contain operating expenditure within its operating income </w:t>
      </w:r>
      <w:r w:rsidRPr="00E351FC">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NSW","given":"","non-dropping-particle":"","parse-names":false,"suffix":""}],"id":"ITEM-1","issue":"June","issued":{"date-parts":[["2015"]]},"number-of-pages":"1 -39","title":"Profile and performance of the NSW local government sector","type":"report"},"uris":["http://www.mendeley.com/documents/?uuid=c58e192c-2b01-46f5-83c1-85a6efebbdf1"]}],"mendeley":{"formattedCitation":"(Office of Local Government NSW 2015b)","manualFormatting":"(OLG NSW, 2015)","plainTextFormattedCitation":"(Office of Local Government NSW 2015b)","previouslyFormattedCitation":"(Office of Local Government NSW 2015b)"},"properties":{"noteIndex":0},"schema":"https://github.com/citation-style-language/schema/raw/master/csl-citation.json"}</w:instrText>
      </w:r>
      <w:r w:rsidRPr="00E351FC">
        <w:rPr>
          <w:rFonts w:ascii="Times New Roman" w:hAnsi="Times New Roman"/>
          <w:szCs w:val="24"/>
          <w:lang w:eastAsia="en-GB"/>
        </w:rPr>
        <w:fldChar w:fldCharType="separate"/>
      </w:r>
      <w:r w:rsidRPr="00E351FC">
        <w:rPr>
          <w:rFonts w:ascii="Times New Roman" w:hAnsi="Times New Roman"/>
          <w:noProof/>
          <w:szCs w:val="24"/>
          <w:lang w:eastAsia="en-GB"/>
        </w:rPr>
        <w:t>(OLG NSW, 2015)</w:t>
      </w:r>
      <w:r w:rsidRPr="00E351FC">
        <w:rPr>
          <w:rFonts w:ascii="Times New Roman" w:hAnsi="Times New Roman"/>
          <w:szCs w:val="24"/>
          <w:lang w:eastAsia="en-GB"/>
        </w:rPr>
        <w:fldChar w:fldCharType="end"/>
      </w:r>
      <w:r w:rsidRPr="00E351FC">
        <w:rPr>
          <w:rFonts w:ascii="Times New Roman" w:hAnsi="Times New Roman"/>
          <w:szCs w:val="24"/>
          <w:lang w:eastAsia="en-GB"/>
        </w:rPr>
        <w:t xml:space="preserve">. Whilst the use of ratios provides a convenient method to compare council financial performance </w:t>
      </w:r>
      <w:proofErr w:type="gramStart"/>
      <w:r w:rsidRPr="00E351FC">
        <w:rPr>
          <w:rFonts w:ascii="Times New Roman" w:hAnsi="Times New Roman"/>
          <w:szCs w:val="24"/>
          <w:lang w:eastAsia="en-GB"/>
        </w:rPr>
        <w:t>quickly</w:t>
      </w:r>
      <w:proofErr w:type="gramEnd"/>
      <w:r w:rsidRPr="00E351FC">
        <w:rPr>
          <w:rFonts w:ascii="Times New Roman" w:hAnsi="Times New Roman"/>
          <w:szCs w:val="24"/>
          <w:lang w:eastAsia="en-GB"/>
        </w:rPr>
        <w:t xml:space="preserve"> they may not align with broader organisational objectives. For </w:t>
      </w:r>
      <w:r w:rsidR="009B36E5" w:rsidRPr="00E351FC">
        <w:rPr>
          <w:rFonts w:ascii="Times New Roman" w:hAnsi="Times New Roman"/>
          <w:szCs w:val="24"/>
          <w:lang w:eastAsia="en-GB"/>
        </w:rPr>
        <w:t>example,</w:t>
      </w:r>
      <w:r w:rsidRPr="00E351FC">
        <w:rPr>
          <w:rFonts w:ascii="Times New Roman" w:hAnsi="Times New Roman"/>
          <w:szCs w:val="24"/>
          <w:lang w:eastAsia="en-GB"/>
        </w:rPr>
        <w:t xml:space="preserve"> a swimming pool or community library can provide </w:t>
      </w:r>
      <w:r w:rsidR="00707D7B">
        <w:rPr>
          <w:rFonts w:ascii="Times New Roman" w:hAnsi="Times New Roman"/>
          <w:szCs w:val="24"/>
          <w:lang w:eastAsia="en-GB"/>
        </w:rPr>
        <w:t xml:space="preserve">intangible </w:t>
      </w:r>
      <w:r w:rsidRPr="00E351FC">
        <w:rPr>
          <w:rFonts w:ascii="Times New Roman" w:hAnsi="Times New Roman"/>
          <w:szCs w:val="24"/>
          <w:lang w:eastAsia="en-GB"/>
        </w:rPr>
        <w:t>benefits to residents however they often run at a financial loss which impacts organisational sustainability</w:t>
      </w:r>
      <w:r w:rsidR="00057413">
        <w:rPr>
          <w:rFonts w:ascii="Times New Roman" w:hAnsi="Times New Roman"/>
          <w:szCs w:val="24"/>
          <w:lang w:eastAsia="en-GB"/>
        </w:rPr>
        <w:t xml:space="preserve"> and financial outcomes</w:t>
      </w:r>
      <w:r w:rsidRPr="00E351FC">
        <w:rPr>
          <w:rFonts w:ascii="Times New Roman" w:hAnsi="Times New Roman"/>
          <w:szCs w:val="24"/>
          <w:lang w:eastAsia="en-GB"/>
        </w:rPr>
        <w:t xml:space="preserve">.  </w:t>
      </w:r>
    </w:p>
    <w:p w14:paraId="380A0EE0" w14:textId="77777777" w:rsidR="0017688F" w:rsidRDefault="0017688F" w:rsidP="00E351FC">
      <w:pPr>
        <w:tabs>
          <w:tab w:val="left" w:pos="284"/>
        </w:tabs>
        <w:spacing w:line="276" w:lineRule="auto"/>
        <w:ind w:right="-738"/>
        <w:contextualSpacing/>
        <w:jc w:val="both"/>
        <w:rPr>
          <w:rFonts w:ascii="Times New Roman" w:hAnsi="Times New Roman"/>
          <w:szCs w:val="24"/>
          <w:lang w:eastAsia="en-GB"/>
        </w:rPr>
      </w:pPr>
    </w:p>
    <w:p w14:paraId="74E98B1A" w14:textId="4AE1A995" w:rsidR="0023289E" w:rsidRPr="009815B3" w:rsidRDefault="00E351FC" w:rsidP="009815B3">
      <w:pPr>
        <w:tabs>
          <w:tab w:val="left" w:pos="284"/>
        </w:tabs>
        <w:spacing w:line="276" w:lineRule="auto"/>
        <w:ind w:right="-738"/>
        <w:contextualSpacing/>
        <w:jc w:val="both"/>
        <w:rPr>
          <w:rFonts w:ascii="Times New Roman" w:hAnsi="Times New Roman"/>
          <w:szCs w:val="24"/>
          <w:lang w:eastAsia="en-GB"/>
        </w:rPr>
      </w:pPr>
      <w:r w:rsidRPr="009815B3">
        <w:rPr>
          <w:rFonts w:ascii="Times New Roman" w:hAnsi="Times New Roman"/>
          <w:szCs w:val="24"/>
          <w:lang w:eastAsia="en-GB"/>
        </w:rPr>
        <w:t xml:space="preserve">The </w:t>
      </w:r>
      <w:r w:rsidR="00FD0EC5" w:rsidRPr="009815B3">
        <w:rPr>
          <w:rFonts w:ascii="Times New Roman" w:hAnsi="Times New Roman"/>
          <w:szCs w:val="24"/>
          <w:lang w:eastAsia="en-GB"/>
        </w:rPr>
        <w:t>divergence</w:t>
      </w:r>
      <w:r w:rsidRPr="009815B3">
        <w:rPr>
          <w:rFonts w:ascii="Times New Roman" w:hAnsi="Times New Roman"/>
          <w:szCs w:val="24"/>
          <w:lang w:eastAsia="en-GB"/>
        </w:rPr>
        <w:t xml:space="preserve"> between what is important for achieving organisational objectives and what is useful for reporting in Annual Reports has been recogni</w:t>
      </w:r>
      <w:r w:rsidR="009B36E5">
        <w:rPr>
          <w:rFonts w:ascii="Times New Roman" w:hAnsi="Times New Roman"/>
          <w:szCs w:val="24"/>
          <w:lang w:eastAsia="en-GB"/>
        </w:rPr>
        <w:t>s</w:t>
      </w:r>
      <w:r w:rsidRPr="009815B3">
        <w:rPr>
          <w:rFonts w:ascii="Times New Roman" w:hAnsi="Times New Roman"/>
          <w:szCs w:val="24"/>
          <w:lang w:eastAsia="en-GB"/>
        </w:rPr>
        <w:t xml:space="preserve">ed by senior management in Australian government agencies: “…there is a mismatch between what is perceived as important in achieving the objectives of an organization, its development, and its perceived usefulness for reporting in annual reports” </w:t>
      </w:r>
      <w:r w:rsidRPr="009815B3">
        <w:rPr>
          <w:rFonts w:ascii="Times New Roman" w:hAnsi="Times New Roman"/>
          <w:szCs w:val="24"/>
          <w:lang w:eastAsia="en-GB"/>
        </w:rPr>
        <w:fldChar w:fldCharType="begin" w:fldLock="1"/>
      </w:r>
      <w:r w:rsidR="0064300B" w:rsidRPr="009815B3">
        <w:rPr>
          <w:rFonts w:ascii="Times New Roman" w:hAnsi="Times New Roman"/>
          <w:szCs w:val="24"/>
          <w:lang w:eastAsia="en-GB"/>
        </w:rPr>
        <w:instrText>ADDIN CSL_CITATION {"citationItems":[{"id":"ITEM-1","itemData":{"DOI":"10.1111/j.1468-0408.2008.00449.x","ISBN":"02674424","ISSN":"0267-4424","abstract":"This paper examines performance information and reporting issues through a survey of the views of public sector managers in Australia regarding the importance of selected performance information in achieving the objectives of an organization, the extent of information development, usefulness for reporting in annual reports, and actual reporting. The results reveal the existence of a gap between information considered important, the extent of development, and information considered useful for annual reporting. Most non-financial performance information is still being developed and less frequently reported, particularly output quality information.","author":[{"dropping-particle":"","family":"Lee","given":"Janet","non-dropping-particle":"","parse-names":false,"suffix":""}],"container-title":"Financial Accountability &amp; Management","id":"ITEM-1","issue":"2","issued":{"date-parts":[["2008"]]},"title":"Preparing performance information in the public sector: An Australian perspective","type":"article-journal","volume":"24"},"uris":["http://www.mendeley.com/documents/?uuid=a1536b57-01b8-462c-856c-502862fde6ff"]}],"mendeley":{"formattedCitation":"(Lee 2008)","manualFormatting":"(Lee, 2008, p.142)","plainTextFormattedCitation":"(Lee 2008)","previouslyFormattedCitation":"(Lee 2008)"},"properties":{"noteIndex":0},"schema":"https://github.com/citation-style-language/schema/raw/master/csl-citation.json"}</w:instrText>
      </w:r>
      <w:r w:rsidRPr="009815B3">
        <w:rPr>
          <w:rFonts w:ascii="Times New Roman" w:hAnsi="Times New Roman"/>
          <w:szCs w:val="24"/>
          <w:lang w:eastAsia="en-GB"/>
        </w:rPr>
        <w:fldChar w:fldCharType="separate"/>
      </w:r>
      <w:r w:rsidRPr="009815B3">
        <w:rPr>
          <w:rFonts w:ascii="Times New Roman" w:hAnsi="Times New Roman"/>
          <w:noProof/>
          <w:szCs w:val="24"/>
          <w:lang w:eastAsia="en-GB"/>
        </w:rPr>
        <w:t>(Lee, 2008, p.142)</w:t>
      </w:r>
      <w:r w:rsidRPr="009815B3">
        <w:rPr>
          <w:rFonts w:ascii="Times New Roman" w:hAnsi="Times New Roman"/>
          <w:szCs w:val="24"/>
          <w:lang w:eastAsia="en-GB"/>
        </w:rPr>
        <w:fldChar w:fldCharType="end"/>
      </w:r>
      <w:r w:rsidRPr="009815B3">
        <w:rPr>
          <w:rFonts w:ascii="Times New Roman" w:hAnsi="Times New Roman"/>
          <w:szCs w:val="24"/>
          <w:lang w:eastAsia="en-GB"/>
        </w:rPr>
        <w:t>. Within Australian government agencies customer satisfaction was perceived as an important output but was not viewed as useful for reporting when compared to financial information which rated highly for both (Lee, 2008). Delivering services for the lowest operational cost is understandably a focus</w:t>
      </w:r>
      <w:r w:rsidR="00834089" w:rsidRPr="009815B3">
        <w:rPr>
          <w:rFonts w:ascii="Times New Roman" w:hAnsi="Times New Roman"/>
          <w:szCs w:val="24"/>
          <w:lang w:eastAsia="en-GB"/>
        </w:rPr>
        <w:t xml:space="preserve"> for local government. However </w:t>
      </w:r>
      <w:r w:rsidRPr="009815B3">
        <w:rPr>
          <w:rFonts w:ascii="Times New Roman" w:hAnsi="Times New Roman"/>
          <w:szCs w:val="24"/>
          <w:lang w:eastAsia="en-GB"/>
        </w:rPr>
        <w:t xml:space="preserve">as successful project delivery can </w:t>
      </w:r>
      <w:r w:rsidR="00834089" w:rsidRPr="009815B3">
        <w:rPr>
          <w:rFonts w:ascii="Times New Roman" w:hAnsi="Times New Roman"/>
          <w:szCs w:val="24"/>
          <w:lang w:eastAsia="en-GB"/>
        </w:rPr>
        <w:t>impact future operational costs</w:t>
      </w:r>
      <w:r w:rsidRPr="009815B3">
        <w:rPr>
          <w:rFonts w:ascii="Times New Roman" w:hAnsi="Times New Roman"/>
          <w:szCs w:val="24"/>
          <w:lang w:eastAsia="en-GB"/>
        </w:rPr>
        <w:t xml:space="preserve"> projects could also be a performance indicator of local government efficiency. By considering the reporting requirements that NSW local government must adhere to </w:t>
      </w:r>
      <w:proofErr w:type="gramStart"/>
      <w:r w:rsidRPr="009815B3">
        <w:rPr>
          <w:rFonts w:ascii="Times New Roman" w:hAnsi="Times New Roman"/>
          <w:szCs w:val="24"/>
          <w:lang w:eastAsia="en-GB"/>
        </w:rPr>
        <w:t>it can be seen that despite</w:t>
      </w:r>
      <w:proofErr w:type="gramEnd"/>
      <w:r w:rsidRPr="009815B3">
        <w:rPr>
          <w:rFonts w:ascii="Times New Roman" w:hAnsi="Times New Roman"/>
          <w:szCs w:val="24"/>
          <w:lang w:eastAsia="en-GB"/>
        </w:rPr>
        <w:t xml:space="preserve"> public interest in projects performance reporting is predominantly focused on operational performance through financial reports. This focus on financial reporting contrast</w:t>
      </w:r>
      <w:r w:rsidR="009B36E5">
        <w:rPr>
          <w:rFonts w:ascii="Times New Roman" w:hAnsi="Times New Roman"/>
          <w:szCs w:val="24"/>
          <w:lang w:eastAsia="en-GB"/>
        </w:rPr>
        <w:t>s</w:t>
      </w:r>
      <w:r w:rsidRPr="009815B3">
        <w:rPr>
          <w:rFonts w:ascii="Times New Roman" w:hAnsi="Times New Roman"/>
          <w:szCs w:val="24"/>
          <w:lang w:eastAsia="en-GB"/>
        </w:rPr>
        <w:t xml:space="preserve"> to the views of senior Australian government managers who support a multi-dimensional approach to performance reporting, including both financial and non-financial information (Lee, 2008). </w:t>
      </w:r>
    </w:p>
    <w:p w14:paraId="5CE835C6" w14:textId="77777777" w:rsidR="00D31345" w:rsidRPr="003D3218" w:rsidRDefault="00B3741B" w:rsidP="00D31345">
      <w:pPr>
        <w:pStyle w:val="Heading1"/>
      </w:pPr>
      <w:r>
        <w:lastRenderedPageBreak/>
        <w:t xml:space="preserve">2 </w:t>
      </w:r>
      <w:r w:rsidR="00D31345" w:rsidRPr="003D3218">
        <w:t>Theoretical Framework</w:t>
      </w:r>
    </w:p>
    <w:p w14:paraId="5363D42E" w14:textId="77777777" w:rsidR="00D31345" w:rsidRDefault="00D31345" w:rsidP="00D31345">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This section addresses the theoretical framework of economic theory and economies of scale. </w:t>
      </w:r>
    </w:p>
    <w:p w14:paraId="37CFCE17" w14:textId="77777777" w:rsidR="00D31345" w:rsidRDefault="00D31345" w:rsidP="00D31345">
      <w:pPr>
        <w:tabs>
          <w:tab w:val="left" w:pos="284"/>
        </w:tabs>
        <w:spacing w:line="276" w:lineRule="auto"/>
        <w:ind w:right="-738"/>
        <w:contextualSpacing/>
        <w:jc w:val="both"/>
        <w:rPr>
          <w:rFonts w:ascii="Times New Roman" w:hAnsi="Times New Roman"/>
          <w:szCs w:val="24"/>
          <w:lang w:eastAsia="en-GB"/>
        </w:rPr>
      </w:pPr>
    </w:p>
    <w:p w14:paraId="3A2218FB" w14:textId="77777777" w:rsidR="00D31345" w:rsidRPr="00D31345" w:rsidRDefault="00B3741B" w:rsidP="00D31345">
      <w:pPr>
        <w:tabs>
          <w:tab w:val="left" w:pos="284"/>
        </w:tabs>
        <w:spacing w:line="276" w:lineRule="auto"/>
        <w:ind w:right="-738"/>
        <w:contextualSpacing/>
        <w:jc w:val="both"/>
        <w:rPr>
          <w:rFonts w:ascii="Times New Roman" w:hAnsi="Times New Roman" w:cs="Arial"/>
          <w:b/>
          <w:bCs/>
          <w:i/>
          <w:iCs/>
          <w:szCs w:val="28"/>
          <w:lang w:eastAsia="en-GB"/>
        </w:rPr>
      </w:pPr>
      <w:r>
        <w:rPr>
          <w:rFonts w:ascii="Times New Roman" w:hAnsi="Times New Roman" w:cs="Arial"/>
          <w:b/>
          <w:bCs/>
          <w:i/>
          <w:iCs/>
          <w:szCs w:val="28"/>
          <w:lang w:eastAsia="en-GB"/>
        </w:rPr>
        <w:t xml:space="preserve">2.1 </w:t>
      </w:r>
      <w:r w:rsidR="00D31345" w:rsidRPr="00D31345">
        <w:rPr>
          <w:rFonts w:ascii="Times New Roman" w:hAnsi="Times New Roman" w:cs="Arial"/>
          <w:b/>
          <w:bCs/>
          <w:i/>
          <w:iCs/>
          <w:szCs w:val="28"/>
          <w:lang w:eastAsia="en-GB"/>
        </w:rPr>
        <w:t>Economy of scale</w:t>
      </w:r>
    </w:p>
    <w:p w14:paraId="492519BE" w14:textId="77777777" w:rsidR="00D31345" w:rsidRDefault="00D31345" w:rsidP="00D31345">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Economic theory has produced several definitions for the ‘economy of scale’ generally regarded as when costs per unit are reduced as an organisation increases in size </w:t>
      </w:r>
      <w:r>
        <w:rPr>
          <w:rFonts w:ascii="Times New Roman" w:hAnsi="Times New Roman"/>
          <w:szCs w:val="24"/>
          <w:lang w:eastAsia="en-GB"/>
        </w:rPr>
        <w:fldChar w:fldCharType="begin" w:fldLock="1"/>
      </w:r>
      <w:r w:rsidR="002B2B6A">
        <w:rPr>
          <w:rFonts w:ascii="Times New Roman" w:hAnsi="Times New Roman"/>
          <w:szCs w:val="24"/>
          <w:lang w:eastAsia="en-GB"/>
        </w:rPr>
        <w:instrText>ADDIN CSL_CITATION {"citationItems":[{"id":"ITEM-1","itemData":{"DOI":"https://doi.org/10.1086/NTJ41790977","author":[{"dropping-particle":"","family":"Hanson","given":"Nels W.","non-dropping-particle":"","parse-names":false,"suffix":""}],"container-title":"National Tax Journal","id":"ITEM-1","issue":"1","issued":{"date-parts":[["1964"]]},"title":"Economy of scale as a cost factor in financing public schools","type":"article-journal","volume":"17"},"uris":["http://www.mendeley.com/documents/?uuid=a0b9c9fe-343e-4e54-9c97-b5303e485672"]}],"mendeley":{"formattedCitation":"(Hanson 1964)","manualFormatting":"(Hanson, 1964; ","plainTextFormattedCitation":"(Hanson 1964)","previouslyFormattedCitation":"(Hanson 1964)"},"properties":{"noteIndex":0},"schema":"https://github.com/citation-style-language/schema/raw/master/csl-citation.json"}</w:instrText>
      </w:r>
      <w:r>
        <w:rPr>
          <w:rFonts w:ascii="Times New Roman" w:hAnsi="Times New Roman"/>
          <w:szCs w:val="24"/>
          <w:lang w:eastAsia="en-GB"/>
        </w:rPr>
        <w:fldChar w:fldCharType="separate"/>
      </w:r>
      <w:r w:rsidRPr="00D31345">
        <w:rPr>
          <w:rFonts w:ascii="Times New Roman" w:hAnsi="Times New Roman"/>
          <w:noProof/>
          <w:szCs w:val="24"/>
          <w:lang w:eastAsia="en-GB"/>
        </w:rPr>
        <w:t>(Hanson</w:t>
      </w:r>
      <w:r w:rsidR="002B2B6A">
        <w:rPr>
          <w:rFonts w:ascii="Times New Roman" w:hAnsi="Times New Roman"/>
          <w:noProof/>
          <w:szCs w:val="24"/>
          <w:lang w:eastAsia="en-GB"/>
        </w:rPr>
        <w:t>,</w:t>
      </w:r>
      <w:r w:rsidRPr="00D31345">
        <w:rPr>
          <w:rFonts w:ascii="Times New Roman" w:hAnsi="Times New Roman"/>
          <w:noProof/>
          <w:szCs w:val="24"/>
          <w:lang w:eastAsia="en-GB"/>
        </w:rPr>
        <w:t xml:space="preserve"> 1964</w:t>
      </w:r>
      <w:r>
        <w:rPr>
          <w:rFonts w:ascii="Times New Roman" w:hAnsi="Times New Roman"/>
          <w:noProof/>
          <w:szCs w:val="24"/>
          <w:lang w:eastAsia="en-GB"/>
        </w:rPr>
        <w:t xml:space="preserve">; </w:t>
      </w:r>
      <w:r>
        <w:rPr>
          <w:rFonts w:ascii="Times New Roman" w:hAnsi="Times New Roman"/>
          <w:szCs w:val="24"/>
          <w:lang w:eastAsia="en-GB"/>
        </w:rPr>
        <w:fldChar w:fldCharType="end"/>
      </w:r>
      <w:r>
        <w:rPr>
          <w:rFonts w:ascii="Times New Roman" w:hAnsi="Times New Roman"/>
          <w:szCs w:val="24"/>
          <w:lang w:eastAsia="en-GB"/>
        </w:rPr>
        <w:fldChar w:fldCharType="begin" w:fldLock="1"/>
      </w:r>
      <w:r w:rsidR="002B2B6A">
        <w:rPr>
          <w:rFonts w:ascii="Times New Roman" w:hAnsi="Times New Roman"/>
          <w:szCs w:val="24"/>
          <w:lang w:eastAsia="en-GB"/>
        </w:rPr>
        <w:instrText>ADDIN CSL_CITATION {"citationItems":[{"id":"ITEM-1","itemData":{"DOI":"10.1177/017084068800900203","ISBN":"0170-8406","ISSN":"0170-8406","PMID":"2106","abstract":"The focus of this paper is on the organizational significance of shop-floor humour and in particular its relationship to gender identity and working-class resistance. A brief review of the literature on organizational humour is followed by a more detailed examination of the illuminating analysis by Willis of school/shop-floor counter-culture. Although his research provides a strong basis for the case study presented below, it is criticized for a tendency to romanticize working-class culture, humour and informal opposition.\\nIn contrast, by means of an empirical analysis of joking forms in the components division of a lorry producing factory, the paper then explores not only the collective elements, but also the internal divisions and contradictions that characterize shop-floor relations. By critically questioning the workers' manifest search to secure a highly masculine sense of identity, the paper is able to highlight a 'darker side' of shop-floor culture, which underpins and ultimately undermines the creative humour and collectivity found in the factory.","author":[{"dropping-particle":"","family":"Reynolds","given":"R. Larry","non-dropping-particle":"","parse-names":false,"suffix":""}],"container-title":"Physical Therapy","id":"ITEM-1","issue":"4","issued":{"date-parts":[["1983"]]},"title":"Policy choices and economies of scale","type":"article-journal","volume":"XVII"},"uris":["http://www.mendeley.com/documents/?uuid=d77e1cdd-27cd-41f6-a908-830c27ccfb9f"]}],"mendeley":{"formattedCitation":"(Reynolds 1983)","manualFormatting":"Reynolds, 1983)","plainTextFormattedCitation":"(Reynolds 1983)","previouslyFormattedCitation":"(Reynolds 1983)"},"properties":{"noteIndex":0},"schema":"https://github.com/citation-style-language/schema/raw/master/csl-citation.json"}</w:instrText>
      </w:r>
      <w:r>
        <w:rPr>
          <w:rFonts w:ascii="Times New Roman" w:hAnsi="Times New Roman"/>
          <w:szCs w:val="24"/>
          <w:lang w:eastAsia="en-GB"/>
        </w:rPr>
        <w:fldChar w:fldCharType="separate"/>
      </w:r>
      <w:r w:rsidRPr="00D31345">
        <w:rPr>
          <w:rFonts w:ascii="Times New Roman" w:hAnsi="Times New Roman"/>
          <w:noProof/>
          <w:szCs w:val="24"/>
          <w:lang w:eastAsia="en-GB"/>
        </w:rPr>
        <w:t>Reynolds</w:t>
      </w:r>
      <w:r w:rsidR="002B2B6A">
        <w:rPr>
          <w:rFonts w:ascii="Times New Roman" w:hAnsi="Times New Roman"/>
          <w:noProof/>
          <w:szCs w:val="24"/>
          <w:lang w:eastAsia="en-GB"/>
        </w:rPr>
        <w:t>,</w:t>
      </w:r>
      <w:r w:rsidRPr="00D31345">
        <w:rPr>
          <w:rFonts w:ascii="Times New Roman" w:hAnsi="Times New Roman"/>
          <w:noProof/>
          <w:szCs w:val="24"/>
          <w:lang w:eastAsia="en-GB"/>
        </w:rPr>
        <w:t xml:space="preserve"> 1983)</w:t>
      </w:r>
      <w:r>
        <w:rPr>
          <w:rFonts w:ascii="Times New Roman" w:hAnsi="Times New Roman"/>
          <w:szCs w:val="24"/>
          <w:lang w:eastAsia="en-GB"/>
        </w:rPr>
        <w:fldChar w:fldCharType="end"/>
      </w:r>
      <w:r>
        <w:rPr>
          <w:rFonts w:ascii="Times New Roman" w:hAnsi="Times New Roman"/>
          <w:szCs w:val="24"/>
          <w:lang w:eastAsia="en-GB"/>
        </w:rPr>
        <w:t xml:space="preserve">. </w:t>
      </w:r>
      <w:r w:rsidR="009E031E">
        <w:rPr>
          <w:rFonts w:ascii="Times New Roman" w:hAnsi="Times New Roman"/>
          <w:szCs w:val="24"/>
          <w:lang w:eastAsia="en-GB"/>
        </w:rPr>
        <w:t xml:space="preserve">Under </w:t>
      </w:r>
      <w:r w:rsidR="009E031E" w:rsidRPr="009815B3">
        <w:rPr>
          <w:rFonts w:ascii="Times New Roman" w:hAnsi="Times New Roman"/>
          <w:szCs w:val="24"/>
          <w:lang w:eastAsia="en-GB"/>
        </w:rPr>
        <w:t xml:space="preserve">economic theory an organisation has an optimum size at which unit costs </w:t>
      </w:r>
      <w:r w:rsidR="009E031E" w:rsidRPr="00F83889">
        <w:rPr>
          <w:rFonts w:ascii="Times New Roman" w:hAnsi="Times New Roman"/>
          <w:szCs w:val="24"/>
          <w:lang w:eastAsia="en-GB"/>
        </w:rPr>
        <w:t>reach their minimum; increases past this point result</w:t>
      </w:r>
      <w:r w:rsidR="009E031E">
        <w:rPr>
          <w:rFonts w:ascii="Times New Roman" w:hAnsi="Times New Roman"/>
          <w:szCs w:val="24"/>
          <w:lang w:eastAsia="en-GB"/>
        </w:rPr>
        <w:t xml:space="preserve"> in ‘diseconomies of scale’ </w:t>
      </w:r>
      <w:r w:rsidR="002B2B6A">
        <w:rPr>
          <w:rFonts w:ascii="Times New Roman" w:hAnsi="Times New Roman"/>
          <w:szCs w:val="24"/>
          <w:lang w:eastAsia="en-GB"/>
        </w:rPr>
        <w:t xml:space="preserve">resulting in a ‘U-shaped’ cost function </w:t>
      </w:r>
      <w:r w:rsidR="002B2B6A">
        <w:rPr>
          <w:rFonts w:ascii="Times New Roman" w:hAnsi="Times New Roman"/>
          <w:szCs w:val="24"/>
          <w:lang w:eastAsia="en-GB"/>
        </w:rPr>
        <w:fldChar w:fldCharType="begin" w:fldLock="1"/>
      </w:r>
      <w:r w:rsidR="00B3741B">
        <w:rPr>
          <w:rFonts w:ascii="Times New Roman" w:hAnsi="Times New Roman"/>
          <w:szCs w:val="24"/>
          <w:lang w:eastAsia="en-GB"/>
        </w:rPr>
        <w:instrText>ADDIN CSL_CITATION {"citationItems":[{"id":"ITEM-1","itemData":{"DOI":"10.1080/03003930.2013.874341","ISSN":"17439388","abstract":"In 2007, the Queensland Government imposed forced amalgamation with the number of local authorities falling from 157 to just 73 councils. Amalgamation was based inter alia on the assumption that increased economies of scale would generate savings. This paper empirically examines pre- and post-amalgamation (2006/07 and 2009/10) for scale economies. For the 2006/07 data, evidence of economies of scale was found for councils with populations up to 98,000, and thereafter diseconomies of scale. Eight percent of councils in 2006/07 (ten councils) – representing 64% of the state’s population – exhibited diseconomies of scale. For the 2009/10 data, the average cost curve remained almost stationary at 99,000 residents per council, but almost 25% of all councils (thirteen councils) were now found to exhibit diseconomies of scale. The compulsory merger program thus increased the proportion of Queensland residents in councils operating with diseconomies of scale to 84%.","author":[{"dropping-particle":"","family":"Drew","given":"Joseph","non-dropping-particle":"","parse-names":false,"suffix":""},{"dropping-particle":"","family":"Kortt","given":"Michael A.","non-dropping-particle":"","parse-names":false,"suffix":""},{"dropping-particle":"","family":"Dollery","given":"Brian","non-dropping-particle":"","parse-names":false,"suffix":""}],"container-title":"Local Government Studies","id":"ITEM-1","issue":"1","issued":{"date-parts":[["2016"]]},"page":"1-14","title":"Did the Big Stick Work? An Empirical Assessment of Scale Economies and the Queensland Forced Amalgamation Program","type":"article-journal","volume":"42"},"uris":["http://www.mendeley.com/documents/?uuid=cbf61272-739b-4116-9658-2a0ca917b560"]}],"mendeley":{"formattedCitation":"(Drew, Kortt &amp; Dollery 2016)","manualFormatting":"(Drew, Kortt and Dollery, 2016; ","plainTextFormattedCitation":"(Drew, Kortt &amp; Dollery 2016)","previouslyFormattedCitation":"(Drew, Kortt &amp; Dollery 2016)"},"properties":{"noteIndex":0},"schema":"https://github.com/citation-style-language/schema/raw/master/csl-citation.json"}</w:instrText>
      </w:r>
      <w:r w:rsidR="002B2B6A">
        <w:rPr>
          <w:rFonts w:ascii="Times New Roman" w:hAnsi="Times New Roman"/>
          <w:szCs w:val="24"/>
          <w:lang w:eastAsia="en-GB"/>
        </w:rPr>
        <w:fldChar w:fldCharType="separate"/>
      </w:r>
      <w:r w:rsidR="002B2B6A" w:rsidRPr="002B2B6A">
        <w:rPr>
          <w:rFonts w:ascii="Times New Roman" w:hAnsi="Times New Roman"/>
          <w:noProof/>
          <w:szCs w:val="24"/>
          <w:lang w:eastAsia="en-GB"/>
        </w:rPr>
        <w:t xml:space="preserve">(Drew, Kortt </w:t>
      </w:r>
      <w:r w:rsidR="002B2B6A">
        <w:rPr>
          <w:rFonts w:ascii="Times New Roman" w:hAnsi="Times New Roman"/>
          <w:noProof/>
          <w:szCs w:val="24"/>
          <w:lang w:eastAsia="en-GB"/>
        </w:rPr>
        <w:t>and</w:t>
      </w:r>
      <w:r w:rsidR="002B2B6A" w:rsidRPr="002B2B6A">
        <w:rPr>
          <w:rFonts w:ascii="Times New Roman" w:hAnsi="Times New Roman"/>
          <w:noProof/>
          <w:szCs w:val="24"/>
          <w:lang w:eastAsia="en-GB"/>
        </w:rPr>
        <w:t xml:space="preserve"> Dollery</w:t>
      </w:r>
      <w:r w:rsidR="002B2B6A">
        <w:rPr>
          <w:rFonts w:ascii="Times New Roman" w:hAnsi="Times New Roman"/>
          <w:noProof/>
          <w:szCs w:val="24"/>
          <w:lang w:eastAsia="en-GB"/>
        </w:rPr>
        <w:t>,</w:t>
      </w:r>
      <w:r w:rsidR="002B2B6A" w:rsidRPr="002B2B6A">
        <w:rPr>
          <w:rFonts w:ascii="Times New Roman" w:hAnsi="Times New Roman"/>
          <w:noProof/>
          <w:szCs w:val="24"/>
          <w:lang w:eastAsia="en-GB"/>
        </w:rPr>
        <w:t xml:space="preserve"> 2016</w:t>
      </w:r>
      <w:r w:rsidR="002B2B6A">
        <w:rPr>
          <w:rFonts w:ascii="Times New Roman" w:hAnsi="Times New Roman"/>
          <w:noProof/>
          <w:szCs w:val="24"/>
          <w:lang w:eastAsia="en-GB"/>
        </w:rPr>
        <w:t xml:space="preserve">; </w:t>
      </w:r>
      <w:r w:rsidR="002B2B6A">
        <w:rPr>
          <w:rFonts w:ascii="Times New Roman" w:hAnsi="Times New Roman"/>
          <w:szCs w:val="24"/>
          <w:lang w:eastAsia="en-GB"/>
        </w:rPr>
        <w:fldChar w:fldCharType="end"/>
      </w:r>
      <w:r w:rsidR="009E031E">
        <w:rPr>
          <w:rFonts w:ascii="Times New Roman" w:hAnsi="Times New Roman"/>
          <w:szCs w:val="24"/>
          <w:lang w:eastAsia="en-GB"/>
        </w:rPr>
        <w:t>Hanson</w:t>
      </w:r>
      <w:r w:rsidR="002B2B6A">
        <w:rPr>
          <w:rFonts w:ascii="Times New Roman" w:hAnsi="Times New Roman"/>
          <w:szCs w:val="24"/>
          <w:lang w:eastAsia="en-GB"/>
        </w:rPr>
        <w:t>,</w:t>
      </w:r>
      <w:r w:rsidR="009E031E">
        <w:rPr>
          <w:rFonts w:ascii="Times New Roman" w:hAnsi="Times New Roman"/>
          <w:szCs w:val="24"/>
          <w:lang w:eastAsia="en-GB"/>
        </w:rPr>
        <w:t xml:space="preserve"> 1964). </w:t>
      </w:r>
      <w:r w:rsidR="009E031E" w:rsidRPr="009E031E">
        <w:rPr>
          <w:rFonts w:ascii="Times New Roman" w:hAnsi="Times New Roman"/>
          <w:szCs w:val="24"/>
          <w:lang w:eastAsia="en-GB"/>
        </w:rPr>
        <w:t xml:space="preserve">The rationale behind amalgamating </w:t>
      </w:r>
      <w:r w:rsidR="00B873EB">
        <w:rPr>
          <w:rFonts w:ascii="Times New Roman" w:hAnsi="Times New Roman"/>
          <w:szCs w:val="24"/>
          <w:lang w:eastAsia="en-GB"/>
        </w:rPr>
        <w:t xml:space="preserve">councils </w:t>
      </w:r>
      <w:r w:rsidR="009E031E" w:rsidRPr="009E031E">
        <w:rPr>
          <w:rFonts w:ascii="Times New Roman" w:hAnsi="Times New Roman"/>
          <w:szCs w:val="24"/>
          <w:lang w:eastAsia="en-GB"/>
        </w:rPr>
        <w:t>and thereby reducing council numbers is that it results in greater economies of scale, which improves efficiency</w:t>
      </w:r>
      <w:r w:rsidR="009E031E">
        <w:rPr>
          <w:rFonts w:ascii="Times New Roman" w:hAnsi="Times New Roman"/>
          <w:szCs w:val="24"/>
          <w:lang w:eastAsia="en-GB"/>
        </w:rPr>
        <w:t xml:space="preserve"> </w:t>
      </w:r>
      <w:r w:rsidR="009E031E">
        <w:rPr>
          <w:rFonts w:ascii="Times New Roman" w:hAnsi="Times New Roman"/>
          <w:szCs w:val="24"/>
          <w:lang w:eastAsia="en-GB"/>
        </w:rPr>
        <w:fldChar w:fldCharType="begin" w:fldLock="1"/>
      </w:r>
      <w:r w:rsidR="002B2B6A">
        <w:rPr>
          <w:rFonts w:ascii="Times New Roman" w:hAnsi="Times New Roman"/>
          <w:szCs w:val="24"/>
          <w:lang w:eastAsia="en-GB"/>
        </w:rPr>
        <w:instrText>ADDIN CSL_CITATION {"citationItems":[{"id":"ITEM-1","itemData":{"DOI":"10.1111/jors.12268","ISSN":"14679787","abstract":"We study how municipal amalgamation affects local government spending, taxation, and service provision in the Netherlands. Employing different models, different control groups, and a number of robustness tests, we find no significant effect on aggregate spending or taxation, although spending on administration is reduced. We explore whether this finding might hide amalgamation effects working in opposite directions for different types of municipalities (e.g., small versus large, or homogeneous versus heterogeneous), cancelling each other out. This does not seem to be the case. We also investigate whether amalgamation leads to better public services instead of lower spending, but find no evidence.","author":[{"dropping-particle":"","family":"Allers","given":"Maarten A.","non-dropping-particle":"","parse-names":false,"suffix":""},{"dropping-particle":"","family":"Geertsema","given":"J. Bieuwe","non-dropping-particle":"","parse-names":false,"suffix":""}],"container-title":"Journal of Regional Science","id":"ITEM-1","issue":"4","issued":{"date-parts":[["2016"]]},"page":"659-682","title":"The effects of local government amalgamation on public spending, taxation, and service levels: Evidence from 15 years of municipal consolidation","type":"article-journal","volume":"56"},"uris":["http://www.mendeley.com/documents/?uuid=04d1ab89-75b0-45c1-8251-6d8e71c3a78c"]}],"mendeley":{"formattedCitation":"(Allers &amp; Geertsema 2016)","manualFormatting":"(Allers and Geertsema, 2016;","plainTextFormattedCitation":"(Allers &amp; Geertsema 2016)","previouslyFormattedCitation":"(Allers &amp; Geertsema 2016)"},"properties":{"noteIndex":0},"schema":"https://github.com/citation-style-language/schema/raw/master/csl-citation.json"}</w:instrText>
      </w:r>
      <w:r w:rsidR="009E031E">
        <w:rPr>
          <w:rFonts w:ascii="Times New Roman" w:hAnsi="Times New Roman"/>
          <w:szCs w:val="24"/>
          <w:lang w:eastAsia="en-GB"/>
        </w:rPr>
        <w:fldChar w:fldCharType="separate"/>
      </w:r>
      <w:r w:rsidR="009E031E" w:rsidRPr="009E031E">
        <w:rPr>
          <w:rFonts w:ascii="Times New Roman" w:hAnsi="Times New Roman"/>
          <w:noProof/>
          <w:szCs w:val="24"/>
          <w:lang w:eastAsia="en-GB"/>
        </w:rPr>
        <w:t xml:space="preserve">(Allers </w:t>
      </w:r>
      <w:r w:rsidR="002B2B6A">
        <w:rPr>
          <w:rFonts w:ascii="Times New Roman" w:hAnsi="Times New Roman"/>
          <w:noProof/>
          <w:szCs w:val="24"/>
          <w:lang w:eastAsia="en-GB"/>
        </w:rPr>
        <w:t>and</w:t>
      </w:r>
      <w:r w:rsidR="009E031E" w:rsidRPr="009E031E">
        <w:rPr>
          <w:rFonts w:ascii="Times New Roman" w:hAnsi="Times New Roman"/>
          <w:noProof/>
          <w:szCs w:val="24"/>
          <w:lang w:eastAsia="en-GB"/>
        </w:rPr>
        <w:t xml:space="preserve"> Geertsema</w:t>
      </w:r>
      <w:r w:rsidR="002B2B6A">
        <w:rPr>
          <w:rFonts w:ascii="Times New Roman" w:hAnsi="Times New Roman"/>
          <w:noProof/>
          <w:szCs w:val="24"/>
          <w:lang w:eastAsia="en-GB"/>
        </w:rPr>
        <w:t>,</w:t>
      </w:r>
      <w:r w:rsidR="009E031E" w:rsidRPr="009E031E">
        <w:rPr>
          <w:rFonts w:ascii="Times New Roman" w:hAnsi="Times New Roman"/>
          <w:noProof/>
          <w:szCs w:val="24"/>
          <w:lang w:eastAsia="en-GB"/>
        </w:rPr>
        <w:t xml:space="preserve"> 2016</w:t>
      </w:r>
      <w:r w:rsidR="009E031E">
        <w:rPr>
          <w:rFonts w:ascii="Times New Roman" w:hAnsi="Times New Roman"/>
          <w:noProof/>
          <w:szCs w:val="24"/>
          <w:lang w:eastAsia="en-GB"/>
        </w:rPr>
        <w:t>;</w:t>
      </w:r>
      <w:r w:rsidR="009E031E">
        <w:rPr>
          <w:rFonts w:ascii="Times New Roman" w:hAnsi="Times New Roman"/>
          <w:szCs w:val="24"/>
          <w:lang w:eastAsia="en-GB"/>
        </w:rPr>
        <w:fldChar w:fldCharType="end"/>
      </w:r>
      <w:r w:rsidR="009E031E">
        <w:rPr>
          <w:rFonts w:ascii="Times New Roman" w:hAnsi="Times New Roman"/>
          <w:szCs w:val="24"/>
          <w:lang w:eastAsia="en-GB"/>
        </w:rPr>
        <w:t xml:space="preserve"> </w:t>
      </w:r>
      <w:r w:rsidR="009E031E">
        <w:rPr>
          <w:rFonts w:ascii="Times New Roman" w:hAnsi="Times New Roman"/>
          <w:szCs w:val="24"/>
          <w:lang w:eastAsia="en-GB"/>
        </w:rPr>
        <w:fldChar w:fldCharType="begin" w:fldLock="1"/>
      </w:r>
      <w:r w:rsidR="00B3741B">
        <w:rPr>
          <w:rFonts w:ascii="Times New Roman" w:hAnsi="Times New Roman"/>
          <w:szCs w:val="24"/>
          <w:lang w:eastAsia="en-GB"/>
        </w:rPr>
        <w:instrText>ADDIN CSL_CITATION {"citationItems":[{"id":"ITEM-1","itemData":{"DOI":"10.1177/0095399715581045","ISBN":"0095399715581","ISSN":"15523039","abstract":"Local government structural reform programs are often based on the purported benefits of increased scale. We examine this question in relation to the proposed amalgamation program for New South Wales (NSW) by the NSW Independent Local Government Review Panel using Data Envelopment Analysis (DEA). We find evidence that a significant proportion of municipalities scheduled for amalgamation already exceed optimal scale and that the great majority of “amalgamated” entities will initially exhibit decreasing returns to scale. Our findings thus stand in stark contrast to the Independent Local Government Review Panel (ILGRP) contention that municipal mergers are the optimal approach to capturing economies of scale in NSW local government.","author":[{"dropping-particle":"","family":"Drew","given":"Joseph","non-dropping-particle":"","parse-names":false,"suffix":""},{"dropping-particle":"","family":"Kortt","given":"Michael A.","non-dropping-particle":"","parse-names":false,"suffix":""},{"dropping-particle":"","family":"Dollery","given":"Brian","non-dropping-particle":"","parse-names":false,"suffix":""}],"container-title":"Administration and Society","id":"ITEM-1","issue":"10","issued":{"date-parts":[["2017"]]},"page":"1450-1470","title":"No Aladdin’s Cave in New South Wales? Local Government Amalgamation, Scale Economies, and Data Envelopment Analysis Specification","type":"article-journal","volume":"49"},"uris":["http://www.mendeley.com/documents/?uuid=cdc47414-f4a1-4981-bda3-36eed2585d9d"]}],"mendeley":{"formattedCitation":"(Drew, Kortt &amp; Dollery 2017b)","manualFormatting":"Drew, Kortt and Dollery, 2017b)","plainTextFormattedCitation":"(Drew, Kortt &amp; Dollery 2017b)","previouslyFormattedCitation":"(Drew, Kortt &amp; Dollery 2017b)"},"properties":{"noteIndex":0},"schema":"https://github.com/citation-style-language/schema/raw/master/csl-citation.json"}</w:instrText>
      </w:r>
      <w:r w:rsidR="009E031E">
        <w:rPr>
          <w:rFonts w:ascii="Times New Roman" w:hAnsi="Times New Roman"/>
          <w:szCs w:val="24"/>
          <w:lang w:eastAsia="en-GB"/>
        </w:rPr>
        <w:fldChar w:fldCharType="separate"/>
      </w:r>
      <w:r w:rsidR="009E031E" w:rsidRPr="009E031E">
        <w:rPr>
          <w:rFonts w:ascii="Times New Roman" w:hAnsi="Times New Roman"/>
          <w:noProof/>
          <w:szCs w:val="24"/>
          <w:lang w:eastAsia="en-GB"/>
        </w:rPr>
        <w:t xml:space="preserve">Drew, Kortt </w:t>
      </w:r>
      <w:r w:rsidR="002B2B6A">
        <w:rPr>
          <w:rFonts w:ascii="Times New Roman" w:hAnsi="Times New Roman"/>
          <w:noProof/>
          <w:szCs w:val="24"/>
          <w:lang w:eastAsia="en-GB"/>
        </w:rPr>
        <w:t>and</w:t>
      </w:r>
      <w:r w:rsidR="009E031E" w:rsidRPr="009E031E">
        <w:rPr>
          <w:rFonts w:ascii="Times New Roman" w:hAnsi="Times New Roman"/>
          <w:noProof/>
          <w:szCs w:val="24"/>
          <w:lang w:eastAsia="en-GB"/>
        </w:rPr>
        <w:t xml:space="preserve"> Dollery</w:t>
      </w:r>
      <w:r w:rsidR="002B2B6A">
        <w:rPr>
          <w:rFonts w:ascii="Times New Roman" w:hAnsi="Times New Roman"/>
          <w:noProof/>
          <w:szCs w:val="24"/>
          <w:lang w:eastAsia="en-GB"/>
        </w:rPr>
        <w:t>,</w:t>
      </w:r>
      <w:r w:rsidR="009E031E" w:rsidRPr="009E031E">
        <w:rPr>
          <w:rFonts w:ascii="Times New Roman" w:hAnsi="Times New Roman"/>
          <w:noProof/>
          <w:szCs w:val="24"/>
          <w:lang w:eastAsia="en-GB"/>
        </w:rPr>
        <w:t xml:space="preserve"> 2017b)</w:t>
      </w:r>
      <w:r w:rsidR="009E031E">
        <w:rPr>
          <w:rFonts w:ascii="Times New Roman" w:hAnsi="Times New Roman"/>
          <w:szCs w:val="24"/>
          <w:lang w:eastAsia="en-GB"/>
        </w:rPr>
        <w:fldChar w:fldCharType="end"/>
      </w:r>
      <w:r w:rsidR="009E031E">
        <w:rPr>
          <w:rFonts w:ascii="Times New Roman" w:hAnsi="Times New Roman"/>
          <w:szCs w:val="24"/>
          <w:lang w:eastAsia="en-GB"/>
        </w:rPr>
        <w:t>. Economies of scale in local government may be achieved through increased specialisation, greater purchasing power to reduce unit price and reduction of administrative overheads</w:t>
      </w:r>
      <w:r w:rsidR="002B2B6A">
        <w:rPr>
          <w:rFonts w:ascii="Times New Roman" w:hAnsi="Times New Roman"/>
          <w:szCs w:val="24"/>
          <w:lang w:eastAsia="en-GB"/>
        </w:rPr>
        <w:t xml:space="preserve"> which is claimed to lower rates for the community </w:t>
      </w:r>
      <w:r w:rsidR="002B2B6A">
        <w:rPr>
          <w:rFonts w:ascii="Times New Roman" w:hAnsi="Times New Roman"/>
          <w:szCs w:val="24"/>
          <w:lang w:eastAsia="en-GB"/>
        </w:rPr>
        <w:fldChar w:fldCharType="begin" w:fldLock="1"/>
      </w:r>
      <w:r w:rsidR="002B2B6A">
        <w:rPr>
          <w:rFonts w:ascii="Times New Roman" w:hAnsi="Times New Roman"/>
          <w:szCs w:val="24"/>
          <w:lang w:eastAsia="en-GB"/>
        </w:rPr>
        <w:instrText>ADDIN CSL_CITATION {"citationItems":[{"id":"ITEM-1","itemData":{"ISBN":"0868407518","author":[{"dropping-particle":"","family":"Dollery","given":"Brian","non-dropping-particle":"","parse-names":false,"suffix":""},{"dropping-particle":"","family":"Crase","given":"Lin","non-dropping-particle":"","parse-names":false,"suffix":""},{"dropping-particle":"","family":"Johnson","given":"Andrew","non-dropping-particle":"","parse-names":false,"suffix":""}],"edition":"First","id":"ITEM-1","issued":{"date-parts":[["2006"]]},"publisher":"UNSW Press","publisher-place":"Sydney, NSW, Australia","title":"Australian local government economies","type":"book"},"uris":["http://www.mendeley.com/documents/?uuid=2b1b47b8-68d8-42db-adc7-afa77eafbb2f"]}],"mendeley":{"formattedCitation":"(Dollery, Crase &amp; Johnson 2006)","manualFormatting":"(Dollery, Crase and Johnson, 2006;","plainTextFormattedCitation":"(Dollery, Crase &amp; Johnson 2006)","previouslyFormattedCitation":"(Dollery, Crase &amp; Johnson 2006)"},"properties":{"noteIndex":0},"schema":"https://github.com/citation-style-language/schema/raw/master/csl-citation.json"}</w:instrText>
      </w:r>
      <w:r w:rsidR="002B2B6A">
        <w:rPr>
          <w:rFonts w:ascii="Times New Roman" w:hAnsi="Times New Roman"/>
          <w:szCs w:val="24"/>
          <w:lang w:eastAsia="en-GB"/>
        </w:rPr>
        <w:fldChar w:fldCharType="separate"/>
      </w:r>
      <w:r w:rsidR="002B2B6A" w:rsidRPr="002B2B6A">
        <w:rPr>
          <w:rFonts w:ascii="Times New Roman" w:hAnsi="Times New Roman"/>
          <w:noProof/>
          <w:szCs w:val="24"/>
          <w:lang w:eastAsia="en-GB"/>
        </w:rPr>
        <w:t xml:space="preserve">(Dollery, Crase </w:t>
      </w:r>
      <w:r w:rsidR="002B2B6A">
        <w:rPr>
          <w:rFonts w:ascii="Times New Roman" w:hAnsi="Times New Roman"/>
          <w:noProof/>
          <w:szCs w:val="24"/>
          <w:lang w:eastAsia="en-GB"/>
        </w:rPr>
        <w:t>and</w:t>
      </w:r>
      <w:r w:rsidR="002B2B6A" w:rsidRPr="002B2B6A">
        <w:rPr>
          <w:rFonts w:ascii="Times New Roman" w:hAnsi="Times New Roman"/>
          <w:noProof/>
          <w:szCs w:val="24"/>
          <w:lang w:eastAsia="en-GB"/>
        </w:rPr>
        <w:t xml:space="preserve"> Johnson</w:t>
      </w:r>
      <w:r w:rsidR="002B2B6A">
        <w:rPr>
          <w:rFonts w:ascii="Times New Roman" w:hAnsi="Times New Roman"/>
          <w:noProof/>
          <w:szCs w:val="24"/>
          <w:lang w:eastAsia="en-GB"/>
        </w:rPr>
        <w:t>,</w:t>
      </w:r>
      <w:r w:rsidR="002B2B6A" w:rsidRPr="002B2B6A">
        <w:rPr>
          <w:rFonts w:ascii="Times New Roman" w:hAnsi="Times New Roman"/>
          <w:noProof/>
          <w:szCs w:val="24"/>
          <w:lang w:eastAsia="en-GB"/>
        </w:rPr>
        <w:t xml:space="preserve"> 2006</w:t>
      </w:r>
      <w:r w:rsidR="002B2B6A">
        <w:rPr>
          <w:rFonts w:ascii="Times New Roman" w:hAnsi="Times New Roman"/>
          <w:noProof/>
          <w:szCs w:val="24"/>
          <w:lang w:eastAsia="en-GB"/>
        </w:rPr>
        <w:t>;</w:t>
      </w:r>
      <w:r w:rsidR="002B2B6A">
        <w:rPr>
          <w:rFonts w:ascii="Times New Roman" w:hAnsi="Times New Roman"/>
          <w:szCs w:val="24"/>
          <w:lang w:eastAsia="en-GB"/>
        </w:rPr>
        <w:fldChar w:fldCharType="end"/>
      </w:r>
      <w:r w:rsidR="002B2B6A">
        <w:rPr>
          <w:rFonts w:ascii="Times New Roman" w:hAnsi="Times New Roman"/>
          <w:szCs w:val="24"/>
          <w:lang w:eastAsia="en-GB"/>
        </w:rPr>
        <w:t xml:space="preserve"> </w:t>
      </w:r>
      <w:r w:rsidR="002B2B6A">
        <w:rPr>
          <w:rFonts w:ascii="Times New Roman" w:hAnsi="Times New Roman"/>
          <w:szCs w:val="24"/>
          <w:lang w:eastAsia="en-GB"/>
        </w:rPr>
        <w:fldChar w:fldCharType="begin" w:fldLock="1"/>
      </w:r>
      <w:r w:rsidR="002B2B6A">
        <w:rPr>
          <w:rFonts w:ascii="Times New Roman" w:hAnsi="Times New Roman"/>
          <w:szCs w:val="24"/>
          <w:lang w:eastAsia="en-GB"/>
        </w:rPr>
        <w:instrText>ADDIN CSL_CITATION {"citationItems":[{"id":"ITEM-1","itemData":{"DOI":"10.1007/978-981-10-3867-9","ISBN":"9789811038679","abstract":"This book offers a general introduction to and analysis of the history, theory and public policy of Australian local government systems. Conceived in an international comparative context and primarily from within the discipline of political studies, it also incorporates elements of economics and public administration. Existing research tends to conceptualise Australian local government as an element of public policy grounded in an ‘administrative science’ approach. A feature of this approach is that generally normative considerations form only a latent element of the discussions, which is invariably anchored in debates about institutional design rather than the normative defensibility of local government. The book addresses this point by providing an account of the terrain of theoretical debate alongside salient themes in public policy.","author":[{"dropping-particle":"","family":"Grant","given":"Bligh","non-dropping-particle":"","parse-names":false,"suffix":""},{"dropping-particle":"","family":"Drew","given":"Joseph","non-dropping-particle":"","parse-names":false,"suffix":""}],"chapter-number":"10","container-title":"Local Government in Australia: History, Theory and Public Policy","id":"ITEM-1","issued":{"date-parts":[["2017"]]},"page":"1-445","publisher":"Springer Publishing","publisher-place":"Singapore","title":"Local government amalgamations","type":"chapter"},"uris":["http://www.mendeley.com/documents/?uuid=eb818854-75a0-4f5c-b0e9-143bcf8c400a"]}],"mendeley":{"formattedCitation":"(Grant &amp; Drew 2017)","manualFormatting":"Grant and Drew, 2017)","plainTextFormattedCitation":"(Grant &amp; Drew 2017)","previouslyFormattedCitation":"(Grant &amp; Drew 2017)"},"properties":{"noteIndex":0},"schema":"https://github.com/citation-style-language/schema/raw/master/csl-citation.json"}</w:instrText>
      </w:r>
      <w:r w:rsidR="002B2B6A">
        <w:rPr>
          <w:rFonts w:ascii="Times New Roman" w:hAnsi="Times New Roman"/>
          <w:szCs w:val="24"/>
          <w:lang w:eastAsia="en-GB"/>
        </w:rPr>
        <w:fldChar w:fldCharType="separate"/>
      </w:r>
      <w:r w:rsidR="002B2B6A" w:rsidRPr="002B2B6A">
        <w:rPr>
          <w:rFonts w:ascii="Times New Roman" w:hAnsi="Times New Roman"/>
          <w:noProof/>
          <w:szCs w:val="24"/>
          <w:lang w:eastAsia="en-GB"/>
        </w:rPr>
        <w:t xml:space="preserve">Grant </w:t>
      </w:r>
      <w:r w:rsidR="002B2B6A">
        <w:rPr>
          <w:rFonts w:ascii="Times New Roman" w:hAnsi="Times New Roman"/>
          <w:noProof/>
          <w:szCs w:val="24"/>
          <w:lang w:eastAsia="en-GB"/>
        </w:rPr>
        <w:t>and</w:t>
      </w:r>
      <w:r w:rsidR="002B2B6A" w:rsidRPr="002B2B6A">
        <w:rPr>
          <w:rFonts w:ascii="Times New Roman" w:hAnsi="Times New Roman"/>
          <w:noProof/>
          <w:szCs w:val="24"/>
          <w:lang w:eastAsia="en-GB"/>
        </w:rPr>
        <w:t xml:space="preserve"> Drew</w:t>
      </w:r>
      <w:r w:rsidR="002B2B6A">
        <w:rPr>
          <w:rFonts w:ascii="Times New Roman" w:hAnsi="Times New Roman"/>
          <w:noProof/>
          <w:szCs w:val="24"/>
          <w:lang w:eastAsia="en-GB"/>
        </w:rPr>
        <w:t>,</w:t>
      </w:r>
      <w:r w:rsidR="002B2B6A" w:rsidRPr="002B2B6A">
        <w:rPr>
          <w:rFonts w:ascii="Times New Roman" w:hAnsi="Times New Roman"/>
          <w:noProof/>
          <w:szCs w:val="24"/>
          <w:lang w:eastAsia="en-GB"/>
        </w:rPr>
        <w:t xml:space="preserve"> 2017)</w:t>
      </w:r>
      <w:r w:rsidR="002B2B6A">
        <w:rPr>
          <w:rFonts w:ascii="Times New Roman" w:hAnsi="Times New Roman"/>
          <w:szCs w:val="24"/>
          <w:lang w:eastAsia="en-GB"/>
        </w:rPr>
        <w:fldChar w:fldCharType="end"/>
      </w:r>
      <w:r w:rsidR="002B2B6A">
        <w:rPr>
          <w:rFonts w:ascii="Times New Roman" w:hAnsi="Times New Roman"/>
          <w:szCs w:val="24"/>
          <w:lang w:eastAsia="en-GB"/>
        </w:rPr>
        <w:t xml:space="preserve">. </w:t>
      </w:r>
    </w:p>
    <w:p w14:paraId="2F596F95" w14:textId="77777777" w:rsidR="002B2B6A" w:rsidRDefault="002B2B6A" w:rsidP="00D31345">
      <w:pPr>
        <w:tabs>
          <w:tab w:val="left" w:pos="284"/>
        </w:tabs>
        <w:spacing w:line="276" w:lineRule="auto"/>
        <w:ind w:right="-738"/>
        <w:contextualSpacing/>
        <w:jc w:val="both"/>
        <w:rPr>
          <w:rFonts w:ascii="Times New Roman" w:hAnsi="Times New Roman"/>
          <w:szCs w:val="24"/>
          <w:lang w:eastAsia="en-GB"/>
        </w:rPr>
      </w:pPr>
    </w:p>
    <w:p w14:paraId="151A6DA4" w14:textId="77777777" w:rsidR="002B2B6A" w:rsidRPr="002B2B6A" w:rsidRDefault="00B3741B" w:rsidP="00D31345">
      <w:pPr>
        <w:tabs>
          <w:tab w:val="left" w:pos="284"/>
        </w:tabs>
        <w:spacing w:line="276" w:lineRule="auto"/>
        <w:ind w:right="-738"/>
        <w:contextualSpacing/>
        <w:jc w:val="both"/>
        <w:rPr>
          <w:rFonts w:ascii="Times New Roman" w:hAnsi="Times New Roman" w:cs="Arial"/>
          <w:b/>
          <w:bCs/>
          <w:i/>
          <w:iCs/>
          <w:szCs w:val="28"/>
          <w:lang w:eastAsia="en-GB"/>
        </w:rPr>
      </w:pPr>
      <w:r>
        <w:rPr>
          <w:rFonts w:ascii="Times New Roman" w:hAnsi="Times New Roman" w:cs="Arial"/>
          <w:b/>
          <w:bCs/>
          <w:i/>
          <w:iCs/>
          <w:szCs w:val="28"/>
          <w:lang w:eastAsia="en-GB"/>
        </w:rPr>
        <w:t xml:space="preserve">2.2 </w:t>
      </w:r>
      <w:r w:rsidR="002B2B6A" w:rsidRPr="002B2B6A">
        <w:rPr>
          <w:rFonts w:ascii="Times New Roman" w:hAnsi="Times New Roman" w:cs="Arial"/>
          <w:b/>
          <w:bCs/>
          <w:i/>
          <w:iCs/>
          <w:szCs w:val="28"/>
          <w:lang w:eastAsia="en-GB"/>
        </w:rPr>
        <w:t>Empirical data for local government economies of scale</w:t>
      </w:r>
    </w:p>
    <w:p w14:paraId="66EC2FCD" w14:textId="25B4312F" w:rsidR="002B2B6A" w:rsidRDefault="00AF0019" w:rsidP="005E5098">
      <w:pPr>
        <w:pStyle w:val="FirstPara"/>
        <w:spacing w:line="276" w:lineRule="auto"/>
        <w:ind w:right="-808"/>
        <w:rPr>
          <w:lang w:eastAsia="en-GB"/>
        </w:rPr>
      </w:pPr>
      <w:r w:rsidRPr="000D5602">
        <w:rPr>
          <w:sz w:val="24"/>
          <w:szCs w:val="24"/>
          <w:lang w:eastAsia="en-GB"/>
        </w:rPr>
        <w:t xml:space="preserve">In the literature there has been support for economies of scale, diseconomies of scale and no economies of scale on the basis of the variations in public services </w:t>
      </w:r>
      <w:r w:rsidR="00B3741B" w:rsidRPr="000D5602">
        <w:rPr>
          <w:szCs w:val="24"/>
          <w:lang w:eastAsia="en-GB"/>
        </w:rPr>
        <w:fldChar w:fldCharType="begin" w:fldLock="1"/>
      </w:r>
      <w:r w:rsidR="00B3741B" w:rsidRPr="000D5602">
        <w:rPr>
          <w:sz w:val="24"/>
          <w:szCs w:val="24"/>
          <w:lang w:eastAsia="en-GB"/>
        </w:rPr>
        <w:instrText>ADDIN CSL_CITATION {"citationItems":[{"id":"ITEM-1","itemData":{"DOI":"10.1016/j.brq.2018.09.001","ISSN":"23409444","abstract":"The academic literature provides excellent methodologies to identify best practices and to calculate inefficiencies by stochastic frontier analysis. However, these methodologies are regarded as a black box by policy makers and managers and therefore results are hard to accept. This paper proposes an alternative class of stochastic frontier estimators, based on the notion that some observations contain more information than others about the true frontier. If an observation is likely to contain much information, it is assigned a large weight in the regression analysis. In order to establish the weights, we propose an iterative procedure. The advantages of this more intuitive approach are its transparency and its easy application. The method is applied to Dutch local administrative services (LAS) in municipalities. The method converges quickly and produces reliable estimates. About 25% of the LAS are designated as efficient. The average efficiency score is 93%. For the average sized LAS no economies of scale exist.","author":[{"dropping-particle":"","family":"Blank","given":"Jos L.T.","non-dropping-particle":"","parse-names":false,"suffix":""}],"container-title":"Business Research Quarterly","id":"ITEM-1","issue":"4","issued":{"date-parts":[["2018"]]},"page":"251-61","title":"Measuring the performance of local administrative public services","type":"article-journal","volume":"21"},"uris":["http://www.mendeley.com/documents/?uuid=ef2fe50b-2679-4505-87fd-a94bf46d84a3"]}],"mendeley":{"formattedCitation":"(Blank 2018)","manualFormatting":"(Blank, 2018","plainTextFormattedCitation":"(Blank 2018)","previouslyFormattedCitation":"(Blank 2018)"},"properties":{"noteIndex":0},"schema":"https://github.com/citation-style-language/schema/raw/master/csl-citation.json"}</w:instrText>
      </w:r>
      <w:r w:rsidR="00B3741B" w:rsidRPr="000D5602">
        <w:rPr>
          <w:szCs w:val="24"/>
          <w:lang w:eastAsia="en-GB"/>
        </w:rPr>
        <w:fldChar w:fldCharType="separate"/>
      </w:r>
      <w:r w:rsidR="00B3741B" w:rsidRPr="000D5602">
        <w:rPr>
          <w:noProof/>
          <w:sz w:val="24"/>
          <w:szCs w:val="24"/>
          <w:lang w:eastAsia="en-GB"/>
        </w:rPr>
        <w:t>(Blank, 2018</w:t>
      </w:r>
      <w:r w:rsidR="00B3741B" w:rsidRPr="000D5602">
        <w:rPr>
          <w:szCs w:val="24"/>
          <w:lang w:eastAsia="en-GB"/>
        </w:rPr>
        <w:fldChar w:fldCharType="end"/>
      </w:r>
      <w:r w:rsidRPr="000D5602">
        <w:rPr>
          <w:sz w:val="24"/>
          <w:szCs w:val="24"/>
          <w:lang w:eastAsia="en-GB"/>
        </w:rPr>
        <w:t xml:space="preserve">; </w:t>
      </w:r>
      <w:r w:rsidR="00B3741B" w:rsidRPr="000D5602">
        <w:rPr>
          <w:szCs w:val="24"/>
          <w:lang w:eastAsia="en-GB"/>
        </w:rPr>
        <w:fldChar w:fldCharType="begin" w:fldLock="1"/>
      </w:r>
      <w:r w:rsidR="00B3741B" w:rsidRPr="000D5602">
        <w:rPr>
          <w:sz w:val="24"/>
          <w:szCs w:val="24"/>
          <w:lang w:eastAsia="en-GB"/>
        </w:rPr>
        <w:instrText>ADDIN CSL_CITATION {"citationItems":[{"id":"ITEM-1","itemData":{"DOI":"10.1017/S0003055416000320","ISBN":"0003055416000","ISSN":"15375943","abstract":"Across the developed world, the last 50 years have seen a dramatic wave of municipal mergers, often motivated by a quest for economies of scale. Re-examining the theoretical arguments invoked to justify these reforms, we find that, in fact, there is no compelling reason to expect them to yield net gains. Potential savings in, for example, administrative costs are likely to be offset by opposite effects for other domains. Past attempts at empirical assessment have been bedeviled by endogeneity - which municipalities amalgamate is typically nonrandom - creating a danger of bias. We exploit the particular characteristics of a recent Danish reform to provide more credible difference-in-differences estimates of the effect of mergers. The result turns out to be null: cost savings in some areas were offset by deterioration in others, while for most public services jurisdiction size did not matter at all. Given significant transition costs, the finding raises questions about the rationale behind a global movement that has already restructured local government on almost all continents.","author":[{"dropping-particle":"","family":"Blom-Hansen","given":"Jens","non-dropping-particle":"","parse-names":false,"suffix":""},{"dropping-particle":"","family":"Houlberg","given":"Kurt","non-dropping-particle":"","parse-names":false,"suffix":""},{"dropping-particle":"","family":"Serritzlew","given":"Soren","non-dropping-particle":"","parse-names":false,"suffix":""},{"dropping-particle":"","family":"Treisman","given":"Daniel","non-dropping-particle":"","parse-names":false,"suffix":""}],"container-title":"American Political Science Review","id":"ITEM-1","issue":"4","issued":{"date-parts":[["2016"]]},"page":"812-831","title":"Jurisdiction size and local government policy expenditure: Assessing the effect of municipal amalgamation","type":"article-journal","volume":"110"},"uris":["http://www.mendeley.com/documents/?uuid=464fc302-6b63-4f7b-b280-c9c33d15a0c6"]}],"mendeley":{"formattedCitation":"(Blom-Hansen et al. 2016)","manualFormatting":"Blom-Hansen et al., 2016","plainTextFormattedCitation":"(Blom-Hansen et al. 2016)","previouslyFormattedCitation":"(Blom-Hansen et al. 2016)"},"properties":{"noteIndex":0},"schema":"https://github.com/citation-style-language/schema/raw/master/csl-citation.json"}</w:instrText>
      </w:r>
      <w:r w:rsidR="00B3741B" w:rsidRPr="000D5602">
        <w:rPr>
          <w:szCs w:val="24"/>
          <w:lang w:eastAsia="en-GB"/>
        </w:rPr>
        <w:fldChar w:fldCharType="separate"/>
      </w:r>
      <w:r w:rsidR="00B3741B" w:rsidRPr="000D5602">
        <w:rPr>
          <w:noProof/>
          <w:sz w:val="24"/>
          <w:szCs w:val="24"/>
          <w:lang w:eastAsia="en-GB"/>
        </w:rPr>
        <w:t>Blom-Hansen et al., 2016</w:t>
      </w:r>
      <w:r w:rsidR="00B3741B" w:rsidRPr="000D5602">
        <w:rPr>
          <w:szCs w:val="24"/>
          <w:lang w:eastAsia="en-GB"/>
        </w:rPr>
        <w:fldChar w:fldCharType="end"/>
      </w:r>
      <w:r w:rsidRPr="000D5602">
        <w:rPr>
          <w:sz w:val="24"/>
          <w:szCs w:val="24"/>
          <w:lang w:eastAsia="en-GB"/>
        </w:rPr>
        <w:t xml:space="preserve">; </w:t>
      </w:r>
      <w:r w:rsidR="00B3741B" w:rsidRPr="000D5602">
        <w:rPr>
          <w:szCs w:val="24"/>
          <w:lang w:eastAsia="en-GB"/>
        </w:rPr>
        <w:fldChar w:fldCharType="begin" w:fldLock="1"/>
      </w:r>
      <w:r w:rsidR="00B3741B" w:rsidRPr="000D5602">
        <w:rPr>
          <w:sz w:val="24"/>
          <w:szCs w:val="24"/>
          <w:lang w:eastAsia="en-GB"/>
        </w:rPr>
        <w:instrText>ADDIN CSL_CITATION {"citationItems":[{"id":"ITEM-1","itemData":{"author":[{"dropping-particle":"","family":"Kortt","given":"Michael","non-dropping-particle":"","parse-names":false,"suffix":""},{"dropping-particle":"","family":"Dollery","given":"Brian","non-dropping-particle":"","parse-names":false,"suffix":""},{"dropping-particle":"","family":"Grant","given":"Bligh","non-dropping-particle":"","parse-names":false,"suffix":""}],"container-title":"Public Policy","id":"ITEM-1","issue":"1","issued":{"date-parts":[["2012"]]},"page":"47-62","title":"Regional and local tensions: the role of shared services","type":"article-journal","volume":"7"},"uris":["http://www.mendeley.com/documents/?uuid=0f63e48d-6921-4199-8a4a-aff0ca473c33"]}],"mendeley":{"formattedCitation":"(Kortt, Dollery &amp; Grant 2012)","manualFormatting":"Kortt, Dollery and Grant, 2012)","plainTextFormattedCitation":"(Kortt, Dollery &amp; Grant 2012)","previouslyFormattedCitation":"(Kortt, Dollery &amp; Grant 2012)"},"properties":{"noteIndex":0},"schema":"https://github.com/citation-style-language/schema/raw/master/csl-citation.json"}</w:instrText>
      </w:r>
      <w:r w:rsidR="00B3741B" w:rsidRPr="000D5602">
        <w:rPr>
          <w:szCs w:val="24"/>
          <w:lang w:eastAsia="en-GB"/>
        </w:rPr>
        <w:fldChar w:fldCharType="separate"/>
      </w:r>
      <w:r w:rsidR="00B3741B" w:rsidRPr="000D5602">
        <w:rPr>
          <w:noProof/>
          <w:sz w:val="24"/>
          <w:szCs w:val="24"/>
          <w:lang w:eastAsia="en-GB"/>
        </w:rPr>
        <w:t>Kortt, Dollery and Grant, 2012)</w:t>
      </w:r>
      <w:r w:rsidR="00B3741B" w:rsidRPr="000D5602">
        <w:rPr>
          <w:szCs w:val="24"/>
          <w:lang w:eastAsia="en-GB"/>
        </w:rPr>
        <w:fldChar w:fldCharType="end"/>
      </w:r>
      <w:r w:rsidRPr="000D5602">
        <w:rPr>
          <w:sz w:val="24"/>
          <w:szCs w:val="24"/>
          <w:lang w:eastAsia="en-GB"/>
        </w:rPr>
        <w:t xml:space="preserve">. For </w:t>
      </w:r>
      <w:r w:rsidR="009B36E5" w:rsidRPr="000D5602">
        <w:rPr>
          <w:sz w:val="24"/>
          <w:szCs w:val="24"/>
          <w:lang w:eastAsia="en-GB"/>
        </w:rPr>
        <w:t>example,</w:t>
      </w:r>
      <w:r w:rsidRPr="000D5602">
        <w:rPr>
          <w:sz w:val="24"/>
          <w:szCs w:val="24"/>
          <w:lang w:eastAsia="en-GB"/>
        </w:rPr>
        <w:t xml:space="preserve"> labour-intensive services were argued to support diseconomies of scale whilst capital-intensive services such as domestic water supply supported economies of scale (</w:t>
      </w:r>
      <w:proofErr w:type="spellStart"/>
      <w:r w:rsidRPr="000D5602">
        <w:rPr>
          <w:sz w:val="24"/>
          <w:szCs w:val="24"/>
          <w:lang w:eastAsia="en-GB"/>
        </w:rPr>
        <w:t>Kortt</w:t>
      </w:r>
      <w:proofErr w:type="spellEnd"/>
      <w:r w:rsidRPr="000D5602">
        <w:rPr>
          <w:sz w:val="24"/>
          <w:szCs w:val="24"/>
          <w:lang w:eastAsia="en-GB"/>
        </w:rPr>
        <w:t xml:space="preserve">, </w:t>
      </w:r>
      <w:proofErr w:type="spellStart"/>
      <w:r w:rsidRPr="000D5602">
        <w:rPr>
          <w:sz w:val="24"/>
          <w:szCs w:val="24"/>
          <w:lang w:eastAsia="en-GB"/>
        </w:rPr>
        <w:t>Dollery</w:t>
      </w:r>
      <w:proofErr w:type="spellEnd"/>
      <w:r w:rsidRPr="000D5602">
        <w:rPr>
          <w:sz w:val="24"/>
          <w:szCs w:val="24"/>
          <w:lang w:eastAsia="en-GB"/>
        </w:rPr>
        <w:t xml:space="preserve"> </w:t>
      </w:r>
      <w:r w:rsidR="00B3741B" w:rsidRPr="000D5602">
        <w:rPr>
          <w:sz w:val="24"/>
          <w:szCs w:val="24"/>
          <w:lang w:eastAsia="en-GB"/>
        </w:rPr>
        <w:t>and</w:t>
      </w:r>
      <w:r w:rsidRPr="000D5602">
        <w:rPr>
          <w:sz w:val="24"/>
          <w:szCs w:val="24"/>
          <w:lang w:eastAsia="en-GB"/>
        </w:rPr>
        <w:t xml:space="preserve"> Grant</w:t>
      </w:r>
      <w:r w:rsidR="00B3741B" w:rsidRPr="000D5602">
        <w:rPr>
          <w:sz w:val="24"/>
          <w:szCs w:val="24"/>
          <w:lang w:eastAsia="en-GB"/>
        </w:rPr>
        <w:t>,</w:t>
      </w:r>
      <w:r w:rsidRPr="000D5602">
        <w:rPr>
          <w:sz w:val="24"/>
          <w:szCs w:val="24"/>
          <w:lang w:eastAsia="en-GB"/>
        </w:rPr>
        <w:t xml:space="preserve"> 2012). Savings </w:t>
      </w:r>
      <w:r w:rsidR="00707D7B" w:rsidRPr="000D5602">
        <w:rPr>
          <w:sz w:val="24"/>
          <w:szCs w:val="24"/>
          <w:lang w:eastAsia="en-GB"/>
        </w:rPr>
        <w:t xml:space="preserve">due to economies of scale </w:t>
      </w:r>
      <w:r w:rsidRPr="000D5602">
        <w:rPr>
          <w:sz w:val="24"/>
          <w:szCs w:val="24"/>
          <w:lang w:eastAsia="en-GB"/>
        </w:rPr>
        <w:t xml:space="preserve">were found in administration costs but not in other areas such as total revenue </w:t>
      </w:r>
      <w:r w:rsidR="00B3741B" w:rsidRPr="000D5602">
        <w:rPr>
          <w:szCs w:val="24"/>
          <w:lang w:eastAsia="en-GB"/>
        </w:rPr>
        <w:fldChar w:fldCharType="begin" w:fldLock="1"/>
      </w:r>
      <w:r w:rsidR="00B3741B" w:rsidRPr="000D5602">
        <w:rPr>
          <w:sz w:val="24"/>
          <w:szCs w:val="24"/>
          <w:lang w:eastAsia="en-GB"/>
        </w:rPr>
        <w:instrText>ADDIN CSL_CITATION {"citationItems":[{"id":"ITEM-1","itemData":{"DOI":"10.1080/13562576.2020.1747420","ISSN":"14701235","abstract":"Recent years have brought increasing number of publications empirically assessing outcomes of territorial reforms. This paper provides a systematic review of 31 studies from 14 countries, using quasi-experimental research designs to test the causal relationship between changes in jurisdiction size and economic outcomes. The clearly confirmed finding relates to savings in administrative spending, while other sectors do not demonstrate economies of scale. The existing studies provide strong evidence for the common pool effect in theperiod before amalgamation. In the other fields, results do not display a clear pattern. The article concludes with a discussion of gaps in the literature.","author":[{"dropping-particle":"","family":"Gendźwiłł","given":"Adam","non-dropping-particle":"","parse-names":false,"suffix":""},{"dropping-particle":"","family":"Kurniewicz","given":"Anna","non-dropping-particle":"","parse-names":false,"suffix":""},{"dropping-particle":"","family":"Swianiewicz","given":"Paweł","non-dropping-particle":"","parse-names":false,"suffix":""}],"container-title":"Space and Polity","id":"ITEM-1","issued":{"date-parts":[["2020"]]},"page":"1-20","publisher":"Taylor &amp; Francis","title":"The impact of municipal territorial reforms on the economic performance of local governments. A systematic review of quasi-experimental studies","type":"article-journal"},"uris":["http://www.mendeley.com/documents/?uuid=3e3a7056-deea-4e86-8b34-a585a8f1b10d"]}],"mendeley":{"formattedCitation":"(Gendźwiłł, Kurniewicz &amp; Swianiewicz 2020)","manualFormatting":"(Gendźwiłł, Kurniewicz and Swianiewicz, 2020)","plainTextFormattedCitation":"(Gendźwiłł, Kurniewicz &amp; Swianiewicz 2020)","previouslyFormattedCitation":"(Gendźwiłł, Kurniewicz &amp; Swianiewicz 2020)"},"properties":{"noteIndex":0},"schema":"https://github.com/citation-style-language/schema/raw/master/csl-citation.json"}</w:instrText>
      </w:r>
      <w:r w:rsidR="00B3741B" w:rsidRPr="000D5602">
        <w:rPr>
          <w:szCs w:val="24"/>
          <w:lang w:eastAsia="en-GB"/>
        </w:rPr>
        <w:fldChar w:fldCharType="separate"/>
      </w:r>
      <w:r w:rsidR="00B3741B" w:rsidRPr="000D5602">
        <w:rPr>
          <w:noProof/>
          <w:sz w:val="24"/>
          <w:szCs w:val="24"/>
          <w:lang w:eastAsia="en-GB"/>
        </w:rPr>
        <w:t>(Gendźwiłł, Kurniewicz and Swianiewicz, 2020)</w:t>
      </w:r>
      <w:r w:rsidR="00B3741B" w:rsidRPr="000D5602">
        <w:rPr>
          <w:szCs w:val="24"/>
          <w:lang w:eastAsia="en-GB"/>
        </w:rPr>
        <w:fldChar w:fldCharType="end"/>
      </w:r>
      <w:r w:rsidRPr="000D5602">
        <w:rPr>
          <w:sz w:val="24"/>
          <w:szCs w:val="24"/>
          <w:lang w:eastAsia="en-GB"/>
        </w:rPr>
        <w:t>. Amalgamated Danish councils were found to have lower spending in the areas of local road maintenance and administration; however</w:t>
      </w:r>
      <w:r w:rsidR="009B36E5">
        <w:rPr>
          <w:sz w:val="24"/>
          <w:szCs w:val="24"/>
          <w:lang w:eastAsia="en-GB"/>
        </w:rPr>
        <w:t>,</w:t>
      </w:r>
      <w:r w:rsidRPr="000D5602">
        <w:rPr>
          <w:sz w:val="24"/>
          <w:szCs w:val="24"/>
          <w:lang w:eastAsia="en-GB"/>
        </w:rPr>
        <w:t xml:space="preserve"> costs increased in the areas of special needs childcare and labour market policy, and most areas had no change in spending (</w:t>
      </w:r>
      <w:proofErr w:type="spellStart"/>
      <w:r w:rsidRPr="000D5602">
        <w:rPr>
          <w:sz w:val="24"/>
          <w:szCs w:val="24"/>
          <w:lang w:eastAsia="en-GB"/>
        </w:rPr>
        <w:t>Blom</w:t>
      </w:r>
      <w:proofErr w:type="spellEnd"/>
      <w:r w:rsidRPr="000D5602">
        <w:rPr>
          <w:sz w:val="24"/>
          <w:szCs w:val="24"/>
          <w:lang w:eastAsia="en-GB"/>
        </w:rPr>
        <w:t>-Hansen et al.</w:t>
      </w:r>
      <w:r w:rsidR="00B3741B" w:rsidRPr="000D5602">
        <w:rPr>
          <w:sz w:val="24"/>
          <w:szCs w:val="24"/>
          <w:lang w:eastAsia="en-GB"/>
        </w:rPr>
        <w:t>,</w:t>
      </w:r>
      <w:r w:rsidRPr="000D5602">
        <w:rPr>
          <w:sz w:val="24"/>
          <w:szCs w:val="24"/>
          <w:lang w:eastAsia="en-GB"/>
        </w:rPr>
        <w:t xml:space="preserve"> 2016).</w:t>
      </w:r>
      <w:r w:rsidR="00B64617" w:rsidRPr="000D5602">
        <w:rPr>
          <w:sz w:val="24"/>
          <w:szCs w:val="24"/>
          <w:lang w:eastAsia="en-GB"/>
        </w:rPr>
        <w:t xml:space="preserve"> A study into the inconsistent empirical results on the effects of inter-municipal cooperation and service delivery costs concluded that such cooperation can be beneficial for reducing costs in some services and not others </w:t>
      </w:r>
      <w:r w:rsidR="00B3741B" w:rsidRPr="000D5602">
        <w:rPr>
          <w:szCs w:val="24"/>
          <w:lang w:eastAsia="en-GB"/>
        </w:rPr>
        <w:fldChar w:fldCharType="begin" w:fldLock="1"/>
      </w:r>
      <w:r w:rsidR="00FB02F7" w:rsidRPr="000D5602">
        <w:rPr>
          <w:sz w:val="24"/>
          <w:szCs w:val="24"/>
          <w:lang w:eastAsia="en-GB"/>
        </w:rPr>
        <w:instrText>ADDIN CSL_CITATION {"citationItems":[{"id":"ITEM-1","itemData":{"DOI":"10.1177/1078087419839492","ISSN":"15528332","abstract":"Inter-municipal cooperation in public service delivery has attracted the interest of local authorities seeking to reform public service provision. Cost saving, together with better quality and coordination, has been among the most important drivers of such cooperation. However, the empirical results on inter-municipal cooperation and its associated costs offer divergent outcomes. By conducting a meta-regression analysis, we seek to explain this discrepancy. We formulate several hypotheses regarding scale economies, transaction costs, and governance of cooperation. While we find no clear indications of the role played by transaction costs in the relationship between cooperation and service delivery costs, we find strong evidence that population size and governance are significant in explaining the relationship. Specifically, small populations and delegation to a higher tier of government seem to offer cost advantages to cooperating municipalities. As an extension of our model, we seek to disentangle service-related transaction costs based on asset specificity and ease of measurability of the service.","author":[{"dropping-particle":"","family":"Bel","given":"Germà","non-dropping-particle":"","parse-names":false,"suffix":""},{"dropping-particle":"","family":"Sebő","given":"Marianna","non-dropping-particle":"","parse-names":false,"suffix":""}],"container-title":"Urban Affairs Review","id":"ITEM-1","issue":"1","issued":{"date-parts":[["2021"]]},"page":"153-88","title":"Does inter-municipal cooperation really reduce delivery costs? An empirical evaluation of the role of scale economies, transaction costs, and governance arrangements","type":"article-journal","volume":"57"},"uris":["http://www.mendeley.com/documents/?uuid=7623aaa8-74a6-4aa0-8475-246f025e5e4c"]}],"mendeley":{"formattedCitation":"(Bel &amp; Sebő 2021)","manualFormatting":"(Bel and Sebő, 2021)","plainTextFormattedCitation":"(Bel &amp; Sebő 2021)","previouslyFormattedCitation":"(Bel &amp; Sebő 2021)"},"properties":{"noteIndex":0},"schema":"https://github.com/citation-style-language/schema/raw/master/csl-citation.json"}</w:instrText>
      </w:r>
      <w:r w:rsidR="00B3741B" w:rsidRPr="000D5602">
        <w:rPr>
          <w:szCs w:val="24"/>
          <w:lang w:eastAsia="en-GB"/>
        </w:rPr>
        <w:fldChar w:fldCharType="separate"/>
      </w:r>
      <w:r w:rsidR="00B3741B" w:rsidRPr="000D5602">
        <w:rPr>
          <w:noProof/>
          <w:sz w:val="24"/>
          <w:szCs w:val="24"/>
          <w:lang w:eastAsia="en-GB"/>
        </w:rPr>
        <w:t>(Bel and Sebő, 2021)</w:t>
      </w:r>
      <w:r w:rsidR="00B3741B" w:rsidRPr="000D5602">
        <w:rPr>
          <w:szCs w:val="24"/>
          <w:lang w:eastAsia="en-GB"/>
        </w:rPr>
        <w:fldChar w:fldCharType="end"/>
      </w:r>
      <w:r w:rsidR="00B64617" w:rsidRPr="000D5602">
        <w:rPr>
          <w:sz w:val="24"/>
          <w:szCs w:val="24"/>
          <w:lang w:eastAsia="en-GB"/>
        </w:rPr>
        <w:t xml:space="preserve">. </w:t>
      </w:r>
      <w:r w:rsidR="000D5602" w:rsidRPr="009815B3">
        <w:rPr>
          <w:sz w:val="24"/>
          <w:szCs w:val="24"/>
          <w:lang w:eastAsia="en-GB"/>
        </w:rPr>
        <w:t xml:space="preserve">An empirical literature study on amalgamation found that whilst there was improved efficiency in general administration, the quality of local democracy was lowered </w:t>
      </w:r>
      <w:r w:rsidR="000D5602" w:rsidRPr="009815B3">
        <w:rPr>
          <w:szCs w:val="24"/>
          <w:lang w:eastAsia="en-GB"/>
        </w:rPr>
        <w:fldChar w:fldCharType="begin" w:fldLock="1"/>
      </w:r>
      <w:r w:rsidR="000D5602" w:rsidRPr="009815B3">
        <w:rPr>
          <w:sz w:val="24"/>
          <w:szCs w:val="24"/>
          <w:lang w:eastAsia="en-GB"/>
        </w:rPr>
        <w:instrText>ADDIN CSL_CITATION {"citationItems":[{"id":"ITEM-1","itemData":{"DOI":"10.2478/mgrsd-2018-0005","ISSN":"20846118","abstract":"Municipal amalgamation reforms have been advocated as ways to improve efficiency, reduce costs, and enhance capacity in local government service provision. Research on the consequences of amalgamations has reached maturity in terms of theories, research designs and methods, justifying a systematic survey of results. This article provides a synthesis of the empirical literature published over the last 20 years, organizing the effects of amalgamations into three categories: economic efficiency and cost savings, managerial implications, and democratic outcomes. Despite the significant variation across countries and reforms, some regularities emerge: cost savings being primarily limited to general administration expenditures (wages, office supplies, and so on), few changes in the quality of local services, and the diminished quality of local democracy. Several studies point to amalgamation reforms experiencing a trade-off between efficiency and democracy.","author":[{"dropping-particle":"","family":"Tavares","given":"Antonio F.","non-dropping-particle":"","parse-names":false,"suffix":""}],"container-title":"Miscellanea Geographica","id":"ITEM-1","issue":"1","issued":{"date-parts":[["2018"]]},"page":"5-15","title":"Municipal amalgamations and their effects: A literature review","type":"article-journal","volume":"22"},"uris":["http://www.mendeley.com/documents/?uuid=c1625664-e863-4039-94f5-e2a118c1e494"]}],"mendeley":{"formattedCitation":"(Tavares 2018)","plainTextFormattedCitation":"(Tavares 2018)","previouslyFormattedCitation":"(Tavares 2018)"},"properties":{"noteIndex":0},"schema":"https://github.com/citation-style-language/schema/raw/master/csl-citation.json"}</w:instrText>
      </w:r>
      <w:r w:rsidR="000D5602" w:rsidRPr="009815B3">
        <w:rPr>
          <w:szCs w:val="24"/>
          <w:lang w:eastAsia="en-GB"/>
        </w:rPr>
        <w:fldChar w:fldCharType="separate"/>
      </w:r>
      <w:r w:rsidR="000D5602" w:rsidRPr="009815B3">
        <w:rPr>
          <w:noProof/>
          <w:sz w:val="24"/>
          <w:szCs w:val="24"/>
          <w:lang w:eastAsia="en-GB"/>
        </w:rPr>
        <w:t>(Tavares 2018)</w:t>
      </w:r>
      <w:r w:rsidR="000D5602" w:rsidRPr="009815B3">
        <w:rPr>
          <w:szCs w:val="24"/>
          <w:lang w:eastAsia="en-GB"/>
        </w:rPr>
        <w:fldChar w:fldCharType="end"/>
      </w:r>
      <w:r w:rsidR="000D5602" w:rsidRPr="009815B3">
        <w:rPr>
          <w:sz w:val="24"/>
          <w:szCs w:val="24"/>
          <w:lang w:eastAsia="en-GB"/>
        </w:rPr>
        <w:t xml:space="preserve">. Extending this view further, diseconomies of scale may be found due to lack of coordination, increased complexity and lack of transparency </w:t>
      </w:r>
      <w:r w:rsidR="000D5602" w:rsidRPr="009815B3">
        <w:rPr>
          <w:szCs w:val="24"/>
          <w:lang w:eastAsia="en-GB"/>
        </w:rPr>
        <w:fldChar w:fldCharType="begin" w:fldLock="1"/>
      </w:r>
      <w:r w:rsidR="000D5602" w:rsidRPr="009815B3">
        <w:rPr>
          <w:sz w:val="24"/>
          <w:szCs w:val="24"/>
          <w:lang w:eastAsia="en-GB"/>
        </w:rPr>
        <w:instrText>ADDIN CSL_CITATION {"citationItems":[{"id":"ITEM-1","itemData":{"DOI":"10.1007/978-981-10-3867-9","ISBN":"9789811038679","abstract":"This book offers a general introduction to and analysis of the history, theory and public policy of Australian local government systems. Conceived in an international comparative context and primarily from within the discipline of political studies, it also incorporates elements of economics and public administration. Existing research tends to conceptualise Australian local government as an element of public policy grounded in an ‘administrative science’ approach. A feature of this approach is that generally normative considerations form only a latent element of the discussions, which is invariably anchored in debates about institutional design rather than the normative defensibility of local government. The book addresses this point by providing an account of the terrain of theoretical debate alongside salient themes in public policy.","author":[{"dropping-particle":"","family":"Grant","given":"Bligh","non-dropping-particle":"","parse-names":false,"suffix":""},{"dropping-particle":"","family":"Drew","given":"Joseph","non-dropping-particle":"","parse-names":false,"suffix":""}],"chapter-number":"10","container-title":"Local Government in Australia: History, Theory and Public Policy","id":"ITEM-1","issued":{"date-parts":[["2017"]]},"page":"1-445","publisher":"Springer Publishing","publisher-place":"Singapore","title":"Local government amalgamations","type":"chapter"},"uris":["http://www.mendeley.com/documents/?uuid=eb818854-75a0-4f5c-b0e9-143bcf8c400a"]}],"mendeley":{"formattedCitation":"(Grant &amp; Drew 2017)","plainTextFormattedCitation":"(Grant &amp; Drew 2017)","previouslyFormattedCitation":"(Grant &amp; Drew 2017)"},"properties":{"noteIndex":0},"schema":"https://github.com/citation-style-language/schema/raw/master/csl-citation.json"}</w:instrText>
      </w:r>
      <w:r w:rsidR="000D5602" w:rsidRPr="009815B3">
        <w:rPr>
          <w:szCs w:val="24"/>
          <w:lang w:eastAsia="en-GB"/>
        </w:rPr>
        <w:fldChar w:fldCharType="separate"/>
      </w:r>
      <w:r w:rsidR="000D5602" w:rsidRPr="009815B3">
        <w:rPr>
          <w:noProof/>
          <w:sz w:val="24"/>
          <w:szCs w:val="24"/>
          <w:lang w:eastAsia="en-GB"/>
        </w:rPr>
        <w:t>(Grant &amp; Drew 2017)</w:t>
      </w:r>
      <w:r w:rsidR="000D5602" w:rsidRPr="009815B3">
        <w:rPr>
          <w:szCs w:val="24"/>
          <w:lang w:eastAsia="en-GB"/>
        </w:rPr>
        <w:fldChar w:fldCharType="end"/>
      </w:r>
      <w:r w:rsidR="000D5602" w:rsidRPr="009815B3">
        <w:rPr>
          <w:sz w:val="24"/>
          <w:szCs w:val="24"/>
          <w:lang w:eastAsia="en-GB"/>
        </w:rPr>
        <w:t>.</w:t>
      </w:r>
      <w:r w:rsidR="000D5602" w:rsidRPr="000D5602">
        <w:rPr>
          <w:sz w:val="24"/>
          <w:szCs w:val="24"/>
          <w:lang w:eastAsia="en-GB"/>
        </w:rPr>
        <w:t xml:space="preserve"> </w:t>
      </w:r>
    </w:p>
    <w:p w14:paraId="0DF2AC22" w14:textId="77777777" w:rsidR="00B3741B" w:rsidRDefault="00B3741B" w:rsidP="00D31345">
      <w:pPr>
        <w:tabs>
          <w:tab w:val="left" w:pos="284"/>
        </w:tabs>
        <w:spacing w:line="276" w:lineRule="auto"/>
        <w:ind w:right="-738"/>
        <w:contextualSpacing/>
        <w:jc w:val="both"/>
        <w:rPr>
          <w:rFonts w:ascii="Times New Roman" w:hAnsi="Times New Roman"/>
          <w:szCs w:val="24"/>
          <w:lang w:eastAsia="en-GB"/>
        </w:rPr>
      </w:pPr>
    </w:p>
    <w:p w14:paraId="31C253F8" w14:textId="0CCFA4F4" w:rsidR="00B3741B" w:rsidRPr="00E351FC" w:rsidRDefault="00B3741B" w:rsidP="00D31345">
      <w:pPr>
        <w:tabs>
          <w:tab w:val="left" w:pos="284"/>
        </w:tabs>
        <w:spacing w:line="276" w:lineRule="auto"/>
        <w:ind w:right="-738"/>
        <w:contextualSpacing/>
        <w:jc w:val="both"/>
        <w:rPr>
          <w:rFonts w:ascii="Times New Roman" w:hAnsi="Times New Roman"/>
          <w:szCs w:val="24"/>
          <w:lang w:eastAsia="en-GB"/>
        </w:rPr>
      </w:pPr>
      <w:proofErr w:type="gramStart"/>
      <w:r>
        <w:rPr>
          <w:rFonts w:ascii="Times New Roman" w:hAnsi="Times New Roman"/>
          <w:szCs w:val="24"/>
          <w:lang w:eastAsia="en-GB"/>
        </w:rPr>
        <w:t>In order to</w:t>
      </w:r>
      <w:proofErr w:type="gramEnd"/>
      <w:r>
        <w:rPr>
          <w:rFonts w:ascii="Times New Roman" w:hAnsi="Times New Roman"/>
          <w:szCs w:val="24"/>
          <w:lang w:eastAsia="en-GB"/>
        </w:rPr>
        <w:t xml:space="preserve"> contribute to economic theory and the empirical data on scale economies, this paper consider</w:t>
      </w:r>
      <w:r w:rsidR="009B36E5">
        <w:rPr>
          <w:rFonts w:ascii="Times New Roman" w:hAnsi="Times New Roman"/>
          <w:szCs w:val="24"/>
          <w:lang w:eastAsia="en-GB"/>
        </w:rPr>
        <w:t>s</w:t>
      </w:r>
      <w:r>
        <w:rPr>
          <w:rFonts w:ascii="Times New Roman" w:hAnsi="Times New Roman"/>
          <w:szCs w:val="24"/>
          <w:lang w:eastAsia="en-GB"/>
        </w:rPr>
        <w:t xml:space="preserve"> the effect of organisational size</w:t>
      </w:r>
      <w:r w:rsidR="00F96854">
        <w:rPr>
          <w:rFonts w:ascii="Times New Roman" w:hAnsi="Times New Roman"/>
          <w:szCs w:val="24"/>
          <w:lang w:eastAsia="en-GB"/>
        </w:rPr>
        <w:t xml:space="preserve"> and total revenue</w:t>
      </w:r>
      <w:r>
        <w:rPr>
          <w:rFonts w:ascii="Times New Roman" w:hAnsi="Times New Roman"/>
          <w:szCs w:val="24"/>
          <w:lang w:eastAsia="en-GB"/>
        </w:rPr>
        <w:t xml:space="preserve"> on reported project performance. </w:t>
      </w:r>
      <w:r w:rsidR="00B873EB">
        <w:rPr>
          <w:rFonts w:ascii="Times New Roman" w:hAnsi="Times New Roman"/>
          <w:szCs w:val="24"/>
          <w:lang w:eastAsia="en-GB"/>
        </w:rPr>
        <w:t xml:space="preserve">The results will add to existing empirical studies supporting either economies of scale, no economies of scale or diseconomies of scale. </w:t>
      </w:r>
    </w:p>
    <w:p w14:paraId="071C0CBE" w14:textId="77777777" w:rsidR="00E351FC" w:rsidRPr="00E605AA" w:rsidRDefault="00B3741B" w:rsidP="00E351FC">
      <w:pPr>
        <w:pStyle w:val="Heading1"/>
      </w:pPr>
      <w:r>
        <w:t>3</w:t>
      </w:r>
      <w:r w:rsidR="00E351FC" w:rsidRPr="00E605AA">
        <w:t xml:space="preserve"> Research Method</w:t>
      </w:r>
    </w:p>
    <w:p w14:paraId="5A21789D"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This research used secondary data contained in publicly available individual NSW council reports. Each council produces and publishes an Annual Report on their website for public access. It was assumed that each council has robust quality assurance protocols in place to ensure the accuracy of the data they report. The self-reporting nature and potential for associated bias is a limitation of the research and is discussed further. </w:t>
      </w:r>
    </w:p>
    <w:p w14:paraId="511D0397" w14:textId="77777777" w:rsidR="00E351FC" w:rsidRPr="008C60E3" w:rsidRDefault="00B3741B" w:rsidP="00E351FC">
      <w:pPr>
        <w:pStyle w:val="Heading1"/>
        <w:tabs>
          <w:tab w:val="left" w:pos="284"/>
        </w:tabs>
        <w:spacing w:line="276" w:lineRule="auto"/>
        <w:ind w:right="-737"/>
        <w:jc w:val="both"/>
        <w:rPr>
          <w:i/>
          <w:iCs/>
          <w:kern w:val="0"/>
          <w:szCs w:val="28"/>
        </w:rPr>
      </w:pPr>
      <w:r>
        <w:rPr>
          <w:i/>
          <w:iCs/>
          <w:kern w:val="0"/>
          <w:szCs w:val="28"/>
        </w:rPr>
        <w:t>3</w:t>
      </w:r>
      <w:r w:rsidR="00E351FC" w:rsidRPr="008C60E3">
        <w:rPr>
          <w:i/>
          <w:iCs/>
          <w:kern w:val="0"/>
          <w:szCs w:val="28"/>
        </w:rPr>
        <w:t>.1 Population and sample</w:t>
      </w:r>
    </w:p>
    <w:p w14:paraId="611F888D" w14:textId="1D138A3F"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population for the research comprised all 128 NSW councils that existed at the time of data collection. In May 2016, 39 former councils were affected by amalgamation, resulting in the creation of 17 new councils via a proclamation intended to “amalgamate various local government areas and to make consequential savings” </w:t>
      </w:r>
      <w:r w:rsidRPr="008C60E3">
        <w:rPr>
          <w:rFonts w:ascii="Times New Roman" w:hAnsi="Times New Roman"/>
          <w:szCs w:val="24"/>
          <w:lang w:eastAsia="en-GB"/>
        </w:rPr>
        <w:fldChar w:fldCharType="begin" w:fldLock="1"/>
      </w:r>
      <w:r w:rsidR="00FB02F7">
        <w:rPr>
          <w:rFonts w:ascii="Times New Roman" w:hAnsi="Times New Roman"/>
          <w:szCs w:val="24"/>
          <w:lang w:eastAsia="en-GB"/>
        </w:rPr>
        <w:instrText>ADDIN CSL_CITATION {"citationItems":[{"id":"ITEM-1","itemData":{"author":[{"dropping-particle":"","family":"Office of Local Government NSW","given":"","non-dropping-particle":"","parse-names":false,"suffix":""}],"id":"ITEM-1","issued":{"date-parts":[["2016"]]},"title":"Local Government (Council Amalgamations) Proclamation 2016","type":"article"},"uris":["http://www.mendeley.com/documents/?uuid=51e632a8-48a5-4f90-9ebd-b7385d255c03"]}],"mendeley":{"formattedCitation":"(Office of Local Government NSW 2016a)","manualFormatting":"(NSW OLG, 2016, p.1)","plainTextFormattedCitation":"(Office of Local Government NSW 2016a)","previouslyFormattedCitation":"(Office of Local Government NSW 2016a)"},"properties":{"noteIndex":0},"schema":"https://github.com/citation-style-language/schema/raw/master/csl-citation.json"}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(NSW OLG, 2016, p.1)</w:t>
      </w:r>
      <w:r w:rsidRPr="008C60E3">
        <w:rPr>
          <w:rFonts w:ascii="Times New Roman" w:hAnsi="Times New Roman"/>
          <w:szCs w:val="24"/>
          <w:lang w:eastAsia="en-GB"/>
        </w:rPr>
        <w:fldChar w:fldCharType="end"/>
      </w:r>
      <w:r w:rsidRPr="008C60E3">
        <w:rPr>
          <w:rFonts w:ascii="Times New Roman" w:hAnsi="Times New Roman"/>
          <w:szCs w:val="24"/>
          <w:lang w:eastAsia="en-GB"/>
        </w:rPr>
        <w:t>. Following amalgamation and during the transition period Annual Reports were presented for each of the former councils that previously existed. The data collected for this paper illustrated the performance of the new councils as the Annual Reports represented the councils that existed post</w:t>
      </w:r>
      <w:r w:rsidR="00057413">
        <w:rPr>
          <w:rFonts w:ascii="Times New Roman" w:hAnsi="Times New Roman"/>
          <w:szCs w:val="24"/>
          <w:lang w:eastAsia="en-GB"/>
        </w:rPr>
        <w:t xml:space="preserve"> the 2016 </w:t>
      </w:r>
      <w:r w:rsidRPr="008C60E3">
        <w:rPr>
          <w:rFonts w:ascii="Times New Roman" w:hAnsi="Times New Roman"/>
          <w:szCs w:val="24"/>
          <w:lang w:eastAsia="en-GB"/>
        </w:rPr>
        <w:t xml:space="preserve">amalgamation. </w:t>
      </w:r>
    </w:p>
    <w:p w14:paraId="11C67B1E" w14:textId="77777777" w:rsidR="00E351FC" w:rsidRPr="00EC4A32" w:rsidRDefault="00EC4A32" w:rsidP="00EC4A32">
      <w:pPr>
        <w:pStyle w:val="Heading1"/>
        <w:tabs>
          <w:tab w:val="left" w:pos="284"/>
        </w:tabs>
        <w:spacing w:line="276" w:lineRule="auto"/>
        <w:ind w:right="-737"/>
        <w:jc w:val="both"/>
        <w:rPr>
          <w:i/>
          <w:iCs/>
          <w:kern w:val="0"/>
          <w:szCs w:val="28"/>
        </w:rPr>
      </w:pPr>
      <w:r>
        <w:rPr>
          <w:i/>
          <w:iCs/>
          <w:kern w:val="0"/>
          <w:szCs w:val="28"/>
        </w:rPr>
        <w:t xml:space="preserve">3.2 </w:t>
      </w:r>
      <w:r w:rsidRPr="00EC4A32">
        <w:rPr>
          <w:i/>
          <w:iCs/>
          <w:kern w:val="0"/>
          <w:szCs w:val="28"/>
        </w:rPr>
        <w:t>Categorisation of councils</w:t>
      </w:r>
    </w:p>
    <w:p w14:paraId="066DE4F9" w14:textId="05417085" w:rsidR="00EC4A32"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Various systems to categori</w:t>
      </w:r>
      <w:r w:rsidR="009B36E5">
        <w:rPr>
          <w:rFonts w:ascii="Times New Roman" w:hAnsi="Times New Roman"/>
          <w:szCs w:val="24"/>
          <w:lang w:eastAsia="en-GB"/>
        </w:rPr>
        <w:t>s</w:t>
      </w:r>
      <w:r w:rsidRPr="008C60E3">
        <w:rPr>
          <w:rFonts w:ascii="Times New Roman" w:hAnsi="Times New Roman"/>
          <w:szCs w:val="24"/>
          <w:lang w:eastAsia="en-GB"/>
        </w:rPr>
        <w:t xml:space="preserve">e councils in NSW have been used by both the state and federal governments primarily focused </w:t>
      </w:r>
      <w:proofErr w:type="gramStart"/>
      <w:r w:rsidRPr="008C60E3">
        <w:rPr>
          <w:rFonts w:ascii="Times New Roman" w:hAnsi="Times New Roman"/>
          <w:szCs w:val="24"/>
          <w:lang w:eastAsia="en-GB"/>
        </w:rPr>
        <w:t>around</w:t>
      </w:r>
      <w:proofErr w:type="gramEnd"/>
      <w:r w:rsidRPr="008C60E3">
        <w:rPr>
          <w:rFonts w:ascii="Times New Roman" w:hAnsi="Times New Roman"/>
          <w:szCs w:val="24"/>
          <w:lang w:eastAsia="en-GB"/>
        </w:rPr>
        <w:t xml:space="preserve"> performance reporting. The use of categorical systems to monitor performance in local government varies from country to country as well as state to state and not all category systems adequately capture differences and impacts of unique environmental factors such as population, demographics, and industry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{"citationItems":[{"id":"ITEM-1","itemData":{"DOI":"10.1080/03003930.2015.1007132","ISSN":"0300-3930","abstract":"Abstract Local government classification systems are employed in many countries for regulation, grant transfers and other public policy purposes. Given the pivotal role these classification systems play in public policy, their accuracy is a matter of some importance. Classification systems take several forms typically consisting of groupings of municipalities based on factors such as degree of urbanisation, population size and the like. However, to date none of these classification systems have been tested for homogeneity with respect to environmental constraints or validated against external data. This paper employs the classification system for New South Wales (NSW) local authorities as a representative case study to demonstrate that a wider range of external constraints should be considered for the robust classification of local councils.","author":[{"dropping-particle":"","family":"Drew","given":"Joseph","non-dropping-particle":"","parse-names":false,"suffix":""},{"dropping-particle":"","family":"Dollery","given":"Brian","non-dropping-particle":"","parse-names":false,"suffix":""}],"container-title":"Local Government Studies","id":"ITEM-1","issue":"January","issued":{"date-parts":[["2015"]]},"page":"1-19","title":"What's in a name? Assessing the performance of local government classification systems","type":"article-journal","volume":"3930"},"uris":["http://www.mendeley.com/documents/?uuid=dca8aec0-8211-454b-a7d8-ce0d98bfd62a"]}],"mendeley":{"formattedCitation":"(Drew &amp; Dollery 2015)","manualFormatting":"(Drew and Dollery, 2015)","plainTextFormattedCitation":"(Drew &amp; Dollery 2015)","previouslyFormattedCitation":"(Drew &amp; Dollery 2015)"},"properties":{"noteIndex":0},"schema":"https://github.com/citation-style-language/schema/raw/master/csl-citation.json"}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(Drew and Dollery, 2015)</w:t>
      </w:r>
      <w:r w:rsidRPr="008C60E3">
        <w:rPr>
          <w:rFonts w:ascii="Times New Roman" w:hAnsi="Times New Roman"/>
          <w:szCs w:val="24"/>
          <w:lang w:eastAsia="en-GB"/>
        </w:rPr>
        <w:fldChar w:fldCharType="end"/>
      </w:r>
      <w:r w:rsidRPr="008C60E3">
        <w:rPr>
          <w:rFonts w:ascii="Times New Roman" w:hAnsi="Times New Roman"/>
          <w:szCs w:val="24"/>
          <w:lang w:eastAsia="en-GB"/>
        </w:rPr>
        <w:t>. The NSW Independent Local Government Review Panel (ILGRP) recogni</w:t>
      </w:r>
      <w:r w:rsidR="009B36E5">
        <w:rPr>
          <w:rFonts w:ascii="Times New Roman" w:hAnsi="Times New Roman"/>
          <w:szCs w:val="24"/>
          <w:lang w:eastAsia="en-GB"/>
        </w:rPr>
        <w:t>s</w:t>
      </w:r>
      <w:r w:rsidRPr="008C60E3">
        <w:rPr>
          <w:rFonts w:ascii="Times New Roman" w:hAnsi="Times New Roman"/>
          <w:szCs w:val="24"/>
          <w:lang w:eastAsia="en-GB"/>
        </w:rPr>
        <w:t xml:space="preserve">ed that local government in Australia varies enormously in population, area, topology, and resources, however they are all still governed by the relevant state laws (ILGRP, 2013). </w:t>
      </w:r>
    </w:p>
    <w:p w14:paraId="40F5EB57" w14:textId="77777777" w:rsidR="00EC4A32" w:rsidRDefault="00EC4A32" w:rsidP="00E351FC">
      <w:pPr>
        <w:tabs>
          <w:tab w:val="left" w:pos="284"/>
        </w:tabs>
        <w:spacing w:line="276" w:lineRule="auto"/>
        <w:ind w:right="-738"/>
        <w:contextualSpacing/>
        <w:jc w:val="both"/>
        <w:rPr>
          <w:rFonts w:ascii="Times New Roman" w:hAnsi="Times New Roman"/>
          <w:szCs w:val="24"/>
          <w:lang w:eastAsia="en-GB"/>
        </w:rPr>
      </w:pPr>
    </w:p>
    <w:p w14:paraId="35523C00" w14:textId="3A865218"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lastRenderedPageBreak/>
        <w:t xml:space="preserve">A standard governance approach to unique organisations can have significant impacts for individual councils as it can change the way the federal and state government distribute grant funding, such as road grant funds (Drew and </w:t>
      </w:r>
      <w:proofErr w:type="spellStart"/>
      <w:r w:rsidRPr="008C60E3">
        <w:rPr>
          <w:rFonts w:ascii="Times New Roman" w:hAnsi="Times New Roman"/>
          <w:szCs w:val="24"/>
          <w:lang w:eastAsia="en-GB"/>
        </w:rPr>
        <w:t>Dollery</w:t>
      </w:r>
      <w:proofErr w:type="spellEnd"/>
      <w:r w:rsidRPr="008C60E3">
        <w:rPr>
          <w:rFonts w:ascii="Times New Roman" w:hAnsi="Times New Roman"/>
          <w:szCs w:val="24"/>
          <w:lang w:eastAsia="en-GB"/>
        </w:rPr>
        <w:t xml:space="preserve">, 2015). Changes to funding levels can substantially influence the financial sustainability of each council as </w:t>
      </w:r>
      <w:r w:rsidR="00834089">
        <w:rPr>
          <w:rFonts w:ascii="Times New Roman" w:hAnsi="Times New Roman"/>
          <w:szCs w:val="24"/>
          <w:lang w:eastAsia="en-GB"/>
        </w:rPr>
        <w:t xml:space="preserve">financial </w:t>
      </w:r>
      <w:r w:rsidRPr="008C60E3">
        <w:rPr>
          <w:rFonts w:ascii="Times New Roman" w:hAnsi="Times New Roman"/>
          <w:szCs w:val="24"/>
          <w:lang w:eastAsia="en-GB"/>
        </w:rPr>
        <w:t xml:space="preserve">grants can make up as little as 3.4 per cent to over 50 per cent of a council’s income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{"citationItems":[{"id":"ITEM-1","itemData":{"abstract":"Final report of the NSW Independent Local Government Review Panel","author":[{"dropping-particle":"","family":"Independent Local Government Review Panel","given":"","non-dropping-particle":"","parse-names":false,"suffix":""}],"id":"ITEM-1","issue":"October","issued":{"date-parts":[["2013"]]},"number-of-pages":"1-138","title":"Final Report of the NSW Independent Local Government Review Panel","type":"report"},"uris":["http://www.mendeley.com/documents/?uuid=51025761-965c-4c0c-982e-71182ab35694"]}],"mendeley":{"formattedCitation":"(Independent Local Government Review Panel 2013)","manualFormatting":"(ILGRP, 2013","plainTextFormattedCitation":"(Independent Local Government Review Panel 2013)","previouslyFormattedCitation":"(Independent Local Government Review Panel 2013)"},"properties":{"noteIndex":0},"schema":"https://github.com/citation-style-language/schema/raw/master/csl-citation.json"}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(ILGRP, 2013</w:t>
      </w:r>
      <w:r w:rsidRPr="008C60E3">
        <w:rPr>
          <w:rFonts w:ascii="Times New Roman" w:hAnsi="Times New Roman"/>
          <w:szCs w:val="24"/>
          <w:lang w:eastAsia="en-GB"/>
        </w:rPr>
        <w:fldChar w:fldCharType="end"/>
      </w:r>
      <w:r w:rsidRPr="008C60E3">
        <w:rPr>
          <w:rFonts w:ascii="Times New Roman" w:hAnsi="Times New Roman"/>
          <w:szCs w:val="24"/>
          <w:lang w:eastAsia="en-GB"/>
        </w:rPr>
        <w:t>). As well as funding</w:t>
      </w:r>
      <w:r w:rsidR="00057413">
        <w:rPr>
          <w:rFonts w:ascii="Times New Roman" w:hAnsi="Times New Roman"/>
          <w:szCs w:val="24"/>
          <w:lang w:eastAsia="en-GB"/>
        </w:rPr>
        <w:t>,</w:t>
      </w:r>
      <w:r w:rsidRPr="008C60E3">
        <w:rPr>
          <w:rFonts w:ascii="Times New Roman" w:hAnsi="Times New Roman"/>
          <w:szCs w:val="24"/>
          <w:lang w:eastAsia="en-GB"/>
        </w:rPr>
        <w:t xml:space="preserve"> NSW councils vary in geographic area from 5.7 square kilometres to over 50,000 square kilometres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{"citationItems":[{"id":"ITEM-1","itemData":{"ISBN":"9781921628238","author":[{"dropping-particle":"","family":"Independent Pricing &amp; Regulatory Tribunal","given":"","non-dropping-particle":"","parse-names":false,"suffix":""}],"id":"ITEM-1","issue":"December","issued":{"date-parts":[["2009"]]},"publisher-place":"Sydney, NSW, Australia","title":"Revenue framework for local government","type":"report"},"uris":["http://www.mendeley.com/documents/?uuid=8a4cc773-3b46-4b6f-aafc-f7b90a833f04"]}],"mendeley":{"formattedCitation":"(Independent Pricing &amp; Regulatory Tribunal 2009)","manualFormatting":"Independent Pricing &amp; Regulatory Tribunal, 2009)","plainTextFormattedCitation":"(Independent Pricing &amp; Regulatory Tribunal 2009)","previouslyFormattedCitation":"(Independent Pricing &amp; Regulatory Tribunal 2009)"},"properties":{"noteIndex":0},"schema":"https://github.com/citation-style-language/schema/raw/master/csl-citation.json"}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Independent Pricing &amp; Regulatory Tribunal, 2009)</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These variations mean that population densities range from 0.005 people per square kilometre (Central Darling Shire) to approximately 6,600 people per square kilometre (Waverley Council)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{"citationItems":[{"id":"ITEM-1","itemData":{"ISBN":"9781921628238","author":[{"dropping-particle":"","family":"Independent Pricing &amp; Regulatory Tribunal","given":"","non-dropping-particle":"","parse-names":false,"suffix":""}],"id":"ITEM-1","issue":"December","issued":{"date-parts":[["2009"]]},"publisher-place":"Sydney, NSW, Australia","title":"Revenue framework for local government","type":"report"},"uris":["http://www.mendeley.com/documents/?uuid=8a4cc773-3b46-4b6f-aafc-f7b90a833f04"]}],"mendeley":{"formattedCitation":"(Independent Pricing &amp; Regulatory Tribunal 2009)","manualFormatting":"(IPaRT, 2009)","plainTextFormattedCitation":"(Independent Pricing &amp; Regulatory Tribunal 2009)","previouslyFormattedCitation":"(Independent Pricing &amp; Regulatory Tribunal 2009)"},"properties":{"noteIndex":0},"schema":"https://github.com/citation-style-language/schema/raw/master/csl-citation.json"}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(IPaRT, 2009)</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The variance of NSW local government is reflected in numerous other characteristics such as: economic growth rates; industry; and population growth. Despite these differences all councils within NSW are governed by the same regulations and must report on the same performance criteria. </w:t>
      </w:r>
    </w:p>
    <w:p w14:paraId="2ED4AC3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2FDF4FC9"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federal government in Australia classifies councils using the Australian Classification of Local Governments (ACLG) which has 22 separate local government categories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{"citationItems":[{"id":"ITEM-1","itemData":{"ISBN":"9781925216394","author":[{"dropping-particle":"","family":"Department of Infrastructucture and Regional Development Australia","given":"","non-dropping-particle":"","parse-names":false,"suffix":""}],"id":"ITEM-1","issued":{"date-parts":[["2015"]]},"title":"Local government national report","type":"report"},"uris":["http://www.mendeley.com/documents/?uuid=de584b1e-1922-4489-aeaf-4b56def71d42"]}],"mendeley":{"formattedCitation":"(Department of Infrastructucture and Regional Development Australia 2015)","manualFormatting":"(Department of Infrastructucture and Regional Development, 2015)","plainTextFormattedCitation":"(Department of Infrastructucture and Regional Development Australia 2015)","previouslyFormattedCitation":"(Department of Infrastructucture and Regional Development Australia 2015)"},"properties":{"noteIndex":0},"schema":"https://github.com/citation-style-language/schema/raw/master/csl-citation.json"}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(Department of Infrastructucture and Regional Development, 2015)</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The </w:t>
      </w:r>
      <w:proofErr w:type="spellStart"/>
      <w:r w:rsidRPr="008C60E3">
        <w:rPr>
          <w:rFonts w:ascii="Times New Roman" w:hAnsi="Times New Roman"/>
          <w:szCs w:val="24"/>
          <w:lang w:eastAsia="en-GB"/>
        </w:rPr>
        <w:t>IPaRT</w:t>
      </w:r>
      <w:proofErr w:type="spellEnd"/>
      <w:r w:rsidRPr="008C60E3">
        <w:rPr>
          <w:rFonts w:ascii="Times New Roman" w:hAnsi="Times New Roman"/>
          <w:szCs w:val="24"/>
          <w:lang w:eastAsia="en-GB"/>
        </w:rPr>
        <w:t xml:space="preserve">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{"citationItems":[{"id":"ITEM-1","itemData":{"ISBN":"9781921628238","author":[{"dropping-particle":"","family":"Independent Pricing &amp; Regulatory Tribunal","given":"","non-dropping-particle":"","parse-names":false,"suffix":""}],"id":"ITEM-1","issue":"December","issued":{"date-parts":[["2009"]]},"publisher-place":"Sydney, NSW, Australia","title":"Revenue framework for local government","type":"report"},"uris":["http://www.mendeley.com/documents/?uuid=8a4cc773-3b46-4b6f-aafc-f7b90a833f04"]}],"mendeley":{"formattedCitation":"(Independent Pricing &amp; Regulatory Tribunal 2009)","manualFormatting":"2009)","plainTextFormattedCitation":"(Independent Pricing &amp; Regulatory Tribunal 2009)","previouslyFormattedCitation":"(Independent Pricing &amp; Regulatory Tribunal 2009)"},"properties":{"noteIndex":0},"schema":"https://github.com/citation-style-language/schema/raw/master/csl-citation.json"}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2009)</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uses five categories of council, based solely on location; Sydney city; metropolitan; urban fringe; regional; and rural. For their CINSWLG report, the OLG NSW use 11 of the 22 categories identified in ACLG, which they refer to as ‘OLG Groupings’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NSW","given":"","non-dropping-particle":"","parse-names":false,"suffix":""}],"id":"ITEM-1","issued":{"date-parts":[["2014"]]},"number-of-pages":"353","publisher":"NSW Government","title":"Comparative information on NSW local government","type":"report"},"uris":["http://www.mendeley.com/documents/?uuid=0113a420-200e-4117-82d8-5063573470fd"]}],"mendeley":{"formattedCitation":"(Office of Local Government NSW 2014)","manualFormatting":"(OLG NSW, 2014)","plainTextFormattedCitation":"(Office of Local Government NSW 2014)","previouslyFormattedCitation":"(Office of Local Government NSW 2014)"},"properties":{"noteIndex":0},"schema":"https://github.com/citation-style-language/schema/raw/master/csl-citation.json"}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2014)</w:t>
      </w:r>
      <w:r w:rsidRPr="008C60E3">
        <w:rPr>
          <w:rFonts w:ascii="Times New Roman" w:hAnsi="Times New Roman"/>
          <w:szCs w:val="24"/>
          <w:lang w:eastAsia="en-GB"/>
        </w:rPr>
        <w:fldChar w:fldCharType="end"/>
      </w:r>
      <w:r w:rsidRPr="008C60E3">
        <w:rPr>
          <w:rFonts w:ascii="Times New Roman" w:hAnsi="Times New Roman"/>
          <w:szCs w:val="24"/>
          <w:lang w:eastAsia="en-GB"/>
        </w:rPr>
        <w:t>. They note that this can mean there are often large differences between councils in the same group. Despite this</w:t>
      </w:r>
      <w:r w:rsidR="00834089">
        <w:rPr>
          <w:rFonts w:ascii="Times New Roman" w:hAnsi="Times New Roman"/>
          <w:szCs w:val="24"/>
          <w:lang w:eastAsia="en-GB"/>
        </w:rPr>
        <w:t xml:space="preserve"> </w:t>
      </w:r>
      <w:r w:rsidRPr="008C60E3">
        <w:rPr>
          <w:rFonts w:ascii="Times New Roman" w:hAnsi="Times New Roman"/>
          <w:szCs w:val="24"/>
          <w:lang w:eastAsia="en-GB"/>
        </w:rPr>
        <w:t xml:space="preserve">the categories provide a quick and easy way to group councils that share similar characteristics.  </w:t>
      </w:r>
    </w:p>
    <w:p w14:paraId="2504A664" w14:textId="77777777" w:rsidR="00E351FC" w:rsidRPr="008C60E3" w:rsidRDefault="00E351FC" w:rsidP="00E351FC">
      <w:pPr>
        <w:tabs>
          <w:tab w:val="left" w:pos="284"/>
        </w:tabs>
        <w:spacing w:line="276" w:lineRule="auto"/>
        <w:ind w:right="-738"/>
        <w:contextualSpacing/>
        <w:jc w:val="both"/>
        <w:rPr>
          <w:rFonts w:ascii="Times New Roman" w:hAnsi="Times New Roman"/>
          <w:bCs/>
          <w:i/>
          <w:iCs/>
          <w:szCs w:val="24"/>
          <w:lang w:eastAsia="en-GB"/>
        </w:rPr>
      </w:pPr>
    </w:p>
    <w:p w14:paraId="3E701209"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OLG NSW have </w:t>
      </w:r>
      <w:r w:rsidR="00EC4A32">
        <w:rPr>
          <w:rFonts w:ascii="Times New Roman" w:hAnsi="Times New Roman"/>
          <w:szCs w:val="24"/>
          <w:lang w:eastAsia="en-GB"/>
        </w:rPr>
        <w:t xml:space="preserve">also </w:t>
      </w:r>
      <w:r w:rsidRPr="008C60E3">
        <w:rPr>
          <w:rFonts w:ascii="Times New Roman" w:hAnsi="Times New Roman"/>
          <w:szCs w:val="24"/>
          <w:lang w:eastAsia="en-GB"/>
        </w:rPr>
        <w:t xml:space="preserve">used a smaller geographical version of groupings with five council types for performance reporting: metropolitan; metropolitan fringe; regional town/city; rural; and large rural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NSW","given":"","non-dropping-particle":"","parse-names":false,"suffix":""}],"id":"ITEM-1","issue":"June","issued":{"date-parts":[["2015"]]},"number-of-pages":"1 -39","title":"Profile and performance of the NSW local government sector","type":"report"},"uris":["http://www.mendeley.com/documents/?uuid=c58e192c-2b01-46f5-83c1-85a6efebbdf1"]}],"mendeley":{"formattedCitation":"(Office of Local Government NSW 2015b)","manualFormatting":"(OLG NSW, 2015)","plainTextFormattedCitation":"(Office of Local Government NSW 2015b)","previouslyFormattedCitation":"(Office of Local Government NSW 2015b)"},"properties":{"noteIndex":0},"schema":"https://github.com/citation-style-language/schema/raw/master/csl-citation.json"}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2015)</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A further categorisation system was used by the NSW state government when preparing its Destination 2036 Discussion Paper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{"citationItems":[{"id":"ITEM-1","itemData":{"author":[{"dropping-particle":"","family":"Elton Consulting","given":"","non-dropping-particle":"","parse-names":false,"suffix":""},{"dropping-particle":"","family":"Division of Local Government NSW","given":"","non-dropping-particle":"","parse-names":false,"suffix":""}],"id":"ITEM-1","issue":"July","issued":{"date-parts":[["2011"]]},"title":"Destination 2036 discussion paper","type":"report"},"uris":["http://www.mendeley.com/documents/?uuid=3892071a-e8d1-4b40-89bf-7afc123bb713"]}],"mendeley":{"formattedCitation":"(Elton Consulting &amp; Division of Local Government NSW 2011)","manualFormatting":"(Elton Consulting and OLG NSW, 2011)","plainTextFormattedCitation":"(Elton Consulting &amp; Division of Local Government NSW 2011)","previouslyFormattedCitation":"(Elton Consulting &amp; Division of Local Government NSW 2011)"},"properties":{"noteIndex":0},"schema":"https://github.com/citation-style-language/schema/raw/master/csl-citation.json"}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(Elton Consulting and OLG NSW, 2011)</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The discussion paper divided NSW councils into five broad groups again based solely on location: inner and middle Sydney; outer Sydney; inland regional centre; coastal; and rural and remote. The categorisation systems discussed </w:t>
      </w:r>
      <w:r w:rsidR="00EC4A32">
        <w:rPr>
          <w:rFonts w:ascii="Times New Roman" w:hAnsi="Times New Roman"/>
          <w:szCs w:val="24"/>
          <w:lang w:eastAsia="en-GB"/>
        </w:rPr>
        <w:t xml:space="preserve">and used in NSW local government </w:t>
      </w:r>
      <w:r w:rsidRPr="008C60E3">
        <w:rPr>
          <w:rFonts w:ascii="Times New Roman" w:hAnsi="Times New Roman"/>
          <w:szCs w:val="24"/>
          <w:lang w:eastAsia="en-GB"/>
        </w:rPr>
        <w:t>are shown in Table 1.</w:t>
      </w:r>
    </w:p>
    <w:p w14:paraId="3B199818" w14:textId="77777777" w:rsidR="00E351FC" w:rsidRPr="008C60E3" w:rsidRDefault="00EC4A32" w:rsidP="007E6161">
      <w:pPr>
        <w:spacing w:after="160" w:line="259" w:lineRule="auto"/>
        <w:rPr>
          <w:rFonts w:ascii="Times New Roman" w:hAnsi="Times New Roman"/>
          <w:szCs w:val="24"/>
          <w:lang w:eastAsia="en-GB"/>
        </w:rPr>
      </w:pPr>
      <w:r>
        <w:rPr>
          <w:rFonts w:ascii="Times New Roman" w:hAnsi="Times New Roman"/>
          <w:szCs w:val="24"/>
          <w:lang w:eastAsia="en-GB"/>
        </w:rPr>
        <w:br w:type="page"/>
      </w:r>
      <w:r w:rsidR="00E351FC" w:rsidRPr="008C60E3">
        <w:rPr>
          <w:rFonts w:ascii="Times New Roman" w:hAnsi="Times New Roman"/>
          <w:szCs w:val="24"/>
          <w:lang w:eastAsia="en-GB"/>
        </w:rPr>
        <w:lastRenderedPageBreak/>
        <w:t>Table 1</w:t>
      </w:r>
      <w:r w:rsidR="008C60E3">
        <w:rPr>
          <w:rFonts w:ascii="Times New Roman" w:hAnsi="Times New Roman"/>
          <w:szCs w:val="24"/>
          <w:lang w:eastAsia="en-GB"/>
        </w:rPr>
        <w:t xml:space="preserve">. </w:t>
      </w:r>
      <w:r w:rsidR="00E351FC" w:rsidRPr="008C60E3">
        <w:rPr>
          <w:rFonts w:ascii="Times New Roman" w:hAnsi="Times New Roman"/>
          <w:szCs w:val="24"/>
          <w:lang w:eastAsia="en-GB"/>
        </w:rPr>
        <w:t>NSW local government categorisation systems (Source: Authors)</w:t>
      </w:r>
    </w:p>
    <w:tbl>
      <w:tblPr>
        <w:tblW w:w="8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30"/>
        <w:gridCol w:w="1800"/>
        <w:gridCol w:w="1605"/>
        <w:gridCol w:w="2011"/>
      </w:tblGrid>
      <w:tr w:rsidR="00E351FC" w:rsidRPr="00834F69" w14:paraId="16BFFAC8" w14:textId="77777777" w:rsidTr="008C60E3">
        <w:tc>
          <w:tcPr>
            <w:tcW w:w="1271" w:type="dxa"/>
          </w:tcPr>
          <w:p w14:paraId="17466B61" w14:textId="77777777" w:rsidR="00E351FC" w:rsidRPr="00834F69" w:rsidRDefault="00E351FC" w:rsidP="00E351FC">
            <w:pPr>
              <w:contextualSpacing/>
              <w:rPr>
                <w:rFonts w:ascii="Times New Roman" w:hAnsi="Times New Roman"/>
                <w:b/>
                <w:sz w:val="20"/>
              </w:rPr>
            </w:pPr>
            <w:r w:rsidRPr="00834F69">
              <w:rPr>
                <w:rFonts w:ascii="Times New Roman" w:hAnsi="Times New Roman"/>
                <w:b/>
                <w:sz w:val="20"/>
              </w:rPr>
              <w:t>OLG NSW (2014)</w:t>
            </w:r>
          </w:p>
        </w:tc>
        <w:tc>
          <w:tcPr>
            <w:tcW w:w="1530" w:type="dxa"/>
          </w:tcPr>
          <w:p w14:paraId="03922F59" w14:textId="77777777" w:rsidR="00E351FC" w:rsidRPr="00834F69" w:rsidRDefault="00E351FC" w:rsidP="00E351FC">
            <w:pPr>
              <w:contextualSpacing/>
              <w:rPr>
                <w:rFonts w:ascii="Times New Roman" w:hAnsi="Times New Roman"/>
                <w:b/>
                <w:sz w:val="20"/>
              </w:rPr>
            </w:pPr>
            <w:proofErr w:type="spellStart"/>
            <w:r w:rsidRPr="00834F69">
              <w:rPr>
                <w:rFonts w:ascii="Times New Roman" w:hAnsi="Times New Roman"/>
                <w:b/>
                <w:sz w:val="20"/>
              </w:rPr>
              <w:t>IPaRT</w:t>
            </w:r>
            <w:proofErr w:type="spellEnd"/>
            <w:r w:rsidRPr="00834F69">
              <w:rPr>
                <w:rFonts w:ascii="Times New Roman" w:hAnsi="Times New Roman"/>
                <w:b/>
                <w:sz w:val="20"/>
              </w:rPr>
              <w:t xml:space="preserve"> (2009)</w:t>
            </w:r>
          </w:p>
        </w:tc>
        <w:tc>
          <w:tcPr>
            <w:tcW w:w="1800" w:type="dxa"/>
          </w:tcPr>
          <w:p w14:paraId="1A2F2B46" w14:textId="77777777" w:rsidR="00E351FC" w:rsidRPr="00834F69" w:rsidRDefault="00E351FC" w:rsidP="00E351FC">
            <w:pPr>
              <w:contextualSpacing/>
              <w:rPr>
                <w:rFonts w:ascii="Times New Roman" w:hAnsi="Times New Roman"/>
                <w:b/>
                <w:sz w:val="20"/>
              </w:rPr>
            </w:pPr>
            <w:r w:rsidRPr="00834F69">
              <w:rPr>
                <w:rFonts w:ascii="Times New Roman" w:hAnsi="Times New Roman"/>
                <w:b/>
                <w:sz w:val="20"/>
              </w:rPr>
              <w:t>OLG NSW (2015)</w:t>
            </w:r>
          </w:p>
        </w:tc>
        <w:tc>
          <w:tcPr>
            <w:tcW w:w="1605" w:type="dxa"/>
          </w:tcPr>
          <w:p w14:paraId="1E9BC9EA" w14:textId="77777777" w:rsidR="00E351FC" w:rsidRPr="00834F69" w:rsidRDefault="00E351FC" w:rsidP="00E351FC">
            <w:pPr>
              <w:contextualSpacing/>
              <w:rPr>
                <w:rFonts w:ascii="Times New Roman" w:hAnsi="Times New Roman"/>
                <w:b/>
                <w:sz w:val="20"/>
              </w:rPr>
            </w:pPr>
            <w:r w:rsidRPr="00834F69">
              <w:rPr>
                <w:rFonts w:ascii="Times New Roman" w:hAnsi="Times New Roman"/>
                <w:b/>
                <w:sz w:val="20"/>
              </w:rPr>
              <w:fldChar w:fldCharType="begin" w:fldLock="1"/>
            </w:r>
            <w:r w:rsidR="00BC3FBE">
              <w:rPr>
                <w:rFonts w:ascii="Times New Roman" w:hAnsi="Times New Roman"/>
                <w:b/>
                <w:sz w:val="20"/>
              </w:rPr>
              <w:instrText>ADDIN CSL_CITATION {"citationItems":[{"id":"ITEM-1","itemData":{"author":[{"dropping-particle":"","family":"Audit Office of NSW","given":"","non-dropping-particle":"","parse-names":false,"suffix":""}],"id":"ITEM-1","issued":{"date-parts":[["2018"]]},"publisher-place":"Sydney, NSW, Australia","title":"Council reporting on service delivery","type":"report"},"uris":["http://www.mendeley.com/documents/?uuid=4a4f81fa-b0fb-432a-97e5-b51fed4ef470"]}],"mendeley":{"formattedCitation":"(Audit Office of NSW 2018a)","manualFormatting":"Audit Office of NSW (2018)","plainTextFormattedCitation":"(Audit Office of NSW 2018a)","previouslyFormattedCitation":"(Audit Office of NSW 2018a)"},"properties":{"noteIndex":0},"schema":"https://github.com/citation-style-language/schema/raw/master/csl-citation.json"}</w:instrText>
            </w:r>
            <w:r w:rsidRPr="00834F69">
              <w:rPr>
                <w:rFonts w:ascii="Times New Roman" w:hAnsi="Times New Roman"/>
                <w:b/>
                <w:sz w:val="20"/>
              </w:rPr>
              <w:fldChar w:fldCharType="separate"/>
            </w:r>
            <w:r w:rsidRPr="00834F69">
              <w:rPr>
                <w:rFonts w:ascii="Times New Roman" w:hAnsi="Times New Roman"/>
                <w:b/>
                <w:noProof/>
                <w:sz w:val="20"/>
              </w:rPr>
              <w:t>Audit Office of NSW (2018)</w:t>
            </w:r>
            <w:r w:rsidRPr="00834F69">
              <w:rPr>
                <w:rFonts w:ascii="Times New Roman" w:hAnsi="Times New Roman"/>
                <w:b/>
                <w:sz w:val="20"/>
              </w:rPr>
              <w:fldChar w:fldCharType="end"/>
            </w:r>
          </w:p>
        </w:tc>
        <w:tc>
          <w:tcPr>
            <w:tcW w:w="2011" w:type="dxa"/>
          </w:tcPr>
          <w:p w14:paraId="599DD34C" w14:textId="77777777" w:rsidR="00E351FC" w:rsidRPr="00834F69" w:rsidRDefault="00E351FC" w:rsidP="00E351FC">
            <w:pPr>
              <w:contextualSpacing/>
              <w:rPr>
                <w:rFonts w:ascii="Times New Roman" w:hAnsi="Times New Roman"/>
                <w:b/>
                <w:sz w:val="20"/>
              </w:rPr>
            </w:pPr>
            <w:r w:rsidRPr="00834F69">
              <w:rPr>
                <w:rFonts w:ascii="Times New Roman" w:hAnsi="Times New Roman"/>
                <w:b/>
                <w:sz w:val="20"/>
              </w:rPr>
              <w:t>Fit for the Future</w:t>
            </w:r>
          </w:p>
        </w:tc>
      </w:tr>
      <w:tr w:rsidR="00E351FC" w:rsidRPr="00834F69" w14:paraId="44A14949" w14:textId="77777777" w:rsidTr="008C60E3">
        <w:tc>
          <w:tcPr>
            <w:tcW w:w="1271" w:type="dxa"/>
          </w:tcPr>
          <w:p w14:paraId="5E047AE9"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Metropolitan developed</w:t>
            </w:r>
          </w:p>
        </w:tc>
        <w:tc>
          <w:tcPr>
            <w:tcW w:w="1530" w:type="dxa"/>
          </w:tcPr>
          <w:p w14:paraId="6CEC1595"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Sydney City</w:t>
            </w:r>
          </w:p>
        </w:tc>
        <w:tc>
          <w:tcPr>
            <w:tcW w:w="1800" w:type="dxa"/>
          </w:tcPr>
          <w:p w14:paraId="3804E645"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Metropolitan</w:t>
            </w:r>
          </w:p>
        </w:tc>
        <w:tc>
          <w:tcPr>
            <w:tcW w:w="1605" w:type="dxa"/>
          </w:tcPr>
          <w:p w14:paraId="2F02C9B2"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Metropolitan</w:t>
            </w:r>
          </w:p>
        </w:tc>
        <w:tc>
          <w:tcPr>
            <w:tcW w:w="2011" w:type="dxa"/>
          </w:tcPr>
          <w:p w14:paraId="19008955"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Inner/middle Sydney</w:t>
            </w:r>
          </w:p>
        </w:tc>
      </w:tr>
      <w:tr w:rsidR="00E351FC" w:rsidRPr="00834F69" w14:paraId="7E0E276B" w14:textId="77777777" w:rsidTr="008C60E3">
        <w:tc>
          <w:tcPr>
            <w:tcW w:w="1271" w:type="dxa"/>
          </w:tcPr>
          <w:p w14:paraId="7A855354"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Regional town or centre</w:t>
            </w:r>
          </w:p>
        </w:tc>
        <w:tc>
          <w:tcPr>
            <w:tcW w:w="1530" w:type="dxa"/>
          </w:tcPr>
          <w:p w14:paraId="67DAA73D"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Metropolitan developed</w:t>
            </w:r>
          </w:p>
        </w:tc>
        <w:tc>
          <w:tcPr>
            <w:tcW w:w="1800" w:type="dxa"/>
          </w:tcPr>
          <w:p w14:paraId="4A4EB463" w14:textId="77777777" w:rsidR="00E351FC" w:rsidRPr="00834F69" w:rsidRDefault="00E351FC" w:rsidP="008C60E3">
            <w:pPr>
              <w:contextualSpacing/>
              <w:jc w:val="center"/>
              <w:rPr>
                <w:rFonts w:ascii="Times New Roman" w:hAnsi="Times New Roman"/>
                <w:sz w:val="20"/>
              </w:rPr>
            </w:pPr>
            <w:r w:rsidRPr="00834F69">
              <w:rPr>
                <w:rFonts w:ascii="Times New Roman" w:hAnsi="Times New Roman"/>
                <w:sz w:val="20"/>
              </w:rPr>
              <w:t>Metropolitan fringe</w:t>
            </w:r>
          </w:p>
        </w:tc>
        <w:tc>
          <w:tcPr>
            <w:tcW w:w="1605" w:type="dxa"/>
          </w:tcPr>
          <w:p w14:paraId="486B2304"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Regional town or centre</w:t>
            </w:r>
          </w:p>
        </w:tc>
        <w:tc>
          <w:tcPr>
            <w:tcW w:w="2011" w:type="dxa"/>
          </w:tcPr>
          <w:p w14:paraId="512B1D41"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Outer Sydney</w:t>
            </w:r>
          </w:p>
        </w:tc>
      </w:tr>
      <w:tr w:rsidR="00E351FC" w:rsidRPr="00834F69" w14:paraId="65106168" w14:textId="77777777" w:rsidTr="008C60E3">
        <w:tc>
          <w:tcPr>
            <w:tcW w:w="1271" w:type="dxa"/>
          </w:tcPr>
          <w:p w14:paraId="000B27CA"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Fringe</w:t>
            </w:r>
          </w:p>
        </w:tc>
        <w:tc>
          <w:tcPr>
            <w:tcW w:w="1530" w:type="dxa"/>
          </w:tcPr>
          <w:p w14:paraId="470223DC"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Regional town or centre</w:t>
            </w:r>
          </w:p>
        </w:tc>
        <w:tc>
          <w:tcPr>
            <w:tcW w:w="1800" w:type="dxa"/>
          </w:tcPr>
          <w:p w14:paraId="38268099"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Regional town or centre</w:t>
            </w:r>
          </w:p>
        </w:tc>
        <w:tc>
          <w:tcPr>
            <w:tcW w:w="1605" w:type="dxa"/>
          </w:tcPr>
          <w:p w14:paraId="38202E3F"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Rural</w:t>
            </w:r>
          </w:p>
        </w:tc>
        <w:tc>
          <w:tcPr>
            <w:tcW w:w="2011" w:type="dxa"/>
          </w:tcPr>
          <w:p w14:paraId="459AF75C"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Inland regional centre</w:t>
            </w:r>
          </w:p>
        </w:tc>
      </w:tr>
      <w:tr w:rsidR="00E351FC" w:rsidRPr="00834F69" w14:paraId="41C8E6EE" w14:textId="77777777" w:rsidTr="008C60E3">
        <w:tc>
          <w:tcPr>
            <w:tcW w:w="1271" w:type="dxa"/>
          </w:tcPr>
          <w:p w14:paraId="4075BC95"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Agricultural</w:t>
            </w:r>
          </w:p>
        </w:tc>
        <w:tc>
          <w:tcPr>
            <w:tcW w:w="1530" w:type="dxa"/>
          </w:tcPr>
          <w:p w14:paraId="7FD065E2"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Fringe</w:t>
            </w:r>
          </w:p>
        </w:tc>
        <w:tc>
          <w:tcPr>
            <w:tcW w:w="1800" w:type="dxa"/>
          </w:tcPr>
          <w:p w14:paraId="78E1936C"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Large rural</w:t>
            </w:r>
          </w:p>
        </w:tc>
        <w:tc>
          <w:tcPr>
            <w:tcW w:w="1605" w:type="dxa"/>
          </w:tcPr>
          <w:p w14:paraId="00E18E0D" w14:textId="77777777" w:rsidR="00E351FC" w:rsidRPr="00834F69" w:rsidRDefault="00E351FC" w:rsidP="00E351FC">
            <w:pPr>
              <w:contextualSpacing/>
              <w:rPr>
                <w:rFonts w:ascii="Times New Roman" w:hAnsi="Times New Roman"/>
                <w:sz w:val="20"/>
              </w:rPr>
            </w:pPr>
          </w:p>
        </w:tc>
        <w:tc>
          <w:tcPr>
            <w:tcW w:w="2011" w:type="dxa"/>
          </w:tcPr>
          <w:p w14:paraId="681326EB"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Coastal</w:t>
            </w:r>
          </w:p>
        </w:tc>
      </w:tr>
      <w:tr w:rsidR="00E351FC" w:rsidRPr="00834F69" w14:paraId="1752011E" w14:textId="77777777" w:rsidTr="008C60E3">
        <w:tc>
          <w:tcPr>
            <w:tcW w:w="1271" w:type="dxa"/>
          </w:tcPr>
          <w:p w14:paraId="53500A6E"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Remote</w:t>
            </w:r>
          </w:p>
        </w:tc>
        <w:tc>
          <w:tcPr>
            <w:tcW w:w="1530" w:type="dxa"/>
          </w:tcPr>
          <w:p w14:paraId="40AD1339"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Rural</w:t>
            </w:r>
          </w:p>
        </w:tc>
        <w:tc>
          <w:tcPr>
            <w:tcW w:w="1800" w:type="dxa"/>
          </w:tcPr>
          <w:p w14:paraId="4AC755D0"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Rural</w:t>
            </w:r>
          </w:p>
        </w:tc>
        <w:tc>
          <w:tcPr>
            <w:tcW w:w="1605" w:type="dxa"/>
          </w:tcPr>
          <w:p w14:paraId="5C33D9D0" w14:textId="77777777" w:rsidR="00E351FC" w:rsidRPr="00834F69" w:rsidRDefault="00E351FC" w:rsidP="00E351FC">
            <w:pPr>
              <w:contextualSpacing/>
              <w:rPr>
                <w:rFonts w:ascii="Times New Roman" w:hAnsi="Times New Roman"/>
                <w:sz w:val="20"/>
              </w:rPr>
            </w:pPr>
          </w:p>
        </w:tc>
        <w:tc>
          <w:tcPr>
            <w:tcW w:w="2011" w:type="dxa"/>
          </w:tcPr>
          <w:p w14:paraId="4C37E4D1" w14:textId="77777777" w:rsidR="00E351FC" w:rsidRPr="00834F69" w:rsidRDefault="00E351FC" w:rsidP="00E351FC">
            <w:pPr>
              <w:contextualSpacing/>
              <w:rPr>
                <w:rFonts w:ascii="Times New Roman" w:hAnsi="Times New Roman"/>
                <w:sz w:val="20"/>
              </w:rPr>
            </w:pPr>
            <w:r w:rsidRPr="00834F69">
              <w:rPr>
                <w:rFonts w:ascii="Times New Roman" w:hAnsi="Times New Roman"/>
                <w:sz w:val="20"/>
              </w:rPr>
              <w:t>Rural and remote</w:t>
            </w:r>
          </w:p>
        </w:tc>
      </w:tr>
    </w:tbl>
    <w:p w14:paraId="4001918C" w14:textId="77777777" w:rsidR="00E351FC" w:rsidRPr="00834F69" w:rsidRDefault="00E351FC" w:rsidP="00E351FC">
      <w:pPr>
        <w:tabs>
          <w:tab w:val="left" w:pos="284"/>
        </w:tabs>
        <w:spacing w:line="276" w:lineRule="auto"/>
        <w:ind w:right="-738"/>
        <w:contextualSpacing/>
        <w:jc w:val="both"/>
        <w:rPr>
          <w:rFonts w:ascii="Times New Roman" w:hAnsi="Times New Roman"/>
          <w:sz w:val="20"/>
          <w:lang w:eastAsia="en-GB"/>
        </w:rPr>
      </w:pPr>
    </w:p>
    <w:p w14:paraId="173983CD" w14:textId="33DDD156" w:rsidR="00E351FC" w:rsidRPr="008C60E3" w:rsidRDefault="00EC4A32" w:rsidP="00E351F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Out of the various available systems</w:t>
      </w:r>
      <w:r w:rsidR="00E351FC" w:rsidRPr="008C60E3">
        <w:rPr>
          <w:rFonts w:ascii="Times New Roman" w:hAnsi="Times New Roman"/>
          <w:szCs w:val="24"/>
          <w:lang w:eastAsia="en-GB"/>
        </w:rPr>
        <w:t xml:space="preserve"> this research ma</w:t>
      </w:r>
      <w:r>
        <w:rPr>
          <w:rFonts w:ascii="Times New Roman" w:hAnsi="Times New Roman"/>
          <w:szCs w:val="24"/>
          <w:lang w:eastAsia="en-GB"/>
        </w:rPr>
        <w:t>k</w:t>
      </w:r>
      <w:r w:rsidR="00E351FC" w:rsidRPr="008C60E3">
        <w:rPr>
          <w:rFonts w:ascii="Times New Roman" w:hAnsi="Times New Roman"/>
          <w:szCs w:val="24"/>
          <w:lang w:eastAsia="en-GB"/>
        </w:rPr>
        <w:t>e</w:t>
      </w:r>
      <w:r>
        <w:rPr>
          <w:rFonts w:ascii="Times New Roman" w:hAnsi="Times New Roman"/>
          <w:szCs w:val="24"/>
          <w:lang w:eastAsia="en-GB"/>
        </w:rPr>
        <w:t>s</w:t>
      </w:r>
      <w:r w:rsidR="00E351FC" w:rsidRPr="008C60E3">
        <w:rPr>
          <w:rFonts w:ascii="Times New Roman" w:hAnsi="Times New Roman"/>
          <w:szCs w:val="24"/>
          <w:lang w:eastAsia="en-GB"/>
        </w:rPr>
        <w:t xml:space="preserve"> use of the five categories of council used by the OLG NSW (2015). The chosen system does not rely on a single factor to divide councils resulting in uniformity when grouping councils together and i</w:t>
      </w:r>
      <w:r w:rsidR="00057413">
        <w:rPr>
          <w:rFonts w:ascii="Times New Roman" w:hAnsi="Times New Roman"/>
          <w:szCs w:val="24"/>
          <w:lang w:eastAsia="en-GB"/>
        </w:rPr>
        <w:t>s</w:t>
      </w:r>
      <w:r w:rsidR="00E351FC" w:rsidRPr="008C60E3">
        <w:rPr>
          <w:rFonts w:ascii="Times New Roman" w:hAnsi="Times New Roman"/>
          <w:szCs w:val="24"/>
          <w:lang w:eastAsia="en-GB"/>
        </w:rPr>
        <w:t xml:space="preserve"> also consistently used by the OLG NSW. The five categories are shown geographically in Figure </w:t>
      </w:r>
      <w:bookmarkStart w:id="0" w:name="_Ref456602455"/>
      <w:bookmarkStart w:id="1" w:name="_Toc458766098"/>
      <w:bookmarkStart w:id="2" w:name="_Ref456602462"/>
      <w:r w:rsidR="00E351FC" w:rsidRPr="008C60E3">
        <w:rPr>
          <w:rFonts w:ascii="Times New Roman" w:hAnsi="Times New Roman"/>
          <w:szCs w:val="24"/>
          <w:lang w:eastAsia="en-GB"/>
        </w:rPr>
        <w:t>1.</w:t>
      </w:r>
    </w:p>
    <w:p w14:paraId="1481FE15" w14:textId="77777777" w:rsidR="00E351FC" w:rsidRPr="008C60E3" w:rsidRDefault="00E351FC" w:rsidP="00E351FC">
      <w:pPr>
        <w:tabs>
          <w:tab w:val="left" w:pos="284"/>
        </w:tabs>
        <w:spacing w:line="276" w:lineRule="auto"/>
        <w:ind w:right="-738"/>
        <w:contextualSpacing/>
        <w:jc w:val="both"/>
        <w:rPr>
          <w:rFonts w:ascii="Times New Roman" w:hAnsi="Times New Roman"/>
          <w:noProof/>
          <w:szCs w:val="24"/>
          <w:lang w:eastAsia="en-AU"/>
        </w:rPr>
      </w:pPr>
    </w:p>
    <w:p w14:paraId="59FD1E5B" w14:textId="77777777" w:rsidR="00E351FC" w:rsidRPr="008C60E3" w:rsidRDefault="00E351FC" w:rsidP="00E351FC">
      <w:pPr>
        <w:tabs>
          <w:tab w:val="left" w:pos="284"/>
        </w:tabs>
        <w:spacing w:line="276" w:lineRule="auto"/>
        <w:ind w:right="-738"/>
        <w:contextualSpacing/>
        <w:jc w:val="both"/>
        <w:rPr>
          <w:rFonts w:ascii="Times New Roman" w:hAnsi="Times New Roman"/>
          <w:noProof/>
          <w:szCs w:val="24"/>
          <w:lang w:eastAsia="en-AU"/>
        </w:rPr>
      </w:pPr>
      <w:r w:rsidRPr="008C60E3">
        <w:rPr>
          <w:rFonts w:ascii="Times New Roman" w:hAnsi="Times New Roman"/>
          <w:szCs w:val="24"/>
          <w:lang w:eastAsia="en-GB"/>
        </w:rPr>
        <w:t>Figure</w:t>
      </w:r>
      <w:bookmarkEnd w:id="0"/>
      <w:r w:rsidRPr="008C60E3">
        <w:rPr>
          <w:rFonts w:ascii="Times New Roman" w:hAnsi="Times New Roman"/>
          <w:szCs w:val="24"/>
          <w:lang w:eastAsia="en-GB"/>
        </w:rPr>
        <w:t xml:space="preserve"> 1</w:t>
      </w:r>
      <w:r w:rsidR="008C60E3">
        <w:rPr>
          <w:rFonts w:ascii="Times New Roman" w:hAnsi="Times New Roman"/>
          <w:szCs w:val="24"/>
          <w:lang w:eastAsia="en-GB"/>
        </w:rPr>
        <w:t xml:space="preserve">. </w:t>
      </w:r>
      <w:r w:rsidRPr="008C60E3">
        <w:rPr>
          <w:rFonts w:ascii="Times New Roman" w:hAnsi="Times New Roman"/>
          <w:szCs w:val="24"/>
          <w:lang w:eastAsia="en-GB"/>
        </w:rPr>
        <w:t xml:space="preserve">Council categories within NSW, the north-western area (grey) is not a part of any local government (Source: adapted from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{"citationItems":[{"id":"ITEM-1","itemData":{"URL":"http://www.lgam.info/nsw","accessed":{"date-parts":[["2016","7","18"]]},"author":[{"dropping-particle":"","family":"New South Wales Local Government and Municipal (LGAM) knowledge base","given":"","non-dropping-particle":"","parse-names":false,"suffix":""}],"id":"ITEM-1","issued":{"date-parts":[["0"]]},"title":"NSW Council Map","type":"webpage"},"uris":["http://www.mendeley.com/documents/?uuid=114708f9-7c4f-4964-8de3-75588967e156"]}],"mendeley":{"formattedCitation":"(New South Wales Local Government and Municipal (LGAM) knowledge base n.d.)","manualFormatting":"NSW Local Government and Municipal (LGAM) Knowledge Base, n.d.)","plainTextFormattedCitation":"(New South Wales Local Government and Municipal (LGAM) knowledge base n.d.)","previouslyFormattedCitation":"(New South Wales Local Government and Municipal (LGAM) knowledge base n.d.)"},"properties":{"noteIndex":0},"schema":"https://github.com/citation-style-language/schema/raw/master/csl-citation.json"}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NSW Local Government and Municipal (LGAM) Knowledge Base, n.d.)</w:t>
      </w:r>
      <w:bookmarkEnd w:id="1"/>
      <w:r w:rsidRPr="008C60E3">
        <w:rPr>
          <w:rFonts w:ascii="Times New Roman" w:hAnsi="Times New Roman"/>
          <w:szCs w:val="24"/>
          <w:lang w:eastAsia="en-GB"/>
        </w:rPr>
        <w:fldChar w:fldCharType="end"/>
      </w:r>
      <w:bookmarkEnd w:id="2"/>
      <w:r w:rsidRPr="008C60E3">
        <w:rPr>
          <w:rFonts w:ascii="Times New Roman" w:hAnsi="Times New Roman"/>
          <w:noProof/>
          <w:szCs w:val="24"/>
          <w:lang w:eastAsia="en-AU"/>
        </w:rPr>
        <w:t xml:space="preserve"> </w:t>
      </w:r>
    </w:p>
    <w:p w14:paraId="5E8261C6" w14:textId="77777777" w:rsidR="00E351FC" w:rsidRPr="008C60E3" w:rsidRDefault="00E351FC" w:rsidP="00E351FC">
      <w:pPr>
        <w:tabs>
          <w:tab w:val="left" w:pos="284"/>
        </w:tabs>
        <w:spacing w:line="276" w:lineRule="auto"/>
        <w:ind w:right="-738"/>
        <w:contextualSpacing/>
        <w:jc w:val="both"/>
        <w:rPr>
          <w:rFonts w:ascii="Times New Roman" w:hAnsi="Times New Roman"/>
          <w:noProof/>
          <w:szCs w:val="24"/>
          <w:lang w:eastAsia="en-AU"/>
        </w:rPr>
      </w:pPr>
    </w:p>
    <w:p w14:paraId="4AEDC52B" w14:textId="77777777" w:rsidR="00E351FC" w:rsidRDefault="00E351FC" w:rsidP="00E351FC">
      <w:pPr>
        <w:tabs>
          <w:tab w:val="left" w:pos="284"/>
        </w:tabs>
        <w:spacing w:line="276" w:lineRule="auto"/>
        <w:ind w:right="-738"/>
        <w:contextualSpacing/>
        <w:jc w:val="both"/>
        <w:rPr>
          <w:rFonts w:ascii="Times New Roman" w:hAnsi="Times New Roman"/>
          <w:noProof/>
          <w:szCs w:val="24"/>
          <w:lang w:eastAsia="en-AU"/>
        </w:rPr>
      </w:pPr>
      <w:r w:rsidRPr="008C60E3">
        <w:rPr>
          <w:rFonts w:ascii="Times New Roman" w:hAnsi="Times New Roman"/>
          <w:noProof/>
          <w:szCs w:val="24"/>
          <w:lang w:eastAsia="en-AU"/>
        </w:rPr>
        <w:t>Figure 1 here</w:t>
      </w:r>
    </w:p>
    <w:p w14:paraId="5FB4AA4E" w14:textId="77777777" w:rsidR="00057413" w:rsidRDefault="00057413" w:rsidP="00E351FC">
      <w:pPr>
        <w:tabs>
          <w:tab w:val="left" w:pos="284"/>
        </w:tabs>
        <w:spacing w:line="276" w:lineRule="auto"/>
        <w:ind w:right="-738"/>
        <w:contextualSpacing/>
        <w:jc w:val="both"/>
        <w:rPr>
          <w:rFonts w:ascii="Times New Roman" w:hAnsi="Times New Roman"/>
          <w:noProof/>
          <w:szCs w:val="24"/>
          <w:lang w:eastAsia="en-AU"/>
        </w:rPr>
      </w:pPr>
    </w:p>
    <w:p w14:paraId="50485589" w14:textId="1B0F34E7" w:rsidR="00057413" w:rsidRPr="008C60E3" w:rsidRDefault="00057413" w:rsidP="00057413">
      <w:pPr>
        <w:pStyle w:val="Heading1"/>
        <w:tabs>
          <w:tab w:val="left" w:pos="284"/>
        </w:tabs>
        <w:spacing w:line="276" w:lineRule="auto"/>
        <w:ind w:right="-737"/>
        <w:jc w:val="both"/>
        <w:rPr>
          <w:i/>
          <w:iCs/>
          <w:kern w:val="0"/>
          <w:szCs w:val="28"/>
        </w:rPr>
      </w:pPr>
      <w:r>
        <w:rPr>
          <w:i/>
          <w:iCs/>
          <w:kern w:val="0"/>
          <w:szCs w:val="28"/>
        </w:rPr>
        <w:t>3.3</w:t>
      </w:r>
      <w:r w:rsidRPr="008C60E3">
        <w:rPr>
          <w:i/>
          <w:iCs/>
          <w:kern w:val="0"/>
          <w:szCs w:val="28"/>
        </w:rPr>
        <w:t xml:space="preserve"> Project Success Calculation</w:t>
      </w:r>
    </w:p>
    <w:p w14:paraId="02063726" w14:textId="77777777" w:rsidR="00057413" w:rsidRPr="008C60E3" w:rsidRDefault="00057413" w:rsidP="00057413">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U</w:t>
      </w:r>
      <w:r w:rsidRPr="008C60E3">
        <w:rPr>
          <w:rFonts w:ascii="Times New Roman" w:hAnsi="Times New Roman"/>
          <w:szCs w:val="24"/>
          <w:lang w:eastAsia="en-GB"/>
        </w:rPr>
        <w:t xml:space="preserve">sing the available information from each council’s Annual Report </w:t>
      </w:r>
      <w:r>
        <w:rPr>
          <w:rFonts w:ascii="Times New Roman" w:hAnsi="Times New Roman"/>
          <w:szCs w:val="24"/>
          <w:lang w:eastAsia="en-GB"/>
        </w:rPr>
        <w:t>a</w:t>
      </w:r>
      <w:r w:rsidRPr="008C60E3">
        <w:rPr>
          <w:rFonts w:ascii="Times New Roman" w:hAnsi="Times New Roman"/>
          <w:szCs w:val="24"/>
          <w:lang w:eastAsia="en-GB"/>
        </w:rPr>
        <w:t xml:space="preserve"> project was considered a success for this research if it was reported as </w:t>
      </w:r>
      <w:r>
        <w:rPr>
          <w:rFonts w:ascii="Times New Roman" w:hAnsi="Times New Roman"/>
          <w:szCs w:val="24"/>
          <w:lang w:eastAsia="en-GB"/>
        </w:rPr>
        <w:t>‘</w:t>
      </w:r>
      <w:r w:rsidRPr="008C60E3">
        <w:rPr>
          <w:rFonts w:ascii="Times New Roman" w:hAnsi="Times New Roman"/>
          <w:szCs w:val="24"/>
          <w:lang w:eastAsia="en-GB"/>
        </w:rPr>
        <w:t>completed</w:t>
      </w:r>
      <w:r>
        <w:rPr>
          <w:rFonts w:ascii="Times New Roman" w:hAnsi="Times New Roman"/>
          <w:szCs w:val="24"/>
          <w:lang w:eastAsia="en-GB"/>
        </w:rPr>
        <w:t>’</w:t>
      </w:r>
      <w:r w:rsidRPr="008C60E3">
        <w:rPr>
          <w:rFonts w:ascii="Times New Roman" w:hAnsi="Times New Roman"/>
          <w:szCs w:val="24"/>
          <w:lang w:eastAsia="en-GB"/>
        </w:rPr>
        <w:t xml:space="preserve"> within the financial year. For example, </w:t>
      </w:r>
      <w:proofErr w:type="spellStart"/>
      <w:r w:rsidRPr="008C60E3">
        <w:rPr>
          <w:rFonts w:ascii="Times New Roman" w:hAnsi="Times New Roman"/>
          <w:szCs w:val="24"/>
          <w:lang w:eastAsia="en-GB"/>
        </w:rPr>
        <w:t>Narrandera</w:t>
      </w:r>
      <w:proofErr w:type="spellEnd"/>
      <w:r w:rsidRPr="008C60E3">
        <w:rPr>
          <w:rFonts w:ascii="Times New Roman" w:hAnsi="Times New Roman"/>
          <w:szCs w:val="24"/>
          <w:lang w:eastAsia="en-GB"/>
        </w:rPr>
        <w:t xml:space="preserve"> Shire Council </w:t>
      </w:r>
      <w:r>
        <w:rPr>
          <w:rFonts w:ascii="Times New Roman" w:hAnsi="Times New Roman"/>
          <w:szCs w:val="24"/>
          <w:lang w:eastAsia="en-GB"/>
        </w:rPr>
        <w:t>included a table of projects with</w:t>
      </w:r>
      <w:r w:rsidRPr="008C60E3">
        <w:rPr>
          <w:rFonts w:ascii="Times New Roman" w:hAnsi="Times New Roman"/>
          <w:szCs w:val="24"/>
          <w:lang w:eastAsia="en-GB"/>
        </w:rPr>
        <w:t xml:space="preserve"> 149 projects out of 189 projects </w:t>
      </w:r>
      <w:r>
        <w:rPr>
          <w:rFonts w:ascii="Times New Roman" w:hAnsi="Times New Roman"/>
          <w:szCs w:val="24"/>
          <w:lang w:eastAsia="en-GB"/>
        </w:rPr>
        <w:t>described as</w:t>
      </w:r>
      <w:r w:rsidRPr="008C60E3">
        <w:rPr>
          <w:rFonts w:ascii="Times New Roman" w:hAnsi="Times New Roman"/>
          <w:szCs w:val="24"/>
          <w:lang w:eastAsia="en-GB"/>
        </w:rPr>
        <w:t xml:space="preserve"> </w:t>
      </w:r>
      <w:r>
        <w:rPr>
          <w:rFonts w:ascii="Times New Roman" w:hAnsi="Times New Roman"/>
          <w:szCs w:val="24"/>
          <w:lang w:eastAsia="en-GB"/>
        </w:rPr>
        <w:t>‘</w:t>
      </w:r>
      <w:r w:rsidRPr="008C60E3">
        <w:rPr>
          <w:rFonts w:ascii="Times New Roman" w:hAnsi="Times New Roman"/>
          <w:szCs w:val="24"/>
          <w:lang w:eastAsia="en-GB"/>
        </w:rPr>
        <w:t>completed</w:t>
      </w:r>
      <w:r>
        <w:rPr>
          <w:rFonts w:ascii="Times New Roman" w:hAnsi="Times New Roman"/>
          <w:szCs w:val="24"/>
          <w:lang w:eastAsia="en-GB"/>
        </w:rPr>
        <w:t>’</w:t>
      </w:r>
      <w:r w:rsidRPr="008C60E3">
        <w:rPr>
          <w:rFonts w:ascii="Times New Roman" w:hAnsi="Times New Roman"/>
          <w:szCs w:val="24"/>
          <w:lang w:eastAsia="en-GB"/>
        </w:rPr>
        <w:t xml:space="preserve"> resulting in a success percentage of 79%. </w:t>
      </w:r>
      <w:r>
        <w:rPr>
          <w:rFonts w:ascii="Times New Roman" w:hAnsi="Times New Roman"/>
          <w:szCs w:val="24"/>
          <w:lang w:eastAsia="en-GB"/>
        </w:rPr>
        <w:t xml:space="preserve">During the data collection period NSW had 128 councils. The website associated with each council was visited and annual reports downloaded and analysed. </w:t>
      </w:r>
      <w:r w:rsidRPr="008C60E3">
        <w:rPr>
          <w:rFonts w:ascii="Times New Roman" w:hAnsi="Times New Roman"/>
          <w:szCs w:val="24"/>
          <w:lang w:eastAsia="en-GB"/>
        </w:rPr>
        <w:t>Out of the 128 councils, 40 had sufficient information to calculate a project success score using the adopted method. Fourteen of the 40 results came</w:t>
      </w:r>
      <w:r>
        <w:rPr>
          <w:rFonts w:ascii="Times New Roman" w:hAnsi="Times New Roman"/>
          <w:szCs w:val="24"/>
          <w:lang w:eastAsia="en-GB"/>
        </w:rPr>
        <w:t xml:space="preserve"> from the Metropolitan category </w:t>
      </w:r>
      <w:r w:rsidRPr="008C60E3">
        <w:rPr>
          <w:rFonts w:ascii="Times New Roman" w:hAnsi="Times New Roman"/>
          <w:szCs w:val="24"/>
          <w:lang w:eastAsia="en-GB"/>
        </w:rPr>
        <w:t xml:space="preserve">followed by 12 from the Large Rural category. Only one Annual Report with sufficient information came from the Rural category. The numbers from each category used in the data analysis are shown in Table 2.  </w:t>
      </w:r>
    </w:p>
    <w:p w14:paraId="30F658EA" w14:textId="77777777" w:rsidR="00057413" w:rsidRDefault="00057413" w:rsidP="00E351FC">
      <w:pPr>
        <w:tabs>
          <w:tab w:val="left" w:pos="284"/>
        </w:tabs>
        <w:spacing w:line="276" w:lineRule="auto"/>
        <w:ind w:right="-738"/>
        <w:contextualSpacing/>
        <w:jc w:val="both"/>
        <w:rPr>
          <w:rFonts w:ascii="Times New Roman" w:hAnsi="Times New Roman"/>
          <w:noProof/>
          <w:szCs w:val="24"/>
          <w:lang w:eastAsia="en-AU"/>
        </w:rPr>
      </w:pPr>
    </w:p>
    <w:p w14:paraId="5809EAD6" w14:textId="39BB9F08" w:rsidR="00057413" w:rsidRPr="008C60E3" w:rsidRDefault="00057413" w:rsidP="00057413">
      <w:pPr>
        <w:pStyle w:val="Heading1"/>
        <w:tabs>
          <w:tab w:val="left" w:pos="284"/>
        </w:tabs>
        <w:spacing w:line="276" w:lineRule="auto"/>
        <w:ind w:right="-737"/>
        <w:jc w:val="both"/>
        <w:rPr>
          <w:i/>
          <w:iCs/>
          <w:kern w:val="0"/>
          <w:szCs w:val="28"/>
        </w:rPr>
      </w:pPr>
      <w:r>
        <w:rPr>
          <w:i/>
          <w:iCs/>
          <w:kern w:val="0"/>
          <w:szCs w:val="28"/>
        </w:rPr>
        <w:t>3.4 Project Success and Variables</w:t>
      </w:r>
    </w:p>
    <w:p w14:paraId="0F82F647" w14:textId="5AE87C7A" w:rsidR="00057413" w:rsidRPr="009815B3" w:rsidRDefault="00057413" w:rsidP="00057413">
      <w:pPr>
        <w:pStyle w:val="FirstPara"/>
        <w:spacing w:line="276" w:lineRule="auto"/>
        <w:ind w:right="-808"/>
        <w:rPr>
          <w:lang w:eastAsia="en-GB"/>
        </w:rPr>
      </w:pPr>
      <w:r w:rsidRPr="009815B3">
        <w:rPr>
          <w:sz w:val="24"/>
          <w:szCs w:val="24"/>
          <w:lang w:eastAsia="en-GB"/>
        </w:rPr>
        <w:t xml:space="preserve">In addition to project success two variable characteristics of each council were recorded, total council revenue and organisational size. The organisational size was determined from the corresponding Annual Report used to measure project success, where size was the Full Time Equivalent (FTE) employee number. The FTE is a measure used and reported in local government where one FTE is equivalent to the full-time workload for one employee. The total revenue for each council was obtained from the Report on Local Government </w:t>
      </w:r>
      <w:r w:rsidRPr="009815B3">
        <w:rPr>
          <w:sz w:val="24"/>
          <w:szCs w:val="24"/>
          <w:lang w:eastAsia="en-GB"/>
        </w:rPr>
        <w:fldChar w:fldCharType="begin" w:fldLock="1"/>
      </w:r>
      <w:r w:rsidRPr="009815B3">
        <w:rPr>
          <w:sz w:val="24"/>
          <w:szCs w:val="24"/>
          <w:lang w:eastAsia="en-GB"/>
        </w:rPr>
        <w:instrText>ADDIN CSL_CITATION {"citationItems":[{"id":"ITEM-1","itemData":{"author":[{"dropping-particle":"","family":"Audit Office of NSW","given":"","non-dropping-particle":"","parse-names":false,"suffix":""}],"id":"ITEM-1","issued":{"date-parts":[["2018"]]},"title":"Report on Local Government 2017","type":"report"},"uris":["http://www.mendeley.com/documents/?uuid=e6b87c4c-001e-4179-9186-2a19c07305ca"]}],"mendeley":{"formattedCitation":"(Audit Office of NSW 2018b)","plainTextFormattedCitation":"(Audit Office of NSW 2018b)","previouslyFormattedCitation":"(Audit Office of NSW 2018b)"},"properties":{"noteIndex":0},"schema":"https://github.com/citation-style-language/schema/raw/master/csl-citation.json"}</w:instrText>
      </w:r>
      <w:r w:rsidRPr="009815B3">
        <w:rPr>
          <w:sz w:val="24"/>
          <w:szCs w:val="24"/>
          <w:lang w:eastAsia="en-GB"/>
        </w:rPr>
        <w:fldChar w:fldCharType="separate"/>
      </w:r>
      <w:r w:rsidRPr="009815B3">
        <w:rPr>
          <w:noProof/>
          <w:sz w:val="24"/>
          <w:szCs w:val="24"/>
          <w:lang w:eastAsia="en-GB"/>
        </w:rPr>
        <w:t>(Audit Office of NSW 2018b)</w:t>
      </w:r>
      <w:r w:rsidRPr="009815B3">
        <w:rPr>
          <w:sz w:val="24"/>
          <w:szCs w:val="24"/>
          <w:lang w:eastAsia="en-GB"/>
        </w:rPr>
        <w:fldChar w:fldCharType="end"/>
      </w:r>
      <w:r w:rsidRPr="009815B3">
        <w:rPr>
          <w:sz w:val="24"/>
          <w:szCs w:val="24"/>
          <w:lang w:eastAsia="en-GB"/>
        </w:rPr>
        <w:t>. Once both data sets had been obtained the average for each of the five OLG categories was calculated. Increased revenue and organisational size ha</w:t>
      </w:r>
      <w:r>
        <w:rPr>
          <w:sz w:val="24"/>
          <w:szCs w:val="24"/>
          <w:lang w:eastAsia="en-GB"/>
        </w:rPr>
        <w:t>ve</w:t>
      </w:r>
      <w:r w:rsidRPr="009815B3">
        <w:rPr>
          <w:sz w:val="24"/>
          <w:szCs w:val="24"/>
          <w:lang w:eastAsia="en-GB"/>
        </w:rPr>
        <w:t xml:space="preserve"> been used as an argument for improved efficiency through greater economies of scale such as reduced administration costs </w:t>
      </w:r>
      <w:r w:rsidRPr="009815B3">
        <w:rPr>
          <w:sz w:val="24"/>
          <w:szCs w:val="24"/>
          <w:lang w:eastAsia="en-GB"/>
        </w:rPr>
        <w:fldChar w:fldCharType="begin" w:fldLock="1"/>
      </w:r>
      <w:r w:rsidRPr="009815B3">
        <w:rPr>
          <w:sz w:val="24"/>
          <w:szCs w:val="24"/>
          <w:lang w:eastAsia="en-GB"/>
        </w:rPr>
        <w:instrText>ADDIN CSL_CITATION {"citationItems":[{"id":"ITEM-1","itemData":{"DOI":"10.1111/jors.12268","ISSN":"14679787","abstract":"We study how municipal amalgamation affects local government spending, taxation, and service provision in the Netherlands. Employing different models, different control groups, and a number of robustness tests, we find no significant effect on aggregate spending or taxation, although spending on administration is reduced. We explore whether this finding might hide amalgamation effects working in opposite directions for different types of municipalities (e.g., small versus large, or homogeneous versus heterogeneous), cancelling each other out. This does not seem to be the case. We also investigate whether amalgamation leads to better public services instead of lower spending, but find no evidence.","author":[{"dropping-particle":"","family":"Allers","given":"Maarten A.","non-dropping-particle":"","parse-names":false,"suffix":""},{"dropping-particle":"","family":"Geertsema","given":"J. Bieuwe","non-dropping-particle":"","parse-names":false,"suffix":""}],"container-title":"Journal of Regional Science","id":"ITEM-1","issue":"4","issued":{"date-parts":[["2016"]]},"page":"659-682","title":"The effects of local government amalgamation on public spending, taxation, and service levels: Evidence from 15 years of municipal consolidation","type":"article-journal","volume":"56"},"uris":["http://www.mendeley.com/documents/?uuid=04d1ab89-75b0-45c1-8251-6d8e71c3a78c"]}],"mendeley":{"formattedCitation":"(Allers &amp; Geertsema 2016)","manualFormatting":"(Allers &amp; Geertsema, 2016; ","plainTextFormattedCitation":"(Allers &amp; Geertsema 2016)","previouslyFormattedCitation":"(Allers &amp; Geertsema 2016)"},"properties":{"noteIndex":0},"schema":"https://github.com/citation-style-language/schema/raw/master/csl-citation.json"}</w:instrText>
      </w:r>
      <w:r w:rsidRPr="009815B3">
        <w:rPr>
          <w:sz w:val="24"/>
          <w:szCs w:val="24"/>
          <w:lang w:eastAsia="en-GB"/>
        </w:rPr>
        <w:fldChar w:fldCharType="separate"/>
      </w:r>
      <w:r w:rsidRPr="009815B3">
        <w:rPr>
          <w:noProof/>
          <w:sz w:val="24"/>
          <w:szCs w:val="24"/>
          <w:lang w:eastAsia="en-GB"/>
        </w:rPr>
        <w:t xml:space="preserve">(Allers &amp; Geertsema, 2016; </w:t>
      </w:r>
      <w:r w:rsidRPr="009815B3">
        <w:rPr>
          <w:sz w:val="24"/>
          <w:szCs w:val="24"/>
          <w:lang w:eastAsia="en-GB"/>
        </w:rPr>
        <w:fldChar w:fldCharType="end"/>
      </w:r>
      <w:r w:rsidRPr="009815B3">
        <w:rPr>
          <w:sz w:val="24"/>
          <w:szCs w:val="24"/>
          <w:lang w:eastAsia="en-GB"/>
        </w:rPr>
        <w:fldChar w:fldCharType="begin" w:fldLock="1"/>
      </w:r>
      <w:r>
        <w:rPr>
          <w:sz w:val="24"/>
          <w:szCs w:val="24"/>
          <w:lang w:eastAsia="en-GB"/>
        </w:rPr>
        <w:instrText>ADDIN CSL_CITATION {"citationItems":[{"id":"ITEM-1","itemData":{"DOI":"10.1177/0095399715581045","ISBN":"0095399715581","ISSN":"15523039","abstract":"Local government structural reform programs are often based on the purported benefits of increased scale. We examine this question in relation to the proposed amalgamation program for New South Wales (NSW) by the NSW Independent Local Government Review Panel using Data Envelopment Analysis (DEA). We find evidence that a significant proportion of municipalities scheduled for amalgamation already exceed optimal scale and that the great majority of “amalgamated” entities will initially exhibit decreasing returns to scale. Our findings thus stand in stark contrast to the Independent Local Government Review Panel (ILGRP) contention that municipal mergers are the optimal approach to capturing economies of scale in NSW local government. © 2015, © The Author(s) 2015.","author":[{"dropping-particle":"","family":"Drew","given":"Joseph","non-dropping-particle":"","parse-names":false,"suffix":""},{"dropping-particle":"","family":"Kortt","given":"Michael A.","non-dropping-particle":"","parse-names":false,"suffix":""},{"dropping-particle":"","family":"Dollery","given":"Brian","non-dropping-particle":"","parse-names":false,"suffix":""}],"container-title":"Administration and Society","id":"ITEM-1","issue":"10","issued":{"date-parts":[["2017"]]},"page":"1450-1470","title":"No Aladdin’s Cave in New South Wales? Local government amalgamation, scale economies, and data envelopment analysis specification","type":"article-journal","volume":"49"},"uris":["http://www.mendeley.com/documents/?uuid=012fa308-8de5-49cf-93ee-1472f5382032"]}],"mendeley":{"formattedCitation":"(Drew, Kortt &amp; Dollery 2017a)","manualFormatting":"Drew, Kortt and Dollery, 2017;","plainTextFormattedCitation":"(Drew, Kortt &amp; Dollery 2017a)","previouslyFormattedCitation":"(Drew, Kortt &amp; Dollery 2017a)"},"properties":{"noteIndex":0},"schema":"https://github.com/citation-style-language/schema/raw/master/csl-citation.json"}</w:instrText>
      </w:r>
      <w:r w:rsidRPr="009815B3">
        <w:rPr>
          <w:sz w:val="24"/>
          <w:szCs w:val="24"/>
          <w:lang w:eastAsia="en-GB"/>
        </w:rPr>
        <w:fldChar w:fldCharType="separate"/>
      </w:r>
      <w:r w:rsidRPr="009815B3">
        <w:rPr>
          <w:noProof/>
          <w:sz w:val="24"/>
          <w:szCs w:val="24"/>
          <w:lang w:eastAsia="en-GB"/>
        </w:rPr>
        <w:t>Drew, Kortt and Dollery, 2017;</w:t>
      </w:r>
      <w:r w:rsidRPr="009815B3">
        <w:rPr>
          <w:sz w:val="24"/>
          <w:szCs w:val="24"/>
          <w:lang w:eastAsia="en-GB"/>
        </w:rPr>
        <w:fldChar w:fldCharType="end"/>
      </w:r>
      <w:r>
        <w:rPr>
          <w:sz w:val="24"/>
          <w:szCs w:val="24"/>
          <w:lang w:eastAsia="en-GB"/>
        </w:rPr>
        <w:t xml:space="preserve"> </w:t>
      </w:r>
      <w:r w:rsidRPr="009815B3">
        <w:rPr>
          <w:sz w:val="24"/>
          <w:szCs w:val="24"/>
          <w:lang w:eastAsia="en-GB"/>
        </w:rPr>
        <w:fldChar w:fldCharType="begin" w:fldLock="1"/>
      </w:r>
      <w:r w:rsidRPr="009815B3">
        <w:rPr>
          <w:sz w:val="24"/>
          <w:szCs w:val="24"/>
          <w:lang w:eastAsia="en-GB"/>
        </w:rPr>
        <w:instrText>ADDIN CSL_CITATION {"citationItems":[{"id":"ITEM-1","itemData":{"author":[{"dropping-particle":"","family":"Gomez-Reino","given":"Juan Luis","non-dropping-particle":"","parse-names":false,"suffix":""},{"dropping-particle":"","family":"Martinez-Vazquez","given":"Jorge","non-dropping-particle":"","parse-names":false,"suffix":""}],"container-title":"The Challenge of Local Government Size Theoretical Persepectives","editor":[{"dropping-particle":"","family":"Lago-Peñas","given":"Santiago","non-dropping-particle":"","parse-names":false,"suffix":""},{"dropping-particle":"","family":"Martinez-Vazquez","given":"Jorge","non-dropping-particle":"","parse-names":false,"suffix":""}],"id":"ITEM-1","issued":{"date-parts":[["2013"]]},"page":"8-54","publisher":"Edward Elgar Publishing Limited","publisher-place":"Cheltenham UK","title":"An international perspective on the determinants of local government fragmentation","type":"chapter"},"uris":["http://www.mendeley.com/documents/?uuid=87bbeb5d-208d-43d0-ba51-d242b6049e8c"]}],"mendeley":{"formattedCitation":"(Gomez-Reino &amp; Martinez-Vazquez 2013)","manualFormatting":"Gomez-Reino and Martinez-Vazquez, 2013)","plainTextFormattedCitation":"(Gomez-Reino &amp; Martinez-Vazquez 2013)","previouslyFormattedCitation":"(Gomez-Reino &amp; Martinez-Vazquez 2013)"},"properties":{"noteIndex":0},"schema":"https://github.com/citation-style-language/schema/raw/master/csl-citation.json"}</w:instrText>
      </w:r>
      <w:r w:rsidRPr="009815B3">
        <w:rPr>
          <w:sz w:val="24"/>
          <w:szCs w:val="24"/>
          <w:lang w:eastAsia="en-GB"/>
        </w:rPr>
        <w:fldChar w:fldCharType="separate"/>
      </w:r>
      <w:r w:rsidRPr="009815B3">
        <w:rPr>
          <w:noProof/>
          <w:sz w:val="24"/>
          <w:szCs w:val="24"/>
          <w:lang w:eastAsia="en-GB"/>
        </w:rPr>
        <w:t>Gomez-Reino and Martinez-Vazquez, 2013)</w:t>
      </w:r>
      <w:r w:rsidRPr="009815B3">
        <w:rPr>
          <w:sz w:val="24"/>
          <w:szCs w:val="24"/>
          <w:lang w:eastAsia="en-GB"/>
        </w:rPr>
        <w:fldChar w:fldCharType="end"/>
      </w:r>
      <w:r w:rsidRPr="009815B3">
        <w:rPr>
          <w:sz w:val="24"/>
          <w:szCs w:val="24"/>
          <w:lang w:eastAsia="en-GB"/>
        </w:rPr>
        <w:t xml:space="preserve">. </w:t>
      </w:r>
    </w:p>
    <w:p w14:paraId="5AD92915" w14:textId="77777777" w:rsidR="00057413" w:rsidRDefault="00057413" w:rsidP="00E351FC">
      <w:pPr>
        <w:tabs>
          <w:tab w:val="left" w:pos="284"/>
        </w:tabs>
        <w:spacing w:line="276" w:lineRule="auto"/>
        <w:ind w:right="-738"/>
        <w:contextualSpacing/>
        <w:jc w:val="both"/>
        <w:rPr>
          <w:rFonts w:ascii="Times New Roman" w:hAnsi="Times New Roman"/>
          <w:noProof/>
          <w:szCs w:val="24"/>
          <w:lang w:eastAsia="en-AU"/>
        </w:rPr>
      </w:pPr>
    </w:p>
    <w:p w14:paraId="23FC477D" w14:textId="204F40DB" w:rsidR="00057413" w:rsidRDefault="00057413" w:rsidP="00057413">
      <w:pPr>
        <w:pStyle w:val="Heading1"/>
        <w:tabs>
          <w:tab w:val="left" w:pos="284"/>
        </w:tabs>
        <w:spacing w:line="276" w:lineRule="auto"/>
        <w:ind w:right="-737"/>
        <w:jc w:val="both"/>
        <w:rPr>
          <w:i/>
          <w:iCs/>
          <w:kern w:val="0"/>
          <w:szCs w:val="28"/>
        </w:rPr>
      </w:pPr>
      <w:r w:rsidRPr="00057413">
        <w:rPr>
          <w:i/>
          <w:iCs/>
          <w:kern w:val="0"/>
          <w:szCs w:val="28"/>
        </w:rPr>
        <w:t>3.5 Project success and Economies of Scale</w:t>
      </w:r>
    </w:p>
    <w:p w14:paraId="69C4D7E4" w14:textId="2A3C4BD3" w:rsidR="00057413" w:rsidRPr="00057413" w:rsidRDefault="009A2CF2" w:rsidP="009A2CF2">
      <w:pPr>
        <w:spacing w:line="276" w:lineRule="auto"/>
        <w:rPr>
          <w:lang w:eastAsia="en-GB"/>
        </w:rPr>
      </w:pPr>
      <w:r>
        <w:rPr>
          <w:lang w:eastAsia="en-GB"/>
        </w:rPr>
        <w:t xml:space="preserve">In the final stage project success </w:t>
      </w:r>
      <w:r w:rsidR="00721065">
        <w:rPr>
          <w:lang w:eastAsia="en-GB"/>
        </w:rPr>
        <w:t>is</w:t>
      </w:r>
      <w:r>
        <w:rPr>
          <w:lang w:eastAsia="en-GB"/>
        </w:rPr>
        <w:t xml:space="preserve"> analysed to determine if there is a correlation between organisational size and revenue. The results determine if there is support for the position that larger councils result in better outcomes. </w:t>
      </w:r>
    </w:p>
    <w:p w14:paraId="1EB1CD1A" w14:textId="77777777" w:rsidR="00E351FC" w:rsidRPr="008C60E3" w:rsidRDefault="00B3741B" w:rsidP="008C60E3">
      <w:pPr>
        <w:pStyle w:val="HeadL1"/>
        <w:tabs>
          <w:tab w:val="clear" w:pos="360"/>
        </w:tabs>
        <w:spacing w:line="276" w:lineRule="auto"/>
        <w:ind w:left="0" w:firstLine="0"/>
        <w:rPr>
          <w:rFonts w:cs="Arial"/>
          <w:bCs/>
          <w:kern w:val="32"/>
          <w:sz w:val="24"/>
          <w:szCs w:val="32"/>
          <w:lang w:eastAsia="en-GB"/>
        </w:rPr>
      </w:pPr>
      <w:r>
        <w:rPr>
          <w:rFonts w:cs="Arial"/>
          <w:bCs/>
          <w:kern w:val="32"/>
          <w:sz w:val="24"/>
          <w:szCs w:val="32"/>
          <w:lang w:eastAsia="en-GB"/>
        </w:rPr>
        <w:t>4</w:t>
      </w:r>
      <w:r w:rsidR="00E351FC" w:rsidRPr="008C60E3">
        <w:rPr>
          <w:rFonts w:cs="Arial"/>
          <w:bCs/>
          <w:kern w:val="32"/>
          <w:sz w:val="24"/>
          <w:szCs w:val="32"/>
          <w:lang w:eastAsia="en-GB"/>
        </w:rPr>
        <w:t xml:space="preserve"> Data Collection</w:t>
      </w:r>
    </w:p>
    <w:p w14:paraId="2616270E"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Quantitative data was collected through publicly available documentation to determine how project success is being measured in NSW local government. Each councils’ Annual Report was downloaded from their website, assessed and project information recorded.  All 128 Annual Reports were included. The four most common success measures (1. time, 2. cost, 3. quality and 4. customer satisfaction) were considered against the recorded information in the Annual Reports. Out of the four possible options, customer/stakeholder satisfaction with individual projects was not reported. Similarly, project quality was not recorded or reported. Some councils reported information relating to project costs at a broad level, with the majority not reporting project costing information. As with cost some councils reported project progress in three ways; project has been completed within the financial year; project was not completed; or project was still in progress. Adherence to a specific project schedule was not reported, and some councils provided no information on </w:t>
      </w:r>
      <w:r w:rsidRPr="008C60E3">
        <w:rPr>
          <w:rFonts w:ascii="Times New Roman" w:hAnsi="Times New Roman"/>
          <w:szCs w:val="24"/>
          <w:lang w:eastAsia="en-GB"/>
        </w:rPr>
        <w:lastRenderedPageBreak/>
        <w:t xml:space="preserve">project completion. Using the information provided in relation to project </w:t>
      </w:r>
      <w:r w:rsidR="00EC4A32">
        <w:rPr>
          <w:rFonts w:ascii="Times New Roman" w:hAnsi="Times New Roman"/>
          <w:szCs w:val="24"/>
          <w:lang w:eastAsia="en-GB"/>
        </w:rPr>
        <w:t>completion</w:t>
      </w:r>
      <w:r w:rsidR="00EC4A32" w:rsidRPr="008C60E3">
        <w:rPr>
          <w:rFonts w:ascii="Times New Roman" w:hAnsi="Times New Roman"/>
          <w:szCs w:val="24"/>
          <w:lang w:eastAsia="en-GB"/>
        </w:rPr>
        <w:t xml:space="preserve"> </w:t>
      </w:r>
      <w:r w:rsidRPr="008C60E3">
        <w:rPr>
          <w:rFonts w:ascii="Times New Roman" w:hAnsi="Times New Roman"/>
          <w:szCs w:val="24"/>
          <w:lang w:eastAsia="en-GB"/>
        </w:rPr>
        <w:t xml:space="preserve">all reported projects for the most recent Annual Report were totalled then those projects completed during the financial year were expressed as a percentage of total projects to determine a success measure for each council. The results were then combined to produce a success measure for five OLG NSW groupings and NSW government overall.  </w:t>
      </w:r>
    </w:p>
    <w:p w14:paraId="3AE4F7F0" w14:textId="77777777" w:rsidR="00E351FC" w:rsidRPr="008C60E3" w:rsidRDefault="00B3741B" w:rsidP="00E351FC">
      <w:pPr>
        <w:pStyle w:val="Heading1"/>
        <w:tabs>
          <w:tab w:val="left" w:pos="284"/>
        </w:tabs>
        <w:spacing w:line="276" w:lineRule="auto"/>
        <w:ind w:right="-737"/>
        <w:jc w:val="both"/>
        <w:rPr>
          <w:i/>
          <w:iCs/>
          <w:kern w:val="0"/>
          <w:szCs w:val="28"/>
        </w:rPr>
      </w:pPr>
      <w:r>
        <w:rPr>
          <w:i/>
          <w:iCs/>
          <w:kern w:val="0"/>
          <w:szCs w:val="28"/>
        </w:rPr>
        <w:t>4</w:t>
      </w:r>
      <w:r w:rsidR="00E351FC" w:rsidRPr="008C60E3">
        <w:rPr>
          <w:i/>
          <w:iCs/>
          <w:kern w:val="0"/>
          <w:szCs w:val="28"/>
        </w:rPr>
        <w:t>.1 Self-Reporting Bias</w:t>
      </w:r>
    </w:p>
    <w:p w14:paraId="7D08805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Each council in NSW is required to undertake mandatory self-reporting in relation to organisational performance</w:t>
      </w:r>
      <w:r w:rsidR="00834089">
        <w:rPr>
          <w:rFonts w:ascii="Times New Roman" w:hAnsi="Times New Roman"/>
          <w:szCs w:val="24"/>
          <w:lang w:eastAsia="en-GB"/>
        </w:rPr>
        <w:t>,</w:t>
      </w:r>
      <w:r w:rsidRPr="008C60E3">
        <w:rPr>
          <w:rFonts w:ascii="Times New Roman" w:hAnsi="Times New Roman"/>
          <w:szCs w:val="24"/>
          <w:lang w:eastAsia="en-GB"/>
        </w:rPr>
        <w:t xml:space="preserve"> one form being the Annual Reports used for this study. The OLG NSW openly use the financial and statistical results from each council’s Annual Report to produce comparative data which is published annually in the CINSWLG (OLG NSW). In the CINSWLG each council is represented through a two-page summary which includes a brief description of the council, a map showing the council boundary, population statistics, economic statistics, organisational </w:t>
      </w:r>
      <w:proofErr w:type="gramStart"/>
      <w:r w:rsidRPr="008C60E3">
        <w:rPr>
          <w:rFonts w:ascii="Times New Roman" w:hAnsi="Times New Roman"/>
          <w:szCs w:val="24"/>
          <w:lang w:eastAsia="en-GB"/>
        </w:rPr>
        <w:t>statistics</w:t>
      </w:r>
      <w:proofErr w:type="gramEnd"/>
      <w:r w:rsidRPr="008C60E3">
        <w:rPr>
          <w:rFonts w:ascii="Times New Roman" w:hAnsi="Times New Roman"/>
          <w:szCs w:val="24"/>
          <w:lang w:eastAsia="en-GB"/>
        </w:rPr>
        <w:t xml:space="preserve"> and financial statistics. Next to each of the council statistics there is a second column which compares that council with the OLG NSW group average. In 2019 the OLG NSW launched the ‘Your Council’ website to provide performance benchmarks so ratepayers can compare their council’s performance with similar councils to replace the CINSWLG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{"citationItems":[{"id":"ITEM-1","itemData":{"URL":"https://www.lgnsw.org.au/news/media-release/media-release-new-website-highlights-performance-nsw-councils","accessed":{"date-parts":[["2020","6","2"]]},"author":[{"dropping-particle":"","family":"Office of Local Government NSW","given":"","non-dropping-particle":"","parse-names":false,"suffix":""}],"id":"ITEM-1","issued":{"date-parts":[["2019"]]},"title":"New website highlights performance of NSW councils","type":"webpage"},"uris":["http://www.mendeley.com/documents/?uuid=84bde774-1f09-312e-84c1-6179446e8057"]}],"mendeley":{"formattedCitation":"(Office of Local Government NSW 2019)","manualFormatting":"(OLG NSW 2019)","plainTextFormattedCitation":"(Office of Local Government NSW 2019)","previouslyFormattedCitation":"(Office of Local Government NSW 2019)"},"properties":{"noteIndex":0},"schema":"https://github.com/citation-style-language/schema/raw/master/csl-citation.json"}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2019)</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t>
      </w:r>
      <w:proofErr w:type="gramStart"/>
      <w:r w:rsidRPr="008C60E3">
        <w:rPr>
          <w:rFonts w:ascii="Times New Roman" w:hAnsi="Times New Roman"/>
          <w:szCs w:val="24"/>
          <w:lang w:eastAsia="en-GB"/>
        </w:rPr>
        <w:t>Similar to</w:t>
      </w:r>
      <w:proofErr w:type="gramEnd"/>
      <w:r w:rsidRPr="008C60E3">
        <w:rPr>
          <w:rFonts w:ascii="Times New Roman" w:hAnsi="Times New Roman"/>
          <w:szCs w:val="24"/>
          <w:lang w:eastAsia="en-GB"/>
        </w:rPr>
        <w:t xml:space="preserve"> the information in Annual Reports and the CINSWLG, the ‘Your Council’ website focuses on financial data for each council compared to their OLG NSW group average and the information is drawn from the self-reported Annual Reports. </w:t>
      </w:r>
      <w:proofErr w:type="gramStart"/>
      <w:r w:rsidRPr="008C60E3">
        <w:rPr>
          <w:rFonts w:ascii="Times New Roman" w:hAnsi="Times New Roman"/>
          <w:szCs w:val="24"/>
          <w:lang w:eastAsia="en-GB"/>
        </w:rPr>
        <w:t>Thus</w:t>
      </w:r>
      <w:proofErr w:type="gramEnd"/>
      <w:r w:rsidRPr="008C60E3">
        <w:rPr>
          <w:rFonts w:ascii="Times New Roman" w:hAnsi="Times New Roman"/>
          <w:szCs w:val="24"/>
          <w:lang w:eastAsia="en-GB"/>
        </w:rPr>
        <w:t xml:space="preserve"> each council is directly compared to all similar councils on a broad range of indicators, such as annual rate charges, administration expenses and infrastructure expenditure per capita. The OLG NSW through the relevant Minister then has the power to place a council on a financial watch list or recommend them for amalgamation if they are ranked lower than the benchmark indicators (Pilcher and Dean, 2009).  </w:t>
      </w:r>
    </w:p>
    <w:p w14:paraId="4A304E64"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3A3C2294" w14:textId="6635AD60"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Mandatory and comparative public performance reporting of government agencies such as required by NSW local government creates risk averse cultures due to negativity bias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{"citationItems":[{"id":"ITEM-1","itemData":{"DOI":"10.2753/PMR1530-9576350301","ISSN":"1530-9576","abstract":"Public managers operate in an environment characterized by a negativity bias fostering blame avoidance. In public reporting, blame avoidance can take the shape of omission, discretion, and arguments for limiting blame. Unique data on reporting from Quebec's Municipal Management Indicators regime are used to study the occurrence of a reporting strategy of blame avoidance whereby public managers provide justifications with their indicators so as to report their performance in a favorable light. The study tests two hypotheses that the use of justifications in reporting is more frequent with lower-performing public agencies. Municipalities with lower performance (internally benchmarked) tend to provide stakeholders with justifications in their reporting on indicators significantly more often than do other municipalities. Blame avoidance behaviors on the part of public managers are witnessed even in a regime with few incentives, no consequences linked to performance, and limited transparency to citizens. [ABSTRACT FROM AUTHOR]","author":[{"dropping-particle":"","family":"Charbonneau","given":"Etienne","non-dropping-particle":"","parse-names":false,"suffix":""},{"dropping-particle":"","family":"Bellavance","given":"François","non-dropping-particle":"","parse-names":false,"suffix":""}],"container-title":"Public Performance &amp; Management Review","id":"ITEM-1","issue":"3","issued":{"date-parts":[["2012"]]},"page":"399-421","title":"Blame avoidance in public reporting","type":"article-journal","volume":"35"},"uris":["http://www.mendeley.com/documents/?uuid=0eee1afa-9242-4104-a2bc-a1f2c3534da3"]}],"mendeley":{"formattedCitation":"(Charbonneau &amp; Bellavance 2012)","manualFormatting":"(Charbonneau and Bellavance, 2012)","plainTextFormattedCitation":"(Charbonneau &amp; Bellavance 2012)","previouslyFormattedCitation":"(Charbonneau &amp; Bellavance 2012)"},"properties":{"noteIndex":0},"schema":"https://github.com/citation-style-language/schema/raw/master/csl-citation.json"}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(Charbonneau and Bellavance, 2012)</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Negativity bias has been shown to lead to blame avoidance in public reporting and can result in data manipulation (Charbonneau and </w:t>
      </w:r>
      <w:proofErr w:type="spellStart"/>
      <w:r w:rsidRPr="008C60E3">
        <w:rPr>
          <w:rFonts w:ascii="Times New Roman" w:hAnsi="Times New Roman"/>
          <w:szCs w:val="24"/>
          <w:lang w:eastAsia="en-GB"/>
        </w:rPr>
        <w:t>Bellavance</w:t>
      </w:r>
      <w:proofErr w:type="spellEnd"/>
      <w:r w:rsidRPr="008C60E3">
        <w:rPr>
          <w:rFonts w:ascii="Times New Roman" w:hAnsi="Times New Roman"/>
          <w:szCs w:val="24"/>
          <w:lang w:eastAsia="en-GB"/>
        </w:rPr>
        <w:t>, 2012; Try and Radnor, 2007). In a study of 16 executives from the Canadian federal government a highly risk-averse culture was found because of negativity bias leading to gaming or selective performance reporting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{"citationItems":[{"id":"ITEM-1","itemData":{"DOI":"10.1108/09513550710823542","ISBN":"1741040081084","ISSN":"09513558","PMID":"27743254","abstract":"Purpose – This article aims to report on research undertaken to assess the utility of public value theory in understanding results-based management from the perception of public sector executives in Canada. Design/methodology/approach – The research was carried out using a case study approach. Within the case study, the primary data source was 16 interviews with executives leading to the development of a framework integrating public value and results-based management. Findings – The findings are presented through the elements of public value theory, as well as findings which fall outside of the explanatory powers of this theory. A framework integrating results-based management and public value is presented. Research limitations/implications – The framework must be viewed as an initial study exploring an under-researched field. The paper focuses on one case study although the interviews within the case study were extensive and it took an interpretative approach, allowing the findings to emerge. Originality/value – The article reports on empirical research that examined this issue from the perspective of executives. It will engage public value theory in developing an understanding of executive managers' perceptions, behaviours, and responses to changes introduced by results-based management.","author":[{"dropping-particle":"","family":"Try","given":"David","non-dropping-particle":"","parse-names":false,"suffix":""},{"dropping-particle":"","family":"Radnor","given":"Zoe","non-dropping-particle":"","parse-names":false,"suffix":""}],"container-title":"International Journal of Public Sector Management","id":"ITEM-1","issue":"7","issued":{"date-parts":[["2007"]]},"page":"655-673","title":"Developing an understanding of results-based management through public value theory","type":"article-journal","volume":"20"},"uris":["http://www.mendeley.com/documents/?uuid=785c4f37-5660-4a12-bcf6-c4d7ef2daf27"]}],"mendeley":{"formattedCitation":"(Try &amp; Radnor 2007)","manualFormatting":"Try and Radnor, 2007)","plainTextFormattedCitation":"(Try &amp; Radnor 2007)","previouslyFormattedCitation":"(Try &amp; Radnor 2007)"},"properties":{"noteIndex":0},"schema":"https://github.com/citation-style-language/schema/raw/master/csl-citation.json"}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Try and Radnor, 2007)</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t>
      </w:r>
      <w:r w:rsidR="00EC4A32" w:rsidRPr="008C60E3">
        <w:rPr>
          <w:rFonts w:ascii="Times New Roman" w:hAnsi="Times New Roman"/>
          <w:szCs w:val="24"/>
          <w:lang w:eastAsia="en-GB"/>
        </w:rPr>
        <w:t xml:space="preserve">Similarly in a study of 982 Quebec municipalities with mandatory reporting managers with lower </w:t>
      </w:r>
      <w:r w:rsidR="00EC4A32" w:rsidRPr="008C60E3">
        <w:rPr>
          <w:rFonts w:ascii="Times New Roman" w:hAnsi="Times New Roman"/>
          <w:szCs w:val="24"/>
          <w:lang w:eastAsia="en-GB"/>
        </w:rPr>
        <w:lastRenderedPageBreak/>
        <w:t xml:space="preserve">performance tended to present their results more positively (Charbonneau and </w:t>
      </w:r>
      <w:proofErr w:type="spellStart"/>
      <w:r w:rsidR="00EC4A32" w:rsidRPr="008C60E3">
        <w:rPr>
          <w:rFonts w:ascii="Times New Roman" w:hAnsi="Times New Roman"/>
          <w:szCs w:val="24"/>
          <w:lang w:eastAsia="en-GB"/>
        </w:rPr>
        <w:t>Bellavance</w:t>
      </w:r>
      <w:proofErr w:type="spellEnd"/>
      <w:r w:rsidR="00EC4A32" w:rsidRPr="008C60E3">
        <w:rPr>
          <w:rFonts w:ascii="Times New Roman" w:hAnsi="Times New Roman"/>
          <w:szCs w:val="24"/>
          <w:lang w:eastAsia="en-GB"/>
        </w:rPr>
        <w:t xml:space="preserve">, 2012). </w:t>
      </w:r>
      <w:r w:rsidRPr="008C60E3">
        <w:rPr>
          <w:rFonts w:ascii="Times New Roman" w:hAnsi="Times New Roman"/>
          <w:szCs w:val="24"/>
          <w:lang w:eastAsia="en-GB"/>
        </w:rPr>
        <w:t xml:space="preserve">A study of English local governments showed that voters displayed negativity bias whereby poor performing </w:t>
      </w:r>
      <w:r w:rsidR="00834089">
        <w:rPr>
          <w:rFonts w:ascii="Times New Roman" w:hAnsi="Times New Roman"/>
          <w:szCs w:val="24"/>
          <w:lang w:eastAsia="en-GB"/>
        </w:rPr>
        <w:t>politicians were not re-elected</w:t>
      </w:r>
      <w:r w:rsidRPr="008C60E3">
        <w:rPr>
          <w:rFonts w:ascii="Times New Roman" w:hAnsi="Times New Roman"/>
          <w:szCs w:val="24"/>
          <w:lang w:eastAsia="en-GB"/>
        </w:rPr>
        <w:t xml:space="preserve"> without commensurate positive rewards for top performers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{"citationItems":[{"id":"ITEM-1","itemData":{"DOI":"10.1093/jopart/mul020","ISBN":"10531858","ISSN":"10531858","abstract":"Publishing performance information about local public services, an increasing trend in many Organisation for Economic Co-operation and Development countries, matters politically because it has an effect on incumbent local governments' electoral support. Voters are able to use performance information to punish or reward incumbents in the elections that follow their publication, which may fill a gap in the chain of accountability between voters and governments. We model the introduction of published Comprehensive Performance Assessments of local authorities in England, which make summary information about performance available to voters, as a  shock  to the relationship between voters and incumbents. Controlling for an unpublicized measure of performance change over time, change in the local tax level, change in local economic conditions, and whether the local incumbent is the party of the incumbent government at the national level, we find negativity bias. Incumbents in local authorities in the  poor  performance category experience a substantial reduction in aggregate vote share at the election following publication, but there is no similarly sized reward for those in the highest performance category.","author":[{"dropping-particle":"","family":"James","given":"Oliver","non-dropping-particle":"","parse-names":false,"suffix":""},{"dropping-particle":"","family":"John","given":"Peter","non-dropping-particle":"","parse-names":false,"suffix":""}],"container-title":"Journal of Public Administration Research and Theory","id":"ITEM-1","issue":"4","issued":{"date-parts":[["2007"]]},"page":"567-580","title":"Public management at the ballot box: Performance information and electoral support for incumbent english local governments","type":"article-journal","volume":"17"},"uris":["http://www.mendeley.com/documents/?uuid=5b16df18-e49b-4365-a0d0-8ccf29d4a721"]}],"mendeley":{"formattedCitation":"(James &amp; John 2007)","manualFormatting":"(James and John, 2007)","plainTextFormattedCitation":"(James &amp; John 2007)","previouslyFormattedCitation":"(James &amp; John 2007)"},"properties":{"noteIndex":0},"schema":"https://github.com/citation-style-language/schema/raw/master/csl-citation.json"}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(James and John, 2007)</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t>
      </w:r>
    </w:p>
    <w:p w14:paraId="30074FD9"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238F07A2" w14:textId="010E4300" w:rsidR="0017688F"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Knowing that negative results will garner more attention than positive results NSW councils may present their results in a positive way. For example</w:t>
      </w:r>
      <w:r w:rsidR="00721065">
        <w:rPr>
          <w:rFonts w:ascii="Times New Roman" w:hAnsi="Times New Roman"/>
          <w:szCs w:val="24"/>
          <w:lang w:eastAsia="en-GB"/>
        </w:rPr>
        <w:t>,</w:t>
      </w:r>
      <w:r w:rsidRPr="008C60E3">
        <w:rPr>
          <w:rFonts w:ascii="Times New Roman" w:hAnsi="Times New Roman"/>
          <w:szCs w:val="24"/>
          <w:lang w:eastAsia="en-GB"/>
        </w:rPr>
        <w:t xml:space="preserve"> how project performance is reported in each council’s Annual Report is individually determined and different methods are selected so that the outcome to the organisation is favourable. Some councils report on a few select projects whereas other councils report line-by-line on all projects initiated during the year. Even in the latter case no definition of success is provided whether it be that funding was spent, stakeholders were satisfied, or the project was completed on schedule. One example of data manipulation was found in Russian regional government where not only did reported performance differ from actual performance, actual performance was unknown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{"citationItems":[{"id":"ITEM-1","itemData":{"DOI":"10.1080/14719037.2014.965271","ISSN":"14719045","abstract":"Public sector performance measurement may be affected by data manipulation. This study empirically explores strategies of data manipulation used by civil servants at the regional level in Russia. Twenty-five civil servants from three regional governments were interviewed. Two strategies were identified: ‘prudent’ bureaucrats kept a low profile by reporting ‘more-normal-than-real’ figures; ‘reckless’ bureaucrats aimed at inflating figures to maximize credit. Systematic application of these strategies produced a detectable bias in the overall performance data which were estimated using a nation-wide performance data set covering the period 2007–2011 (with a unified list of over 300 indicators from 83 regional governments).","author":[{"dropping-particle":"","family":"Kalgin","given":"Alexander","non-dropping-particle":"","parse-names":false,"suffix":""}],"container-title":"Public Management Review","id":"ITEM-1","issue":"1","issued":{"date-parts":[["2016"]]},"page":"110-138","publisher":"Routledge","title":"Implementation of performance management in regional government in Russia: evidence of data manipulation","type":"article-journal","volume":"18"},"uris":["http://www.mendeley.com/documents/?uuid=a8fa8583-be01-4848-906a-8639d0771fea"]}],"mendeley":{"formattedCitation":"(Kalgin 2016)","manualFormatting":"Kalgin, 2016)","plainTextFormattedCitation":"(Kalgin 2016)","previouslyFormattedCitation":"(Kalgin 2016)"},"properties":{"noteIndex":0},"schema":"https://github.com/citation-style-language/schema/raw/master/csl-citation.json"}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Kalgin, 2016)</w:t>
      </w:r>
      <w:r w:rsidRPr="008C60E3">
        <w:rPr>
          <w:rFonts w:ascii="Times New Roman" w:hAnsi="Times New Roman"/>
          <w:szCs w:val="24"/>
          <w:lang w:eastAsia="en-GB"/>
        </w:rPr>
        <w:fldChar w:fldCharType="end"/>
      </w:r>
      <w:r w:rsidRPr="008C60E3">
        <w:rPr>
          <w:rFonts w:ascii="Times New Roman" w:hAnsi="Times New Roman"/>
          <w:szCs w:val="24"/>
          <w:lang w:eastAsia="en-GB"/>
        </w:rPr>
        <w:t>. Furthermore, data manipulation was most apparent when it involved self-reporting. In the Russian regional government case self-reported indicators unexpectedly showed nil variation from year-to-year over a five-year period. A study of two London based agencies</w:t>
      </w:r>
      <w:r w:rsidR="00D4546C">
        <w:rPr>
          <w:rFonts w:ascii="Times New Roman" w:hAnsi="Times New Roman"/>
          <w:szCs w:val="24"/>
          <w:lang w:eastAsia="en-GB"/>
        </w:rPr>
        <w:t>,</w:t>
      </w:r>
      <w:r w:rsidRPr="008C60E3">
        <w:rPr>
          <w:rFonts w:ascii="Times New Roman" w:hAnsi="Times New Roman"/>
          <w:szCs w:val="24"/>
          <w:lang w:eastAsia="en-GB"/>
        </w:rPr>
        <w:t xml:space="preserve"> the Treasury and the Prime Minister’s Delivery Unit, found multiple types of target manipulation including: allocating additional resources to meet a target at one point in time; quietly removing a target after a drop in performance; and fabrication of reported results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{"citationItems":[{"id":"ITEM-1","itemData":{"author":[{"dropping-particle":"","family":"Hood","given":"Christopher","non-dropping-particle":"","parse-names":false,"suffix":""}],"container-title":"Public Administration Review","id":"ITEM-1","issue":"4","issued":{"date-parts":[["2006"]]},"page":"515-521","title":"Gaming in targetworld: The targets approach to managing British public services","type":"article-journal","volume":"66"},"uris":["http://www.mendeley.com/documents/?uuid=e8076396-ebfb-4aeb-95f1-bc8e03799362"]}],"mendeley":{"formattedCitation":"(Hood 2006)","manualFormatting":"(Hood, 2006)","plainTextFormattedCitation":"(Hood 2006)","previouslyFormattedCitation":"(Hood 2006)"},"properties":{"noteIndex":0},"schema":"https://github.com/citation-style-language/schema/raw/master/csl-citation.json"}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(Hood, 2006)</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t>
      </w:r>
    </w:p>
    <w:p w14:paraId="4124967C" w14:textId="77777777" w:rsidR="0017688F" w:rsidRDefault="0017688F" w:rsidP="00E351FC">
      <w:pPr>
        <w:tabs>
          <w:tab w:val="left" w:pos="284"/>
        </w:tabs>
        <w:spacing w:line="276" w:lineRule="auto"/>
        <w:ind w:right="-738"/>
        <w:contextualSpacing/>
        <w:jc w:val="both"/>
        <w:rPr>
          <w:rFonts w:ascii="Times New Roman" w:hAnsi="Times New Roman"/>
          <w:szCs w:val="24"/>
          <w:lang w:eastAsia="en-GB"/>
        </w:rPr>
      </w:pPr>
    </w:p>
    <w:p w14:paraId="09E4DC9D" w14:textId="34491FE8" w:rsidR="00057413" w:rsidRDefault="00057413"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Blame avoidance is not the only reason that has been recogni</w:t>
      </w:r>
      <w:r w:rsidR="00721065">
        <w:rPr>
          <w:rFonts w:ascii="Times New Roman" w:hAnsi="Times New Roman"/>
          <w:szCs w:val="24"/>
          <w:lang w:eastAsia="en-GB"/>
        </w:rPr>
        <w:t>s</w:t>
      </w:r>
      <w:r w:rsidRPr="008C60E3">
        <w:rPr>
          <w:rFonts w:ascii="Times New Roman" w:hAnsi="Times New Roman"/>
          <w:szCs w:val="24"/>
          <w:lang w:eastAsia="en-GB"/>
        </w:rPr>
        <w:t xml:space="preserve">ed for gaming and manipulation of performance results. Councils in regional and rural areas are often the largest employer within the local government area. Closing council offices and relocating services to regional cities and coastal towns has increased unemployment in rural towns </w:t>
      </w:r>
      <w:r w:rsidRPr="008C60E3">
        <w:rPr>
          <w:rFonts w:ascii="Times New Roman" w:hAnsi="Times New Roman"/>
          <w:szCs w:val="24"/>
          <w:lang w:eastAsia="en-GB"/>
        </w:rPr>
        <w:fldChar w:fldCharType="begin" w:fldLock="1"/>
      </w:r>
      <w:r>
        <w:rPr>
          <w:rFonts w:ascii="Times New Roman" w:hAnsi="Times New Roman"/>
          <w:szCs w:val="24"/>
          <w:lang w:eastAsia="en-GB"/>
        </w:rPr>
        <w:instrText>ADDIN CSL_CITATION {"citationItems":[{"id":"ITEM-1","itemData":{"author":[{"dropping-particle":"","family":"Collits","given":"Paul","non-dropping-particle":"","parse-names":false,"suffix":""},{"dropping-particle":"","family":"Gastin","given":"B.","non-dropping-particle":"","parse-names":false,"suffix":""}],"container-title":"Regional Policy and Practice","id":"ITEM-1","issue":"2","issued":{"date-parts":[["1997"]]},"page":"9–21","title":"Big town, small town: the centralisation of services and economic activity, the decline of small towns and the policy response in New South Wales.-Paper (in different","type":"article-journal","volume":"6"},"uris":["http://www.mendeley.com/documents/?uuid=21c23d56-e4d0-46ea-8665-7718a08eebe4"]}],"mendeley":{"formattedCitation":"(Collits &amp; Gastin 1997)","manualFormatting":"(Collits and Gastin, 1997; ","plainTextFormattedCitation":"(Collits &amp; Gastin 1997)","previouslyFormattedCitation":"(Collits &amp; Gastin 1997)"},"properties":{"noteIndex":0},"schema":"https://github.com/citation-style-language/schema/raw/master/csl-citation.json"}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 xml:space="preserve">(Collits and Gastin, 1997; </w:t>
      </w:r>
      <w:r w:rsidRPr="008C60E3">
        <w:rPr>
          <w:rFonts w:ascii="Times New Roman" w:hAnsi="Times New Roman"/>
          <w:szCs w:val="24"/>
          <w:lang w:eastAsia="en-GB"/>
        </w:rPr>
        <w:fldChar w:fldCharType="end"/>
      </w:r>
      <w:r w:rsidRPr="008C60E3">
        <w:rPr>
          <w:rFonts w:ascii="Times New Roman" w:hAnsi="Times New Roman"/>
          <w:szCs w:val="24"/>
          <w:lang w:eastAsia="en-GB"/>
        </w:rPr>
        <w:fldChar w:fldCharType="begin" w:fldLock="1"/>
      </w:r>
      <w:r>
        <w:rPr>
          <w:rFonts w:ascii="Times New Roman" w:hAnsi="Times New Roman"/>
          <w:szCs w:val="24"/>
          <w:lang w:eastAsia="en-GB"/>
        </w:rPr>
        <w:instrText>ADDIN CSL_CITATION {"citationItems":[{"id":"ITEM-1","itemData":{"ISBN":"1835-761X","author":[{"dropping-particle":"","family":"Tiley","given":"Ian","non-dropping-particle":"","parse-names":false,"suffix":""},{"dropping-particle":"","family":"Dollery","given":"Brian","non-dropping-particle":"","parse-names":false,"suffix":""}],"collection-title":"Centre for Local Government Working Paper Series","id":"ITEM-1","issue":"03","issued":{"date-parts":[["2010"]]},"number":"03-2010","publisher-place":"Armidale, NSW, Australia","title":"Local government amalgamation in New South Wales","type":"report"},"uris":["http://www.mendeley.com/documents/?uuid=dd9111a2-7981-454d-a59a-051a8a4c3fd5"]}],"mendeley":{"formattedCitation":"(Tiley &amp; Dollery 2010)","manualFormatting":"Tiley and Dollery, 2013)","plainTextFormattedCitation":"(Tiley &amp; Dollery 2010)","previouslyFormattedCitation":"(Tiley &amp; Dollery 2010)"},"properties":{"noteIndex":0},"schema":"https://github.com/citation-style-language/schema/raw/master/csl-citation.json"}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Tiley and Dollery, 2013)</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The rationalisation of council administration and services to lower costs is a key tenet of the pro-amalgamation argument. Hence the negative impact to a community may provide an alternative reason for gaming of performance reporting by a regional or rural council.  </w:t>
      </w:r>
    </w:p>
    <w:p w14:paraId="37B4793F" w14:textId="77777777" w:rsidR="00057413" w:rsidRDefault="00057413" w:rsidP="00E351FC">
      <w:pPr>
        <w:tabs>
          <w:tab w:val="left" w:pos="284"/>
        </w:tabs>
        <w:spacing w:line="276" w:lineRule="auto"/>
        <w:ind w:right="-738"/>
        <w:contextualSpacing/>
        <w:jc w:val="both"/>
        <w:rPr>
          <w:rFonts w:ascii="Times New Roman" w:hAnsi="Times New Roman"/>
          <w:szCs w:val="24"/>
          <w:lang w:eastAsia="en-GB"/>
        </w:rPr>
      </w:pPr>
    </w:p>
    <w:p w14:paraId="33ADFB93" w14:textId="2BF02B28"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In an Australian context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{"citationItems":[{"id":"ITEM-1","itemData":{"DOI":"10.1111/j.1467-9299.2009.01802.x","ISBN":"1467-9299","ISSN":"00333298","PMID":"25246403","abstract":"Many public agencies now face dual pressures to meet external accountability demands on one hand, and improve their internal performance on the other. This begs the question whether the demands that are made on public agencies to externally report on their performance have a limited or wide ranging impact on the utilization of performance indicators (PIs) for internal improvements. This article addresses this question via a small group of public agencies and public accountability authorities in Australia. It also examines the main factors that affect the use of PIs for decision making. The evidence suggests that the agencies use PIs more for meeting external reporting requirements than for achieving internal improvements. Various constraints on the use of PIs were identified, mainly technical problems, and to a lesser extent, political and organizational issues.","author":[{"dropping-particle":"","family":"Taylor","given":"Jeannette","non-dropping-particle":"","parse-names":false,"suffix":""}],"container-title":"Public Administration","id":"ITEM-1","issue":"3","issued":{"date-parts":[["2011"]]},"page":"860-878","title":"Strengthening the link between performance measurement and decision making","type":"article-journal","volume":"89"},"uris":["http://www.mendeley.com/documents/?uuid=7d625c27-34d3-4427-8a4d-26675e20dfaa"]}],"mendeley":{"formattedCitation":"(Taylor 2011)","manualFormatting":"Taylor (2011)","plainTextFormattedCitation":"(Taylor 2011)","previouslyFormattedCitation":"(Taylor 2011)"},"properties":{"noteIndex":0},"schema":"https://github.com/citation-style-language/schema/raw/master/csl-citation.json"}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Taylor (2011)</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studied performance reporting of 24 Australian public agencies. Taylor’s (2011) study confirmed that the public agencies used performance indicators to present the organisation in the best possible way rather than as a true representation of the organisational performance. More specifically in the process of NSW local government amalgamations the NSW state government employed multiple </w:t>
      </w:r>
      <w:r w:rsidRPr="008C60E3">
        <w:rPr>
          <w:rFonts w:ascii="Times New Roman" w:hAnsi="Times New Roman"/>
          <w:szCs w:val="24"/>
          <w:lang w:eastAsia="en-GB"/>
        </w:rPr>
        <w:lastRenderedPageBreak/>
        <w:t xml:space="preserve">agencies as a blame avoidance measure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{"citationItems":[{"id":"ITEM-1","itemData":{"DOI":"10.1080/10361146.2016.1154926","ISSN":"1363030X","abstract":"© 2016 Australian Political Studies Association. Albert Hirschman's rhetoric of reaction is a potentially powerful typology of the arguments made by both proponents and opponents of reform (1991. The rhetoric of reaction: Perversity, futility, jeopardy. Cambridge: Belknap Press of Harvard University Press). However, scholars have identified a number of gaps in the typology, in particular that it has struggled to explain the lines of rhetoric associated with disputed empirical evidence. This paper reviews Hirschman's typology before applying it to the contentious municipal amalgamation debates currently unfolding in New South Wales, Australia. We then examine the lines of attack open to progressives and reactionaries on the basis of empirical data. We conclude that the use of empirical data opens new lines of rhetoric for both ‘progressives’ and ‘reactionaries’ generally, but that both information costs and complexity significantly affect the timing and penetration of the arguments.","author":[{"dropping-particle":"","family":"Drew","given":"Joseph","non-dropping-particle":"","parse-names":false,"suffix":""},{"dropping-particle":"","family":"Grant","given":"Bligh","non-dropping-particle":"","parse-names":false,"suffix":""},{"dropping-particle":"","family":"Campbell","given":"Nicole","non-dropping-particle":"","parse-names":false,"suffix":""}],"container-title":"Australian Journal of Political Science","id":"ITEM-1","issue":"2","issued":{"date-parts":[["2016"]]},"page":"323-337","title":"Progressive and reactionary rhetoric in the municipal reform debate in New South Wales, Australia","type":"article-journal","volume":"51"},"uris":["http://www.mendeley.com/documents/?uuid=f2fe75ce-c828-4a43-a9a8-1cbd26f9676e"]}],"mendeley":{"formattedCitation":"(Drew, Grant &amp; Campbell 2016)","manualFormatting":"(Drew, Grant, and Campbell, 2016)","plainTextFormattedCitation":"(Drew, Grant &amp; Campbell 2016)","previouslyFormattedCitation":"(Drew, Grant &amp; Campbell 2016)"},"properties":{"noteIndex":0},"schema":"https://github.com/citation-style-language/schema/raw/master/csl-citation.json"}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(Drew, Grant, and Campbell, 2016)</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Six agencies were used to shift blame over a period of four years. In a later study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{"citationItems":[{"id":"ITEM-1","itemData":{"DOI":"10.1111/1467-8500.12225","ISSN":"14678500","abstract":"Regulatory authorities are increasingly relying upon performance data for developing public policy. However, this reliance necessarily assumes that the data are free from material distortion. This paper provides a conceptual framework for understanding the ‘means’, ‘motive’, and ‘opportunity’ for distorting data employed in high-stakes performance-management programmes. We present empirical evidence which suggests that the use of data drawn entirely from financial statements by no means guarantees a distortion-free depiction of performance. In addition, we provide econometric evidence of some important determinants of performance data distortion. Taken as a whole, the following analysis provides a comprehensive picture of the salient matters which must be addressed to ensure accurate data for public policy-making purposes.","author":[{"dropping-particle":"","family":"Drew","given":"Joseph","non-dropping-particle":"","parse-names":false,"suffix":""},{"dropping-particle":"","family":"Grant","given":"Bligh","non-dropping-particle":"","parse-names":false,"suffix":""}],"container-title":"Australian Journal of Public Administration","id":"ITEM-1","issue":"2","issued":{"date-parts":[["2017"]]},"page":"237-250","title":"Means, motive, and opportunity – local government data distortion in a high-stakes environment","type":"article-journal","volume":"76"},"uris":["http://www.mendeley.com/documents/?uuid=f7facaf7-a2d8-4719-ba2f-5bd0ac289a2a"]}],"mendeley":{"formattedCitation":"(Drew &amp; Grant 2017)","manualFormatting":"Drew and Grant (2017)","plainTextFormattedCitation":"(Drew &amp; Grant 2017)","previouslyFormattedCitation":"(Drew &amp; Grant 2017)"},"properties":{"noteIndex":0},"schema":"https://github.com/citation-style-language/schema/raw/master/csl-citation.json"}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Drew and Grant (2017)</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identified unexplained changes to NSW local government  performance indicators. The authors found that half of the councils assessed may have gamed their performance reporting presenting a distorted picture. </w:t>
      </w:r>
      <w:r w:rsidR="000D5602">
        <w:rPr>
          <w:rFonts w:ascii="Times New Roman" w:hAnsi="Times New Roman"/>
          <w:szCs w:val="24"/>
          <w:lang w:eastAsia="en-GB"/>
        </w:rPr>
        <w:t xml:space="preserve">Senior managers from 41 Australian government departments were found to hide unfavourable results </w:t>
      </w:r>
      <w:r w:rsidRPr="008C60E3">
        <w:rPr>
          <w:rFonts w:ascii="Times New Roman" w:hAnsi="Times New Roman"/>
          <w:szCs w:val="24"/>
          <w:lang w:eastAsia="en-GB"/>
        </w:rPr>
        <w:t xml:space="preserve">(Lee, 2008). The organisational performance study by Drew and Grant (2017) of NSW councils identified that auditing of accounting data resulted in lower unexpected differences compared with unaudited items. The project performance data as opposed to the </w:t>
      </w:r>
      <w:r w:rsidR="00057413">
        <w:rPr>
          <w:rFonts w:ascii="Times New Roman" w:hAnsi="Times New Roman"/>
          <w:szCs w:val="24"/>
          <w:lang w:eastAsia="en-GB"/>
        </w:rPr>
        <w:t>financial</w:t>
      </w:r>
      <w:r w:rsidR="00057413" w:rsidRPr="008C60E3">
        <w:rPr>
          <w:rFonts w:ascii="Times New Roman" w:hAnsi="Times New Roman"/>
          <w:szCs w:val="24"/>
          <w:lang w:eastAsia="en-GB"/>
        </w:rPr>
        <w:t xml:space="preserve"> </w:t>
      </w:r>
      <w:r w:rsidRPr="008C60E3">
        <w:rPr>
          <w:rFonts w:ascii="Times New Roman" w:hAnsi="Times New Roman"/>
          <w:szCs w:val="24"/>
          <w:lang w:eastAsia="en-GB"/>
        </w:rPr>
        <w:t xml:space="preserve">performance data reported in the Annual Reports was wholly unaudited. This could allow for greater levels of gaming when reporting project performance. In both international and Australian government organisations negativity bias has been shown to affect accurate self-reporting through various mechanisms including concealing or fabricating results and manipulating targets.  </w:t>
      </w:r>
    </w:p>
    <w:p w14:paraId="3498F8CA"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2D574E91"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Table 2</w:t>
      </w:r>
      <w:r w:rsidR="008C60E3">
        <w:rPr>
          <w:rFonts w:ascii="Times New Roman" w:hAnsi="Times New Roman"/>
          <w:szCs w:val="24"/>
          <w:lang w:eastAsia="en-GB"/>
        </w:rPr>
        <w:t xml:space="preserve">. </w:t>
      </w:r>
      <w:r w:rsidRPr="008C60E3">
        <w:rPr>
          <w:rFonts w:ascii="Times New Roman" w:hAnsi="Times New Roman"/>
          <w:szCs w:val="24"/>
          <w:lang w:eastAsia="en-GB"/>
        </w:rPr>
        <w:t>Number of NSW Council Annual Reports used in the data analysis (Source: Authors).</w:t>
      </w:r>
    </w:p>
    <w:p w14:paraId="096DCCFF" w14:textId="77777777" w:rsidR="00E351FC" w:rsidRDefault="00E351FC" w:rsidP="00E351FC">
      <w:pPr>
        <w:tabs>
          <w:tab w:val="left" w:pos="284"/>
        </w:tabs>
        <w:spacing w:line="276" w:lineRule="auto"/>
        <w:ind w:right="-738"/>
        <w:contextualSpacing/>
        <w:jc w:val="both"/>
        <w:rPr>
          <w:rFonts w:ascii="Times New Roman" w:hAnsi="Times New Roman"/>
          <w:sz w:val="20"/>
          <w:lang w:eastAsia="en-GB"/>
        </w:rPr>
      </w:pPr>
    </w:p>
    <w:tbl>
      <w:tblPr>
        <w:tblW w:w="7255" w:type="dxa"/>
        <w:jc w:val="center"/>
        <w:tblLook w:val="04A0" w:firstRow="1" w:lastRow="0" w:firstColumn="1" w:lastColumn="0" w:noHBand="0" w:noVBand="1"/>
      </w:tblPr>
      <w:tblGrid>
        <w:gridCol w:w="872"/>
        <w:gridCol w:w="1350"/>
        <w:gridCol w:w="1476"/>
        <w:gridCol w:w="1128"/>
        <w:gridCol w:w="784"/>
        <w:gridCol w:w="999"/>
        <w:gridCol w:w="672"/>
      </w:tblGrid>
      <w:tr w:rsidR="000D5602" w:rsidRPr="00834F69" w14:paraId="1EF4F53F" w14:textId="77777777" w:rsidTr="000D5602">
        <w:trPr>
          <w:trHeight w:val="390"/>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E0E94" w14:textId="77777777" w:rsidR="000D5602" w:rsidRPr="00834F69" w:rsidRDefault="000D5602" w:rsidP="00E351FC">
            <w:pPr>
              <w:tabs>
                <w:tab w:val="left" w:pos="262"/>
              </w:tabs>
              <w:spacing w:after="0"/>
              <w:ind w:hanging="397"/>
              <w:rPr>
                <w:rFonts w:ascii="Times New Roman" w:hAnsi="Times New Roman"/>
                <w:b/>
                <w:sz w:val="20"/>
              </w:rPr>
            </w:pPr>
            <w:r w:rsidRPr="00834F69">
              <w:rPr>
                <w:rFonts w:ascii="Times New Roman" w:hAnsi="Times New Roman"/>
                <w:b/>
                <w:sz w:val="2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37622998" w14:textId="77777777" w:rsidR="000D5602" w:rsidRPr="00834F69" w:rsidRDefault="000D5602" w:rsidP="00E351FC">
            <w:pPr>
              <w:spacing w:after="0"/>
              <w:rPr>
                <w:rFonts w:ascii="Times New Roman" w:hAnsi="Times New Roman"/>
                <w:b/>
                <w:sz w:val="20"/>
              </w:rPr>
            </w:pPr>
            <w:r w:rsidRPr="00834F69">
              <w:rPr>
                <w:rFonts w:ascii="Times New Roman" w:hAnsi="Times New Roman"/>
                <w:b/>
                <w:sz w:val="20"/>
              </w:rPr>
              <w:t>Metropolitan</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4BE2804A" w14:textId="77777777" w:rsidR="000D5602" w:rsidRPr="00834F69" w:rsidRDefault="000D5602" w:rsidP="00E351FC">
            <w:pPr>
              <w:spacing w:after="0"/>
              <w:rPr>
                <w:rFonts w:ascii="Times New Roman" w:hAnsi="Times New Roman"/>
                <w:b/>
                <w:sz w:val="20"/>
              </w:rPr>
            </w:pPr>
            <w:r w:rsidRPr="00834F69">
              <w:rPr>
                <w:rFonts w:ascii="Times New Roman" w:hAnsi="Times New Roman"/>
                <w:b/>
                <w:sz w:val="20"/>
              </w:rPr>
              <w:t>Metropolitan Fringe</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4B606914" w14:textId="77777777" w:rsidR="000D5602" w:rsidRPr="00834F69" w:rsidRDefault="000D5602" w:rsidP="00E351FC">
            <w:pPr>
              <w:spacing w:after="0"/>
              <w:rPr>
                <w:rFonts w:ascii="Times New Roman" w:hAnsi="Times New Roman"/>
                <w:b/>
                <w:sz w:val="20"/>
              </w:rPr>
            </w:pPr>
            <w:r w:rsidRPr="00834F69">
              <w:rPr>
                <w:rFonts w:ascii="Times New Roman" w:hAnsi="Times New Roman"/>
                <w:b/>
                <w:sz w:val="20"/>
              </w:rPr>
              <w:t>Regional Town/City</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4CAC0812" w14:textId="77777777" w:rsidR="000D5602" w:rsidRPr="00834F69" w:rsidRDefault="000D5602" w:rsidP="00E351FC">
            <w:pPr>
              <w:spacing w:after="0"/>
              <w:rPr>
                <w:rFonts w:ascii="Times New Roman" w:hAnsi="Times New Roman"/>
                <w:b/>
                <w:sz w:val="20"/>
              </w:rPr>
            </w:pPr>
            <w:r w:rsidRPr="00834F69">
              <w:rPr>
                <w:rFonts w:ascii="Times New Roman" w:hAnsi="Times New Roman"/>
                <w:b/>
                <w:sz w:val="20"/>
              </w:rPr>
              <w:t>Rural</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EBE7247" w14:textId="77777777" w:rsidR="000D5602" w:rsidRPr="00834F69" w:rsidRDefault="000D5602" w:rsidP="00E351FC">
            <w:pPr>
              <w:spacing w:after="0"/>
              <w:rPr>
                <w:rFonts w:ascii="Times New Roman" w:hAnsi="Times New Roman"/>
                <w:b/>
                <w:sz w:val="20"/>
              </w:rPr>
            </w:pPr>
            <w:r w:rsidRPr="00834F69">
              <w:rPr>
                <w:rFonts w:ascii="Times New Roman" w:hAnsi="Times New Roman"/>
                <w:b/>
                <w:sz w:val="20"/>
              </w:rPr>
              <w:t>Large Rural</w:t>
            </w:r>
          </w:p>
        </w:tc>
        <w:tc>
          <w:tcPr>
            <w:tcW w:w="657" w:type="dxa"/>
            <w:tcBorders>
              <w:top w:val="single" w:sz="4" w:space="0" w:color="auto"/>
              <w:left w:val="nil"/>
              <w:bottom w:val="single" w:sz="4" w:space="0" w:color="auto"/>
              <w:right w:val="single" w:sz="4" w:space="0" w:color="auto"/>
            </w:tcBorders>
          </w:tcPr>
          <w:p w14:paraId="6B330287" w14:textId="77777777" w:rsidR="000D5602" w:rsidRPr="00834F69" w:rsidRDefault="000D5602" w:rsidP="000D5602">
            <w:pPr>
              <w:spacing w:after="0"/>
              <w:ind w:left="720" w:hanging="720"/>
              <w:rPr>
                <w:rFonts w:ascii="Times New Roman" w:hAnsi="Times New Roman"/>
                <w:b/>
                <w:sz w:val="20"/>
              </w:rPr>
            </w:pPr>
            <w:r>
              <w:rPr>
                <w:rFonts w:ascii="Times New Roman" w:hAnsi="Times New Roman"/>
                <w:b/>
                <w:sz w:val="20"/>
              </w:rPr>
              <w:t>Total</w:t>
            </w:r>
          </w:p>
        </w:tc>
      </w:tr>
      <w:tr w:rsidR="000D5602" w:rsidRPr="00834F69" w14:paraId="43FCD5F8" w14:textId="77777777" w:rsidTr="000D5602">
        <w:trPr>
          <w:trHeight w:val="239"/>
          <w:jc w:val="center"/>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367143A2"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Number</w:t>
            </w:r>
          </w:p>
        </w:tc>
        <w:tc>
          <w:tcPr>
            <w:tcW w:w="1345" w:type="dxa"/>
            <w:tcBorders>
              <w:top w:val="nil"/>
              <w:left w:val="nil"/>
              <w:bottom w:val="single" w:sz="4" w:space="0" w:color="auto"/>
              <w:right w:val="single" w:sz="4" w:space="0" w:color="auto"/>
            </w:tcBorders>
            <w:shd w:val="clear" w:color="auto" w:fill="auto"/>
            <w:noWrap/>
            <w:vAlign w:val="bottom"/>
            <w:hideMark/>
          </w:tcPr>
          <w:p w14:paraId="323C7E36"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14</w:t>
            </w:r>
          </w:p>
        </w:tc>
        <w:tc>
          <w:tcPr>
            <w:tcW w:w="1476" w:type="dxa"/>
            <w:tcBorders>
              <w:top w:val="nil"/>
              <w:left w:val="nil"/>
              <w:bottom w:val="single" w:sz="4" w:space="0" w:color="auto"/>
              <w:right w:val="single" w:sz="4" w:space="0" w:color="auto"/>
            </w:tcBorders>
            <w:shd w:val="clear" w:color="auto" w:fill="auto"/>
            <w:noWrap/>
            <w:vAlign w:val="bottom"/>
            <w:hideMark/>
          </w:tcPr>
          <w:p w14:paraId="55C2A7B8"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5</w:t>
            </w:r>
          </w:p>
        </w:tc>
        <w:tc>
          <w:tcPr>
            <w:tcW w:w="1125" w:type="dxa"/>
            <w:tcBorders>
              <w:top w:val="nil"/>
              <w:left w:val="nil"/>
              <w:bottom w:val="single" w:sz="4" w:space="0" w:color="auto"/>
              <w:right w:val="single" w:sz="4" w:space="0" w:color="auto"/>
            </w:tcBorders>
            <w:shd w:val="clear" w:color="auto" w:fill="auto"/>
            <w:noWrap/>
            <w:vAlign w:val="bottom"/>
            <w:hideMark/>
          </w:tcPr>
          <w:p w14:paraId="27A93056"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8</w:t>
            </w:r>
          </w:p>
        </w:tc>
        <w:tc>
          <w:tcPr>
            <w:tcW w:w="784" w:type="dxa"/>
            <w:tcBorders>
              <w:top w:val="nil"/>
              <w:left w:val="nil"/>
              <w:bottom w:val="single" w:sz="4" w:space="0" w:color="auto"/>
              <w:right w:val="single" w:sz="4" w:space="0" w:color="auto"/>
            </w:tcBorders>
            <w:shd w:val="clear" w:color="auto" w:fill="auto"/>
            <w:noWrap/>
            <w:vAlign w:val="bottom"/>
            <w:hideMark/>
          </w:tcPr>
          <w:p w14:paraId="20B01BB3"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1</w:t>
            </w:r>
          </w:p>
        </w:tc>
        <w:tc>
          <w:tcPr>
            <w:tcW w:w="999" w:type="dxa"/>
            <w:tcBorders>
              <w:top w:val="nil"/>
              <w:left w:val="nil"/>
              <w:bottom w:val="single" w:sz="4" w:space="0" w:color="auto"/>
              <w:right w:val="single" w:sz="4" w:space="0" w:color="auto"/>
            </w:tcBorders>
            <w:shd w:val="clear" w:color="auto" w:fill="auto"/>
            <w:noWrap/>
            <w:vAlign w:val="bottom"/>
            <w:hideMark/>
          </w:tcPr>
          <w:p w14:paraId="1F236E4F" w14:textId="77777777" w:rsidR="000D5602" w:rsidRPr="00834F69" w:rsidRDefault="000D5602" w:rsidP="000D5602">
            <w:pPr>
              <w:spacing w:after="0"/>
              <w:jc w:val="right"/>
              <w:rPr>
                <w:rFonts w:ascii="Times New Roman" w:hAnsi="Times New Roman"/>
                <w:sz w:val="20"/>
              </w:rPr>
            </w:pPr>
            <w:r w:rsidRPr="00834F69">
              <w:rPr>
                <w:rFonts w:ascii="Times New Roman" w:hAnsi="Times New Roman"/>
                <w:sz w:val="20"/>
              </w:rPr>
              <w:t>12</w:t>
            </w:r>
          </w:p>
        </w:tc>
        <w:tc>
          <w:tcPr>
            <w:tcW w:w="657" w:type="dxa"/>
            <w:tcBorders>
              <w:top w:val="nil"/>
              <w:left w:val="nil"/>
              <w:bottom w:val="single" w:sz="4" w:space="0" w:color="auto"/>
              <w:right w:val="single" w:sz="4" w:space="0" w:color="auto"/>
            </w:tcBorders>
          </w:tcPr>
          <w:p w14:paraId="2D4B7CBB" w14:textId="77777777" w:rsidR="000D5602" w:rsidRPr="000D5602" w:rsidRDefault="000D5602" w:rsidP="000D5602">
            <w:pPr>
              <w:spacing w:after="0"/>
              <w:jc w:val="right"/>
              <w:rPr>
                <w:rFonts w:ascii="Times New Roman" w:hAnsi="Times New Roman"/>
                <w:b/>
                <w:sz w:val="20"/>
              </w:rPr>
            </w:pPr>
            <w:r w:rsidRPr="000D5602">
              <w:rPr>
                <w:rFonts w:ascii="Times New Roman" w:hAnsi="Times New Roman"/>
                <w:b/>
                <w:sz w:val="20"/>
              </w:rPr>
              <w:t>40</w:t>
            </w:r>
          </w:p>
        </w:tc>
      </w:tr>
    </w:tbl>
    <w:p w14:paraId="55A9623C" w14:textId="77777777" w:rsidR="00E351FC" w:rsidRPr="00834F69" w:rsidRDefault="00E351FC" w:rsidP="00E351FC">
      <w:pPr>
        <w:tabs>
          <w:tab w:val="left" w:pos="284"/>
        </w:tabs>
        <w:spacing w:line="276" w:lineRule="auto"/>
        <w:ind w:right="-738"/>
        <w:contextualSpacing/>
        <w:jc w:val="both"/>
        <w:rPr>
          <w:rFonts w:ascii="Times New Roman" w:hAnsi="Times New Roman"/>
          <w:sz w:val="20"/>
          <w:lang w:eastAsia="en-GB"/>
        </w:rPr>
      </w:pPr>
    </w:p>
    <w:p w14:paraId="5E2A7B26" w14:textId="77777777" w:rsidR="00E351FC"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88 Annual Reports that were not used </w:t>
      </w:r>
      <w:r w:rsidR="000D5602">
        <w:rPr>
          <w:rFonts w:ascii="Times New Roman" w:hAnsi="Times New Roman"/>
          <w:szCs w:val="24"/>
          <w:lang w:eastAsia="en-GB"/>
        </w:rPr>
        <w:t xml:space="preserve">either </w:t>
      </w:r>
      <w:r w:rsidRPr="008C60E3">
        <w:rPr>
          <w:rFonts w:ascii="Times New Roman" w:hAnsi="Times New Roman"/>
          <w:szCs w:val="24"/>
          <w:lang w:eastAsia="en-GB"/>
        </w:rPr>
        <w:t>report</w:t>
      </w:r>
      <w:r w:rsidR="000D5602">
        <w:rPr>
          <w:rFonts w:ascii="Times New Roman" w:hAnsi="Times New Roman"/>
          <w:szCs w:val="24"/>
          <w:lang w:eastAsia="en-GB"/>
        </w:rPr>
        <w:t>ed</w:t>
      </w:r>
      <w:r w:rsidRPr="008C60E3">
        <w:rPr>
          <w:rFonts w:ascii="Times New Roman" w:hAnsi="Times New Roman"/>
          <w:szCs w:val="24"/>
          <w:lang w:eastAsia="en-GB"/>
        </w:rPr>
        <w:t xml:space="preserve"> on projects at a program level and focussed on budgetary figures, most often mentioning a small number of key projects that were successfully delivered</w:t>
      </w:r>
      <w:r w:rsidR="000D5602">
        <w:rPr>
          <w:rFonts w:ascii="Times New Roman" w:hAnsi="Times New Roman"/>
          <w:szCs w:val="24"/>
          <w:lang w:eastAsia="en-GB"/>
        </w:rPr>
        <w:t xml:space="preserve"> or did not report on all projects</w:t>
      </w:r>
      <w:r w:rsidRPr="008C60E3">
        <w:rPr>
          <w:rFonts w:ascii="Times New Roman" w:hAnsi="Times New Roman"/>
          <w:szCs w:val="24"/>
          <w:lang w:eastAsia="en-GB"/>
        </w:rPr>
        <w:t xml:space="preserve">. From the Annual Reports considered to have sufficient information, the project success measure was determined by counting the number of overall projects and the number of projects completed to calculate a percentage of successful projects.  </w:t>
      </w:r>
    </w:p>
    <w:p w14:paraId="45FD9589" w14:textId="4085D155" w:rsidR="00E351FC" w:rsidRPr="008C60E3" w:rsidRDefault="00F96854" w:rsidP="008C60E3">
      <w:pPr>
        <w:pStyle w:val="HeadL1"/>
        <w:tabs>
          <w:tab w:val="clear" w:pos="360"/>
        </w:tabs>
        <w:spacing w:line="276" w:lineRule="auto"/>
        <w:ind w:left="0" w:firstLine="0"/>
        <w:rPr>
          <w:rFonts w:cs="Arial"/>
          <w:bCs/>
          <w:kern w:val="32"/>
          <w:sz w:val="24"/>
          <w:szCs w:val="32"/>
          <w:lang w:eastAsia="en-GB"/>
        </w:rPr>
      </w:pPr>
      <w:r>
        <w:rPr>
          <w:rFonts w:cs="Arial"/>
          <w:bCs/>
          <w:kern w:val="32"/>
          <w:sz w:val="24"/>
          <w:szCs w:val="32"/>
          <w:lang w:eastAsia="en-GB"/>
        </w:rPr>
        <w:t>5</w:t>
      </w:r>
      <w:r w:rsidR="00E351FC" w:rsidRPr="008C60E3">
        <w:rPr>
          <w:rFonts w:cs="Arial"/>
          <w:bCs/>
          <w:kern w:val="32"/>
          <w:sz w:val="24"/>
          <w:szCs w:val="32"/>
          <w:lang w:eastAsia="en-GB"/>
        </w:rPr>
        <w:t xml:space="preserve"> Results</w:t>
      </w:r>
    </w:p>
    <w:p w14:paraId="2C5E81A3" w14:textId="77777777" w:rsidR="000D5602" w:rsidRPr="000D5602" w:rsidRDefault="000D5602" w:rsidP="000D5602">
      <w:pPr>
        <w:pStyle w:val="Heading1"/>
        <w:tabs>
          <w:tab w:val="left" w:pos="284"/>
        </w:tabs>
        <w:spacing w:line="276" w:lineRule="auto"/>
        <w:ind w:right="-737"/>
        <w:jc w:val="both"/>
        <w:rPr>
          <w:i/>
          <w:iCs/>
          <w:kern w:val="0"/>
          <w:szCs w:val="28"/>
        </w:rPr>
      </w:pPr>
      <w:r>
        <w:rPr>
          <w:i/>
          <w:iCs/>
          <w:kern w:val="0"/>
          <w:szCs w:val="28"/>
        </w:rPr>
        <w:t xml:space="preserve">5.1 </w:t>
      </w:r>
      <w:r w:rsidRPr="000D5602">
        <w:rPr>
          <w:i/>
          <w:iCs/>
          <w:kern w:val="0"/>
          <w:szCs w:val="28"/>
        </w:rPr>
        <w:t>Project Success</w:t>
      </w:r>
    </w:p>
    <w:p w14:paraId="40A00E0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NSW average of successful projects was calculated at 68% with a standard deviation of ±17% for the period 2014/15 – 2018/19. Figure 2 shows the final success measure for each of the five OLG NSW categories. </w:t>
      </w:r>
    </w:p>
    <w:p w14:paraId="5746E4C7"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55C39603" w14:textId="5FC6048E" w:rsidR="00E351FC" w:rsidRPr="008C60E3" w:rsidRDefault="00E351FC" w:rsidP="00E351FC">
      <w:pPr>
        <w:tabs>
          <w:tab w:val="left" w:pos="284"/>
        </w:tabs>
        <w:spacing w:line="276" w:lineRule="auto"/>
        <w:ind w:right="-738"/>
        <w:contextualSpacing/>
        <w:rPr>
          <w:rFonts w:ascii="Times New Roman" w:hAnsi="Times New Roman"/>
          <w:szCs w:val="24"/>
          <w:lang w:eastAsia="en-GB"/>
        </w:rPr>
      </w:pPr>
      <w:r w:rsidRPr="008C60E3">
        <w:rPr>
          <w:rFonts w:ascii="Times New Roman" w:hAnsi="Times New Roman"/>
          <w:szCs w:val="24"/>
          <w:lang w:eastAsia="en-GB"/>
        </w:rPr>
        <w:t xml:space="preserve">Figure </w:t>
      </w:r>
      <w:r w:rsidR="004C460C">
        <w:rPr>
          <w:rFonts w:ascii="Times New Roman" w:hAnsi="Times New Roman"/>
          <w:szCs w:val="24"/>
          <w:lang w:eastAsia="en-GB"/>
        </w:rPr>
        <w:t>2</w:t>
      </w:r>
      <w:r w:rsidR="008C60E3">
        <w:rPr>
          <w:rFonts w:ascii="Times New Roman" w:hAnsi="Times New Roman"/>
          <w:szCs w:val="24"/>
          <w:lang w:eastAsia="en-GB"/>
        </w:rPr>
        <w:t xml:space="preserve">. </w:t>
      </w:r>
      <w:r w:rsidRPr="008C60E3">
        <w:rPr>
          <w:rFonts w:ascii="Times New Roman" w:hAnsi="Times New Roman"/>
          <w:szCs w:val="24"/>
          <w:lang w:eastAsia="en-GB"/>
        </w:rPr>
        <w:t>Average success measure as a percentage for each category (Source: Authors)</w:t>
      </w:r>
    </w:p>
    <w:p w14:paraId="4B5EC443" w14:textId="77777777" w:rsidR="00E351FC" w:rsidRPr="008C60E3" w:rsidRDefault="00E351FC" w:rsidP="00E351FC">
      <w:pPr>
        <w:tabs>
          <w:tab w:val="left" w:pos="284"/>
        </w:tabs>
        <w:spacing w:line="276" w:lineRule="auto"/>
        <w:ind w:right="-738"/>
        <w:contextualSpacing/>
        <w:rPr>
          <w:rFonts w:ascii="Times New Roman" w:hAnsi="Times New Roman"/>
          <w:szCs w:val="24"/>
          <w:lang w:eastAsia="en-GB"/>
        </w:rPr>
      </w:pPr>
    </w:p>
    <w:p w14:paraId="0D9C09A5" w14:textId="77777777" w:rsidR="00E351FC" w:rsidRPr="008C60E3" w:rsidRDefault="00E351FC" w:rsidP="00E351FC">
      <w:pPr>
        <w:tabs>
          <w:tab w:val="left" w:pos="284"/>
        </w:tabs>
        <w:spacing w:line="276" w:lineRule="auto"/>
        <w:ind w:right="-738"/>
        <w:contextualSpacing/>
        <w:rPr>
          <w:rFonts w:ascii="Times New Roman" w:hAnsi="Times New Roman"/>
          <w:szCs w:val="24"/>
          <w:lang w:eastAsia="en-GB"/>
        </w:rPr>
      </w:pPr>
      <w:r w:rsidRPr="008C60E3">
        <w:rPr>
          <w:rFonts w:ascii="Times New Roman" w:hAnsi="Times New Roman"/>
          <w:szCs w:val="24"/>
          <w:lang w:eastAsia="en-GB"/>
        </w:rPr>
        <w:t xml:space="preserve">Figure </w:t>
      </w:r>
      <w:r w:rsidR="004C460C">
        <w:rPr>
          <w:rFonts w:ascii="Times New Roman" w:hAnsi="Times New Roman"/>
          <w:szCs w:val="24"/>
          <w:lang w:eastAsia="en-GB"/>
        </w:rPr>
        <w:t>2</w:t>
      </w:r>
      <w:r w:rsidRPr="008C60E3">
        <w:rPr>
          <w:rFonts w:ascii="Times New Roman" w:hAnsi="Times New Roman"/>
          <w:szCs w:val="24"/>
          <w:lang w:eastAsia="en-GB"/>
        </w:rPr>
        <w:t xml:space="preserve"> here</w:t>
      </w:r>
    </w:p>
    <w:p w14:paraId="362AC779" w14:textId="77777777" w:rsidR="00E351FC" w:rsidRPr="00834F69" w:rsidRDefault="00E351FC" w:rsidP="00E351FC">
      <w:pPr>
        <w:tabs>
          <w:tab w:val="left" w:pos="284"/>
        </w:tabs>
        <w:spacing w:line="276" w:lineRule="auto"/>
        <w:ind w:right="-738"/>
        <w:contextualSpacing/>
        <w:rPr>
          <w:rFonts w:ascii="Times New Roman" w:hAnsi="Times New Roman"/>
          <w:sz w:val="20"/>
          <w:lang w:eastAsia="en-GB"/>
        </w:rPr>
      </w:pPr>
    </w:p>
    <w:p w14:paraId="22334034"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As seen in Figure 2 the averages ranged from 76% to 66% with two categories, Regional Town and Large Rural reported lower than average success percentages. The Large Rural category recorded both the highest (100%) and lowest (28%) individual scores. Whilst the Rural category had the highest average score, only one Annual Report had the information required which may mean the true project success measure for that category was not captured.  </w:t>
      </w:r>
    </w:p>
    <w:p w14:paraId="2332DD2A"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715B58AA" w14:textId="06D66D25" w:rsidR="00E351FC"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average number of projects reported against was 139 of which the lowest number of projects reported was nine and the highest was 371. Nine councils did not report individually on projects and a percentage figure for project success was stated and used in the </w:t>
      </w:r>
      <w:r w:rsidR="009A2CF2">
        <w:rPr>
          <w:rFonts w:ascii="Times New Roman" w:hAnsi="Times New Roman"/>
          <w:szCs w:val="24"/>
          <w:lang w:eastAsia="en-GB"/>
        </w:rPr>
        <w:t>results</w:t>
      </w:r>
      <w:r w:rsidRPr="008C60E3">
        <w:rPr>
          <w:rFonts w:ascii="Times New Roman" w:hAnsi="Times New Roman"/>
          <w:szCs w:val="24"/>
          <w:lang w:eastAsia="en-GB"/>
        </w:rPr>
        <w:t xml:space="preserve">.  </w:t>
      </w:r>
    </w:p>
    <w:p w14:paraId="58656BBD" w14:textId="77777777" w:rsidR="004C460C" w:rsidRDefault="004C460C" w:rsidP="00E351FC">
      <w:pPr>
        <w:tabs>
          <w:tab w:val="left" w:pos="284"/>
        </w:tabs>
        <w:spacing w:line="276" w:lineRule="auto"/>
        <w:ind w:right="-738"/>
        <w:contextualSpacing/>
        <w:jc w:val="both"/>
        <w:rPr>
          <w:rFonts w:ascii="Times New Roman" w:hAnsi="Times New Roman"/>
          <w:szCs w:val="24"/>
          <w:lang w:eastAsia="en-GB"/>
        </w:rPr>
      </w:pPr>
    </w:p>
    <w:p w14:paraId="45E326C6" w14:textId="77777777" w:rsidR="004C460C" w:rsidRDefault="004C460C" w:rsidP="004C460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For </w:t>
      </w:r>
      <w:r w:rsidRPr="00950BD5">
        <w:rPr>
          <w:rFonts w:ascii="Times New Roman" w:hAnsi="Times New Roman"/>
          <w:szCs w:val="24"/>
          <w:lang w:eastAsia="en-GB"/>
        </w:rPr>
        <w:t xml:space="preserve">Metropolitan and Metropolitan Fringe both had </w:t>
      </w:r>
      <w:r w:rsidR="000D5602">
        <w:rPr>
          <w:rFonts w:ascii="Times New Roman" w:hAnsi="Times New Roman"/>
          <w:szCs w:val="24"/>
          <w:lang w:eastAsia="en-GB"/>
        </w:rPr>
        <w:t xml:space="preserve">an average of </w:t>
      </w:r>
      <w:r w:rsidRPr="00950BD5">
        <w:rPr>
          <w:rFonts w:ascii="Times New Roman" w:hAnsi="Times New Roman"/>
          <w:szCs w:val="24"/>
          <w:lang w:eastAsia="en-GB"/>
        </w:rPr>
        <w:t xml:space="preserve">over 1,000 FTEs (1,058 and 1,294 respectively), with Rural having </w:t>
      </w:r>
      <w:r w:rsidR="000D5602">
        <w:rPr>
          <w:rFonts w:ascii="Times New Roman" w:hAnsi="Times New Roman"/>
          <w:szCs w:val="24"/>
          <w:lang w:eastAsia="en-GB"/>
        </w:rPr>
        <w:t xml:space="preserve">an average </w:t>
      </w:r>
      <w:r w:rsidRPr="00950BD5">
        <w:rPr>
          <w:rFonts w:ascii="Times New Roman" w:hAnsi="Times New Roman"/>
          <w:szCs w:val="24"/>
          <w:lang w:eastAsia="en-GB"/>
        </w:rPr>
        <w:t>less than 100 (89).</w:t>
      </w:r>
      <w:r>
        <w:rPr>
          <w:rFonts w:ascii="Times New Roman" w:hAnsi="Times New Roman"/>
          <w:szCs w:val="24"/>
          <w:lang w:eastAsia="en-GB"/>
        </w:rPr>
        <w:t xml:space="preserve"> The OLG categories with larger organisational size also had higher total revenue. The distribution of revenue and size for the OLG categories is shown in Figure 3.</w:t>
      </w:r>
    </w:p>
    <w:p w14:paraId="36535019" w14:textId="77777777" w:rsidR="004C460C" w:rsidRPr="007E6161" w:rsidRDefault="004C460C" w:rsidP="004C460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 </w:t>
      </w:r>
    </w:p>
    <w:p w14:paraId="3534A494" w14:textId="77777777" w:rsidR="004C460C" w:rsidRDefault="004C460C" w:rsidP="004C460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Figure 3. Average employee FTE and average total revenue for each OLG NSW category (Source: Authors)</w:t>
      </w:r>
    </w:p>
    <w:p w14:paraId="3F9A7EE8" w14:textId="77777777" w:rsidR="004C460C" w:rsidRDefault="004C460C" w:rsidP="004C460C">
      <w:pPr>
        <w:tabs>
          <w:tab w:val="left" w:pos="284"/>
        </w:tabs>
        <w:spacing w:line="276" w:lineRule="auto"/>
        <w:ind w:right="-738"/>
        <w:contextualSpacing/>
        <w:jc w:val="both"/>
        <w:rPr>
          <w:rFonts w:ascii="Times New Roman" w:hAnsi="Times New Roman"/>
          <w:szCs w:val="24"/>
          <w:lang w:eastAsia="en-GB"/>
        </w:rPr>
      </w:pPr>
    </w:p>
    <w:p w14:paraId="25036C84" w14:textId="77777777" w:rsidR="004C460C" w:rsidRDefault="004C460C" w:rsidP="004C460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Figure 3 here</w:t>
      </w:r>
    </w:p>
    <w:p w14:paraId="0F66BC74" w14:textId="77777777" w:rsidR="004C460C" w:rsidRDefault="004C460C" w:rsidP="004C460C">
      <w:pPr>
        <w:tabs>
          <w:tab w:val="left" w:pos="284"/>
        </w:tabs>
        <w:spacing w:line="276" w:lineRule="auto"/>
        <w:ind w:right="-738"/>
        <w:contextualSpacing/>
        <w:jc w:val="both"/>
        <w:rPr>
          <w:rFonts w:ascii="Times New Roman" w:hAnsi="Times New Roman"/>
          <w:szCs w:val="24"/>
          <w:lang w:eastAsia="en-GB"/>
        </w:rPr>
      </w:pPr>
    </w:p>
    <w:p w14:paraId="73585FF7" w14:textId="2E9ABBAC" w:rsidR="004C460C" w:rsidRDefault="004C460C" w:rsidP="004C460C">
      <w:pPr>
        <w:tabs>
          <w:tab w:val="left" w:pos="284"/>
        </w:tabs>
        <w:spacing w:line="276" w:lineRule="auto"/>
        <w:ind w:right="-738"/>
        <w:contextualSpacing/>
        <w:jc w:val="both"/>
        <w:rPr>
          <w:szCs w:val="24"/>
        </w:rPr>
      </w:pPr>
      <w:r w:rsidRPr="004C460C">
        <w:rPr>
          <w:szCs w:val="24"/>
        </w:rPr>
        <w:t xml:space="preserve">Metropolitan Fringe had the highest FTE, as these councils tend to have one </w:t>
      </w:r>
      <w:r w:rsidR="000D5602">
        <w:rPr>
          <w:szCs w:val="24"/>
        </w:rPr>
        <w:t xml:space="preserve">populous </w:t>
      </w:r>
      <w:r w:rsidRPr="004C460C">
        <w:rPr>
          <w:szCs w:val="24"/>
        </w:rPr>
        <w:t xml:space="preserve">major centre, </w:t>
      </w:r>
      <w:proofErr w:type="gramStart"/>
      <w:r w:rsidRPr="004C460C">
        <w:rPr>
          <w:szCs w:val="24"/>
        </w:rPr>
        <w:t>similar to</w:t>
      </w:r>
      <w:proofErr w:type="gramEnd"/>
      <w:r w:rsidRPr="004C460C">
        <w:rPr>
          <w:szCs w:val="24"/>
        </w:rPr>
        <w:t xml:space="preserve"> a Metropolitan council, but also several smaller satellite centres. Thus</w:t>
      </w:r>
      <w:r w:rsidR="001219DB">
        <w:rPr>
          <w:szCs w:val="24"/>
        </w:rPr>
        <w:t>,</w:t>
      </w:r>
      <w:r w:rsidRPr="004C460C">
        <w:rPr>
          <w:szCs w:val="24"/>
        </w:rPr>
        <w:t xml:space="preserve"> they may </w:t>
      </w:r>
      <w:proofErr w:type="gramStart"/>
      <w:r w:rsidRPr="004C460C">
        <w:rPr>
          <w:szCs w:val="24"/>
        </w:rPr>
        <w:t>be considered to be</w:t>
      </w:r>
      <w:proofErr w:type="gramEnd"/>
      <w:r w:rsidRPr="004C460C">
        <w:rPr>
          <w:szCs w:val="24"/>
        </w:rPr>
        <w:t xml:space="preserve"> a blend of the characteristics of Metropolitan and the Rural/Regional categories. The metropolitan categories also service a much larger population necessitating more staff. For example, the number of new developments which must be assessed and inspected is much greater in the metropolitan categories. Regional Towns are </w:t>
      </w:r>
      <w:proofErr w:type="gramStart"/>
      <w:r w:rsidRPr="004C460C">
        <w:rPr>
          <w:szCs w:val="24"/>
        </w:rPr>
        <w:t>similar to</w:t>
      </w:r>
      <w:proofErr w:type="gramEnd"/>
      <w:r w:rsidRPr="004C460C">
        <w:rPr>
          <w:szCs w:val="24"/>
        </w:rPr>
        <w:t xml:space="preserve"> Metropolitan Fringe with regard to satellite centres, but with a much lower service population.</w:t>
      </w:r>
    </w:p>
    <w:p w14:paraId="20667EEB" w14:textId="77777777" w:rsidR="00BC3FBE" w:rsidRDefault="00BC3FBE" w:rsidP="004C460C">
      <w:pPr>
        <w:tabs>
          <w:tab w:val="left" w:pos="284"/>
        </w:tabs>
        <w:spacing w:line="276" w:lineRule="auto"/>
        <w:ind w:right="-738"/>
        <w:contextualSpacing/>
        <w:jc w:val="both"/>
        <w:rPr>
          <w:szCs w:val="24"/>
        </w:rPr>
      </w:pPr>
    </w:p>
    <w:p w14:paraId="171FBE56" w14:textId="77777777" w:rsidR="00BC3FBE" w:rsidRPr="004C460C" w:rsidRDefault="00BC3FBE" w:rsidP="004C460C">
      <w:pPr>
        <w:tabs>
          <w:tab w:val="left" w:pos="284"/>
        </w:tabs>
        <w:spacing w:line="276" w:lineRule="auto"/>
        <w:ind w:right="-738"/>
        <w:contextualSpacing/>
        <w:jc w:val="both"/>
        <w:rPr>
          <w:rFonts w:ascii="Times New Roman" w:hAnsi="Times New Roman"/>
          <w:szCs w:val="24"/>
          <w:lang w:eastAsia="en-GB"/>
        </w:rPr>
      </w:pPr>
      <w:r>
        <w:rPr>
          <w:szCs w:val="24"/>
        </w:rPr>
        <w:t xml:space="preserve">After calculating the figures for the three variables, average project success, average organisational revenue and average organisational size, a correlation analysis was </w:t>
      </w:r>
      <w:r>
        <w:rPr>
          <w:szCs w:val="24"/>
        </w:rPr>
        <w:lastRenderedPageBreak/>
        <w:t>undertaken. In terms of project success and organisational size no correlation was found.</w:t>
      </w:r>
      <w:r w:rsidR="002F5C92">
        <w:rPr>
          <w:szCs w:val="24"/>
        </w:rPr>
        <w:t xml:space="preserve"> In this case the size of the council did not determine the project success level. With regards to project success and organisational revenue a negative minor correlation was found. This means that those councils with lower revenue were slightly more likely to have higher project success than those with higher revenue. </w:t>
      </w:r>
    </w:p>
    <w:p w14:paraId="37D5AF3A" w14:textId="77777777" w:rsidR="00E351FC" w:rsidRPr="008C60E3" w:rsidRDefault="00F96854" w:rsidP="008C60E3">
      <w:pPr>
        <w:pStyle w:val="HeadL1"/>
        <w:tabs>
          <w:tab w:val="clear" w:pos="360"/>
        </w:tabs>
        <w:spacing w:line="276" w:lineRule="auto"/>
        <w:ind w:left="0" w:firstLine="0"/>
        <w:rPr>
          <w:rFonts w:cs="Arial"/>
          <w:bCs/>
          <w:kern w:val="32"/>
          <w:sz w:val="24"/>
          <w:szCs w:val="32"/>
          <w:lang w:eastAsia="en-GB"/>
        </w:rPr>
      </w:pPr>
      <w:r>
        <w:rPr>
          <w:rFonts w:cs="Arial"/>
          <w:bCs/>
          <w:kern w:val="32"/>
          <w:sz w:val="24"/>
          <w:szCs w:val="32"/>
          <w:lang w:eastAsia="en-GB"/>
        </w:rPr>
        <w:t>6</w:t>
      </w:r>
      <w:r w:rsidR="00E351FC" w:rsidRPr="008C60E3">
        <w:rPr>
          <w:rFonts w:cs="Arial"/>
          <w:bCs/>
          <w:kern w:val="32"/>
          <w:sz w:val="24"/>
          <w:szCs w:val="32"/>
          <w:lang w:eastAsia="en-GB"/>
        </w:rPr>
        <w:t xml:space="preserve"> Discussion</w:t>
      </w:r>
    </w:p>
    <w:p w14:paraId="1BB01093"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roofErr w:type="gramStart"/>
      <w:r w:rsidRPr="008C60E3">
        <w:rPr>
          <w:rFonts w:ascii="Times New Roman" w:hAnsi="Times New Roman"/>
          <w:szCs w:val="24"/>
          <w:lang w:eastAsia="en-GB"/>
        </w:rPr>
        <w:t>A number of</w:t>
      </w:r>
      <w:proofErr w:type="gramEnd"/>
      <w:r w:rsidRPr="008C60E3">
        <w:rPr>
          <w:rFonts w:ascii="Times New Roman" w:hAnsi="Times New Roman"/>
          <w:szCs w:val="24"/>
          <w:lang w:eastAsia="en-GB"/>
        </w:rPr>
        <w:t xml:space="preserve"> categorisation systems for NSW councils have been developed over the years by both the State and Federal government. The systems attempt to recognize the significant variation in council characteristics so that comparisons are only made with similar councils. The </w:t>
      </w:r>
      <w:r w:rsidR="000D5602">
        <w:rPr>
          <w:rFonts w:ascii="Times New Roman" w:hAnsi="Times New Roman"/>
          <w:szCs w:val="24"/>
          <w:lang w:eastAsia="en-GB"/>
        </w:rPr>
        <w:t xml:space="preserve">former </w:t>
      </w:r>
      <w:r w:rsidRPr="008C60E3">
        <w:rPr>
          <w:rFonts w:ascii="Times New Roman" w:hAnsi="Times New Roman"/>
          <w:szCs w:val="24"/>
          <w:lang w:eastAsia="en-GB"/>
        </w:rPr>
        <w:t xml:space="preserve">annual publication CINSWLG is one such example of comparative data being used in this way. Turning to project performance reporting, the expected variation between the categories is not present. The average reported project success level was 68% ±17%, which is a relatively high success rate although there is a significant deviation amongst the 40 councils. Much of the data generally used to determine project </w:t>
      </w:r>
      <w:r w:rsidR="000D5602">
        <w:rPr>
          <w:rFonts w:ascii="Times New Roman" w:hAnsi="Times New Roman"/>
          <w:szCs w:val="24"/>
          <w:lang w:eastAsia="en-GB"/>
        </w:rPr>
        <w:t>success</w:t>
      </w:r>
      <w:r w:rsidR="000D5602" w:rsidRPr="008C60E3">
        <w:rPr>
          <w:rFonts w:ascii="Times New Roman" w:hAnsi="Times New Roman"/>
          <w:szCs w:val="24"/>
          <w:lang w:eastAsia="en-GB"/>
        </w:rPr>
        <w:t xml:space="preserve"> </w:t>
      </w:r>
      <w:r w:rsidRPr="008C60E3">
        <w:rPr>
          <w:rFonts w:ascii="Times New Roman" w:hAnsi="Times New Roman"/>
          <w:szCs w:val="24"/>
          <w:lang w:eastAsia="en-GB"/>
        </w:rPr>
        <w:t xml:space="preserve">such as expenditure against budget has not been reported.  </w:t>
      </w:r>
    </w:p>
    <w:p w14:paraId="4C789C5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4A126D47" w14:textId="28CA4229" w:rsidR="006E5D7D"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relationship between projects and operational services is not being reported under the current mechanisms. Poor project delivery can result in greater operational </w:t>
      </w:r>
      <w:proofErr w:type="gramStart"/>
      <w:r w:rsidRPr="008C60E3">
        <w:rPr>
          <w:rFonts w:ascii="Times New Roman" w:hAnsi="Times New Roman"/>
          <w:szCs w:val="24"/>
          <w:lang w:eastAsia="en-GB"/>
        </w:rPr>
        <w:t>costs</w:t>
      </w:r>
      <w:proofErr w:type="gramEnd"/>
      <w:r w:rsidRPr="008C60E3">
        <w:rPr>
          <w:rFonts w:ascii="Times New Roman" w:hAnsi="Times New Roman"/>
          <w:szCs w:val="24"/>
          <w:lang w:eastAsia="en-GB"/>
        </w:rPr>
        <w:t xml:space="preserve"> yet project performance is self-reported and unlike financial results is not independently audited. </w:t>
      </w:r>
      <w:proofErr w:type="gramStart"/>
      <w:r w:rsidR="00277FBA" w:rsidRPr="008C60E3">
        <w:rPr>
          <w:rFonts w:ascii="Times New Roman" w:hAnsi="Times New Roman"/>
          <w:szCs w:val="24"/>
          <w:lang w:eastAsia="en-GB"/>
        </w:rPr>
        <w:t>In the event that</w:t>
      </w:r>
      <w:proofErr w:type="gramEnd"/>
      <w:r w:rsidR="00277FBA" w:rsidRPr="008C60E3">
        <w:rPr>
          <w:rFonts w:ascii="Times New Roman" w:hAnsi="Times New Roman"/>
          <w:szCs w:val="24"/>
          <w:lang w:eastAsia="en-GB"/>
        </w:rPr>
        <w:t xml:space="preserve"> a prescriptive measure was given it would be unfeasible to audit each project undertaken within NSW local government. </w:t>
      </w:r>
      <w:r w:rsidRPr="008C60E3">
        <w:rPr>
          <w:rFonts w:ascii="Times New Roman" w:hAnsi="Times New Roman"/>
          <w:szCs w:val="24"/>
          <w:lang w:eastAsia="en-GB"/>
        </w:rPr>
        <w:t xml:space="preserve">The self-reporting nature has led to selective presentation of project performance which can be considered a form of gaming. </w:t>
      </w:r>
      <w:proofErr w:type="gramStart"/>
      <w:r w:rsidRPr="008C60E3">
        <w:rPr>
          <w:rFonts w:ascii="Times New Roman" w:hAnsi="Times New Roman"/>
          <w:szCs w:val="24"/>
          <w:lang w:eastAsia="en-GB"/>
        </w:rPr>
        <w:t>The majority of</w:t>
      </w:r>
      <w:proofErr w:type="gramEnd"/>
      <w:r w:rsidRPr="008C60E3">
        <w:rPr>
          <w:rFonts w:ascii="Times New Roman" w:hAnsi="Times New Roman"/>
          <w:szCs w:val="24"/>
          <w:lang w:eastAsia="en-GB"/>
        </w:rPr>
        <w:t xml:space="preserve"> councils (69%) did not present sufficient information in their Annual Reports to make an assessment of project performance. </w:t>
      </w:r>
      <w:r w:rsidR="006E5D7D" w:rsidRPr="008C60E3">
        <w:rPr>
          <w:rFonts w:ascii="Times New Roman" w:hAnsi="Times New Roman"/>
          <w:szCs w:val="24"/>
          <w:lang w:eastAsia="en-GB"/>
        </w:rPr>
        <w:t>Instead,</w:t>
      </w:r>
      <w:r w:rsidRPr="008C60E3">
        <w:rPr>
          <w:rFonts w:ascii="Times New Roman" w:hAnsi="Times New Roman"/>
          <w:szCs w:val="24"/>
          <w:lang w:eastAsia="en-GB"/>
        </w:rPr>
        <w:t xml:space="preserve"> the councils selected a few successful projects of significant cost which were described in detail. </w:t>
      </w:r>
    </w:p>
    <w:p w14:paraId="3FF7150F" w14:textId="77777777" w:rsidR="006E5D7D" w:rsidRDefault="006E5D7D" w:rsidP="00E351FC">
      <w:pPr>
        <w:tabs>
          <w:tab w:val="left" w:pos="284"/>
        </w:tabs>
        <w:spacing w:line="276" w:lineRule="auto"/>
        <w:ind w:right="-738"/>
        <w:contextualSpacing/>
        <w:jc w:val="both"/>
        <w:rPr>
          <w:rFonts w:ascii="Times New Roman" w:hAnsi="Times New Roman"/>
          <w:szCs w:val="24"/>
          <w:lang w:eastAsia="en-GB"/>
        </w:rPr>
      </w:pPr>
    </w:p>
    <w:p w14:paraId="04EFB93E" w14:textId="77777777" w:rsidR="00E351FC"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Projects were also hidden within operational programs with vague descriptors such as ‘on-going’ or ‘on-track’. Councils made use of graphics to present organisational success and </w:t>
      </w:r>
      <w:proofErr w:type="gramStart"/>
      <w:r w:rsidRPr="008C60E3">
        <w:rPr>
          <w:rFonts w:ascii="Times New Roman" w:hAnsi="Times New Roman"/>
          <w:szCs w:val="24"/>
          <w:lang w:eastAsia="en-GB"/>
        </w:rPr>
        <w:t>despite the fact that</w:t>
      </w:r>
      <w:proofErr w:type="gramEnd"/>
      <w:r w:rsidRPr="008C60E3">
        <w:rPr>
          <w:rFonts w:ascii="Times New Roman" w:hAnsi="Times New Roman"/>
          <w:szCs w:val="24"/>
          <w:lang w:eastAsia="en-GB"/>
        </w:rPr>
        <w:t xml:space="preserve"> projects were due for completion, in most cases an ‘on-track’ project was presented as a success. Of the remaining projects there was no consistency in how they were reported; none reported on adherence to project schedule, and the majority did not report on expenditure. In contrast financial data is required to be </w:t>
      </w:r>
      <w:r w:rsidR="00277FBA">
        <w:rPr>
          <w:rFonts w:ascii="Times New Roman" w:hAnsi="Times New Roman"/>
          <w:szCs w:val="24"/>
          <w:lang w:eastAsia="en-GB"/>
        </w:rPr>
        <w:t xml:space="preserve">prepared to adopted standards and </w:t>
      </w:r>
      <w:r w:rsidRPr="008C60E3">
        <w:rPr>
          <w:rFonts w:ascii="Times New Roman" w:hAnsi="Times New Roman"/>
          <w:szCs w:val="24"/>
          <w:lang w:eastAsia="en-GB"/>
        </w:rPr>
        <w:t xml:space="preserve">independently audited each year. This is in important difference between the information collected in relation to project performance. The result is consistent with </w:t>
      </w:r>
      <w:r w:rsidRPr="008C60E3">
        <w:rPr>
          <w:rFonts w:ascii="Times New Roman" w:hAnsi="Times New Roman"/>
          <w:szCs w:val="24"/>
          <w:lang w:eastAsia="en-GB"/>
        </w:rPr>
        <w:lastRenderedPageBreak/>
        <w:t xml:space="preserve">previous studies which have shown government agencies report on performance in a selective manner </w:t>
      </w:r>
      <w:r w:rsidR="00277FBA">
        <w:rPr>
          <w:rFonts w:ascii="Times New Roman" w:hAnsi="Times New Roman"/>
          <w:szCs w:val="24"/>
          <w:lang w:eastAsia="en-GB"/>
        </w:rPr>
        <w:t>and/</w:t>
      </w:r>
      <w:r w:rsidRPr="008C60E3">
        <w:rPr>
          <w:rFonts w:ascii="Times New Roman" w:hAnsi="Times New Roman"/>
          <w:szCs w:val="24"/>
          <w:lang w:eastAsia="en-GB"/>
        </w:rPr>
        <w:t xml:space="preserve">or gaming to present the organisation in the best possible way.  </w:t>
      </w:r>
    </w:p>
    <w:p w14:paraId="7BA23C5D" w14:textId="77777777" w:rsidR="00F96854" w:rsidRDefault="00F96854" w:rsidP="00E351FC">
      <w:pPr>
        <w:tabs>
          <w:tab w:val="left" w:pos="284"/>
        </w:tabs>
        <w:spacing w:line="276" w:lineRule="auto"/>
        <w:ind w:right="-738"/>
        <w:contextualSpacing/>
        <w:jc w:val="both"/>
        <w:rPr>
          <w:rFonts w:ascii="Times New Roman" w:hAnsi="Times New Roman"/>
          <w:szCs w:val="24"/>
          <w:lang w:eastAsia="en-GB"/>
        </w:rPr>
      </w:pPr>
    </w:p>
    <w:p w14:paraId="19F2A882" w14:textId="77777777" w:rsidR="00F96854" w:rsidRPr="008C60E3" w:rsidRDefault="00FB02F7" w:rsidP="00E351F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 xml:space="preserve">Performance reporting has in the past been used to justify amalgamations of NSW councils. </w:t>
      </w:r>
      <w:r w:rsidR="00B873EB">
        <w:rPr>
          <w:rFonts w:ascii="Times New Roman" w:hAnsi="Times New Roman"/>
          <w:szCs w:val="24"/>
          <w:lang w:eastAsia="en-GB"/>
        </w:rPr>
        <w:t xml:space="preserve">The results of this research do not support the arguments that larger councils improve performance. No correlation was found between larger organisations and project performance and a minor negative correlation resulted when correlating total revenue and project performance. This adds to the existing body of empirical evidence supporting no economy of scale in NSW local government in relation to project performance reporting. </w:t>
      </w:r>
    </w:p>
    <w:p w14:paraId="0D374C49" w14:textId="77777777" w:rsidR="00E351FC" w:rsidRPr="008C60E3" w:rsidRDefault="00F96854" w:rsidP="00E351FC">
      <w:pPr>
        <w:pStyle w:val="Heading1"/>
        <w:tabs>
          <w:tab w:val="left" w:pos="284"/>
        </w:tabs>
        <w:spacing w:line="276" w:lineRule="auto"/>
        <w:ind w:right="-737"/>
        <w:jc w:val="both"/>
        <w:rPr>
          <w:i/>
          <w:iCs/>
          <w:kern w:val="0"/>
          <w:szCs w:val="28"/>
        </w:rPr>
      </w:pPr>
      <w:r>
        <w:rPr>
          <w:i/>
          <w:iCs/>
          <w:kern w:val="0"/>
          <w:szCs w:val="28"/>
        </w:rPr>
        <w:t>6</w:t>
      </w:r>
      <w:r w:rsidR="00E351FC" w:rsidRPr="008C60E3">
        <w:rPr>
          <w:i/>
          <w:iCs/>
          <w:kern w:val="0"/>
          <w:szCs w:val="28"/>
        </w:rPr>
        <w:t>.1 Mandatory Reporting</w:t>
      </w:r>
    </w:p>
    <w:p w14:paraId="1D7643D2" w14:textId="5F5DA6CA"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Whilst there is no mandatory reporting requirement or process for projects, there are two areas related specifically to project</w:t>
      </w:r>
      <w:r w:rsidR="009A2CF2">
        <w:rPr>
          <w:rFonts w:ascii="Times New Roman" w:hAnsi="Times New Roman"/>
          <w:szCs w:val="24"/>
          <w:lang w:eastAsia="en-GB"/>
        </w:rPr>
        <w:t xml:space="preserve"> reporting</w:t>
      </w:r>
      <w:r w:rsidRPr="008C60E3">
        <w:rPr>
          <w:rFonts w:ascii="Times New Roman" w:hAnsi="Times New Roman"/>
          <w:szCs w:val="24"/>
          <w:lang w:eastAsia="en-GB"/>
        </w:rPr>
        <w:t xml:space="preserve"> with which councils must currently comply. The two areas demonstrate that </w:t>
      </w:r>
      <w:r w:rsidR="009A2CF2">
        <w:rPr>
          <w:rFonts w:ascii="Times New Roman" w:hAnsi="Times New Roman"/>
          <w:szCs w:val="24"/>
          <w:lang w:eastAsia="en-GB"/>
        </w:rPr>
        <w:t xml:space="preserve">consistent </w:t>
      </w:r>
      <w:r w:rsidRPr="008C60E3">
        <w:rPr>
          <w:rFonts w:ascii="Times New Roman" w:hAnsi="Times New Roman"/>
          <w:szCs w:val="24"/>
          <w:lang w:eastAsia="en-GB"/>
        </w:rPr>
        <w:t xml:space="preserve">project reporting can occur for NSW local government and what is currently reported can be expanded.  </w:t>
      </w:r>
    </w:p>
    <w:p w14:paraId="5D1484B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77342782"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Firstly the Capital Expenditure Guidelines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NSW","given":"","non-dropping-particle":"","parse-names":false,"suffix":""}],"id":"ITEM-1","issue":"December","issued":{"date-parts":[["2010"]]},"title":"Capital Expenditure Guidelines","type":"report"},"uris":["http://www.mendeley.com/documents/?uuid=b8893317-10db-4eec-b50b-581ffe3b6e5f"]}],"mendeley":{"formattedCitation":"(Office of Local Government NSW 2010)","manualFormatting":"(OLG NSW, 2010)","plainTextFormattedCitation":"(Office of Local Government NSW 2010)","previouslyFormattedCitation":"(Office of Local Government NSW 2010)"},"properties":{"noteIndex":0},"schema":"https://github.com/citation-style-language/schema/raw/master/csl-citation.json"}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2010)</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which are issued in accordance with the Local Government Act (1993), </w:t>
      </w:r>
      <w:r w:rsidR="00277FBA">
        <w:rPr>
          <w:rFonts w:ascii="Times New Roman" w:hAnsi="Times New Roman"/>
          <w:szCs w:val="24"/>
          <w:lang w:eastAsia="en-GB"/>
        </w:rPr>
        <w:t>mandate</w:t>
      </w:r>
      <w:r w:rsidR="00277FBA" w:rsidRPr="008C60E3">
        <w:rPr>
          <w:rFonts w:ascii="Times New Roman" w:hAnsi="Times New Roman"/>
          <w:szCs w:val="24"/>
          <w:lang w:eastAsia="en-GB"/>
        </w:rPr>
        <w:t xml:space="preserve"> </w:t>
      </w:r>
      <w:r w:rsidRPr="008C60E3">
        <w:rPr>
          <w:rFonts w:ascii="Times New Roman" w:hAnsi="Times New Roman"/>
          <w:szCs w:val="24"/>
          <w:lang w:eastAsia="en-GB"/>
        </w:rPr>
        <w:t xml:space="preserve">councils to include in their Annual Report any projects “that are expected to cost in excess of 10% of councils annual ordinary rate revenue or $1 million, whichever is the greater” (OLG NSW, 2010, p.5). The guidelines do not prescribe the method of reporting only to state reporting “which is considered to be best practice” (OLG NSW, 2010, p.20). The ambiguity associated with the definition means that those councils which had a reportable project either reported the name only of the project, or the name and a short description. No success measures were reported.  </w:t>
      </w:r>
    </w:p>
    <w:p w14:paraId="26DCADEC"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7B090EC6"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The second area which requires </w:t>
      </w:r>
      <w:r w:rsidR="00277FBA">
        <w:rPr>
          <w:rFonts w:ascii="Times New Roman" w:hAnsi="Times New Roman"/>
          <w:szCs w:val="24"/>
          <w:lang w:eastAsia="en-GB"/>
        </w:rPr>
        <w:t xml:space="preserve">mandated </w:t>
      </w:r>
      <w:r w:rsidRPr="008C60E3">
        <w:rPr>
          <w:rFonts w:ascii="Times New Roman" w:hAnsi="Times New Roman"/>
          <w:szCs w:val="24"/>
          <w:lang w:eastAsia="en-GB"/>
        </w:rPr>
        <w:t xml:space="preserve">reporting by councils is where a Special Rate Variation (SRV) has been charged by a council. A SRV allows a council to charge additional land rates than otherwise allowed by the maximum allowable rate increase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{"citationItems":[{"id":"ITEM-1","itemData":{"author":[{"dropping-particle":"","family":"Office of Local Government NSW","given":"","non-dropping-particle":"","parse-names":false,"suffix":""}],"id":"ITEM-1","issue":"September 2013","issued":{"date-parts":[["2015"]]},"title":"Guidelines for the preparation of an application for a special variation to general income for 2014/2015","type":"report"},"uris":["http://www.mendeley.com/documents/?uuid=86631347-1489-4a30-8a9f-dda3f222d225"]}],"mendeley":{"formattedCitation":"(Office of Local Government NSW 2015a)","manualFormatting":"(OLG NSW, 2015a)","plainTextFormattedCitation":"(Office of Local Government NSW 2015a)","previouslyFormattedCitation":"(Office of Local Government NSW 2015a)"},"properties":{"noteIndex":0},"schema":"https://github.com/citation-style-language/schema/raw/master/csl-citation.json"}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2015a)</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An SRV does not have to be tied to a particular project or series of projects with funding often used by councils for capital works projects to reduce an infrastructure renewal backlog. Approval of an SRV requires councils to report the income obtained from the variation, the projects/activities funded, details of any changes, and the outcomes achieved (OLG NSW, 2015). The SRV requirements commonly resulted in councils reporting: original budget: revised budget: actual expenditure; and a short </w:t>
      </w:r>
      <w:r w:rsidRPr="008C60E3">
        <w:rPr>
          <w:rFonts w:ascii="Times New Roman" w:hAnsi="Times New Roman"/>
          <w:szCs w:val="24"/>
          <w:lang w:eastAsia="en-GB"/>
        </w:rPr>
        <w:lastRenderedPageBreak/>
        <w:t xml:space="preserve">description of an outcome. For </w:t>
      </w:r>
      <w:proofErr w:type="gramStart"/>
      <w:r w:rsidRPr="008C60E3">
        <w:rPr>
          <w:rFonts w:ascii="Times New Roman" w:hAnsi="Times New Roman"/>
          <w:szCs w:val="24"/>
          <w:lang w:eastAsia="en-GB"/>
        </w:rPr>
        <w:t>example</w:t>
      </w:r>
      <w:proofErr w:type="gramEnd"/>
      <w:r w:rsidRPr="008C60E3">
        <w:rPr>
          <w:rFonts w:ascii="Times New Roman" w:hAnsi="Times New Roman"/>
          <w:szCs w:val="24"/>
          <w:lang w:eastAsia="en-GB"/>
        </w:rPr>
        <w:t xml:space="preserve"> outcomes were described in terms such as ‘fencing of old tip’ and ‘completion of 100 metre footpath’.  </w:t>
      </w:r>
    </w:p>
    <w:p w14:paraId="2588AC2E"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07422A12" w14:textId="37BEF18B"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 xml:space="preserve">As discussed above </w:t>
      </w:r>
      <w:r w:rsidR="009A2CF2">
        <w:rPr>
          <w:rFonts w:ascii="Times New Roman" w:hAnsi="Times New Roman"/>
          <w:szCs w:val="24"/>
          <w:lang w:eastAsia="en-GB"/>
        </w:rPr>
        <w:t>council</w:t>
      </w:r>
      <w:r w:rsidR="009A2CF2" w:rsidRPr="008C60E3">
        <w:rPr>
          <w:rFonts w:ascii="Times New Roman" w:hAnsi="Times New Roman"/>
          <w:szCs w:val="24"/>
          <w:lang w:eastAsia="en-GB"/>
        </w:rPr>
        <w:t xml:space="preserve"> </w:t>
      </w:r>
      <w:r w:rsidRPr="008C60E3">
        <w:rPr>
          <w:rFonts w:ascii="Times New Roman" w:hAnsi="Times New Roman"/>
          <w:szCs w:val="24"/>
          <w:lang w:eastAsia="en-GB"/>
        </w:rPr>
        <w:t xml:space="preserve">Annual Reports focused on achievements against the one-year OP as required by the IP&amp;R framework. Despite the mandatory reporting requirements, </w:t>
      </w:r>
      <w:proofErr w:type="gramStart"/>
      <w:r w:rsidRPr="008C60E3">
        <w:rPr>
          <w:rFonts w:ascii="Times New Roman" w:hAnsi="Times New Roman"/>
          <w:szCs w:val="24"/>
          <w:lang w:eastAsia="en-GB"/>
        </w:rPr>
        <w:t>progress</w:t>
      </w:r>
      <w:proofErr w:type="gramEnd"/>
      <w:r w:rsidRPr="008C60E3">
        <w:rPr>
          <w:rFonts w:ascii="Times New Roman" w:hAnsi="Times New Roman"/>
          <w:szCs w:val="24"/>
          <w:lang w:eastAsia="en-GB"/>
        </w:rPr>
        <w:t xml:space="preserve"> and achievements against Key Performance Indicators (KPIs) continued to be inconsistently reported. Some councils used a traffic light system to report outcomes others used a three or five-level reporting system and others provided a description of progress/achievement. Greater consistency was found in the reporting of the audited financial statements which all conformed to Local Government Code of Accounting Practice and Financial Reporting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URL":"https://www.olg.nsw.gov.au/councils/council-finances/financial-reporting/local-government-code-of-accounting-practice-and-financial-reporting/","accessed":{"date-parts":[["2020","8","4"]]},"author":[{"dropping-particle":"","family":"Office of Local Government NSW","given":"","non-dropping-particle":"","parse-names":false,"suffix":""}],"id":"ITEM-1","issued":{"date-parts":[["2020"]]},"title":"Local Government Code of Accounting Practice and Financial Reporting","type":"webpage"},"uris":["http://www.mendeley.com/documents/?uuid=6d33635d-c8b7-343a-b217-f5fc01428334"]}],"mendeley":{"formattedCitation":"(Office of Local Government NSW 2020)","manualFormatting":"(OLG NSW, 2020)","plainTextFormattedCitation":"(Office of Local Government NSW 2020)","previouslyFormattedCitation":"(Office of Local Government NSW 2020)"},"properties":{"noteIndex":0},"schema":"https://github.com/citation-style-language/schema/raw/master/csl-citation.json"}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(OLG NSW, 2020)</w:t>
      </w:r>
      <w:r w:rsidRPr="008C60E3">
        <w:rPr>
          <w:rFonts w:ascii="Times New Roman" w:hAnsi="Times New Roman"/>
          <w:szCs w:val="24"/>
          <w:lang w:eastAsia="en-GB"/>
        </w:rPr>
        <w:fldChar w:fldCharType="end"/>
      </w:r>
      <w:r w:rsidRPr="008C60E3">
        <w:rPr>
          <w:rFonts w:ascii="Times New Roman" w:hAnsi="Times New Roman"/>
          <w:szCs w:val="24"/>
          <w:lang w:eastAsia="en-GB"/>
        </w:rPr>
        <w:t xml:space="preserve">.  </w:t>
      </w:r>
    </w:p>
    <w:p w14:paraId="1054A159" w14:textId="7777777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
    <w:p w14:paraId="3C77E2E4" w14:textId="7ED29A79" w:rsidR="00E351FC"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This study sought to</w:t>
      </w:r>
      <w:r w:rsidR="009A2CF2">
        <w:rPr>
          <w:rFonts w:ascii="Times New Roman" w:hAnsi="Times New Roman"/>
          <w:szCs w:val="24"/>
          <w:lang w:eastAsia="en-GB"/>
        </w:rPr>
        <w:t xml:space="preserve"> determine h</w:t>
      </w:r>
      <w:r w:rsidRPr="008C60E3">
        <w:rPr>
          <w:rFonts w:ascii="Times New Roman" w:hAnsi="Times New Roman"/>
          <w:szCs w:val="24"/>
          <w:lang w:eastAsia="en-GB"/>
        </w:rPr>
        <w:t xml:space="preserve">ow project success </w:t>
      </w:r>
      <w:r w:rsidR="009A2CF2">
        <w:rPr>
          <w:rFonts w:ascii="Times New Roman" w:hAnsi="Times New Roman"/>
          <w:szCs w:val="24"/>
          <w:lang w:eastAsia="en-GB"/>
        </w:rPr>
        <w:t xml:space="preserve">is </w:t>
      </w:r>
      <w:r w:rsidRPr="008C60E3">
        <w:rPr>
          <w:rFonts w:ascii="Times New Roman" w:hAnsi="Times New Roman"/>
          <w:szCs w:val="24"/>
          <w:lang w:eastAsia="en-GB"/>
        </w:rPr>
        <w:t>being measured and reported by NSW local government</w:t>
      </w:r>
      <w:r w:rsidR="009A2CF2">
        <w:rPr>
          <w:rFonts w:ascii="Times New Roman" w:hAnsi="Times New Roman"/>
          <w:szCs w:val="24"/>
          <w:lang w:eastAsia="en-GB"/>
        </w:rPr>
        <w:t xml:space="preserve"> and w</w:t>
      </w:r>
      <w:r w:rsidRPr="008C60E3">
        <w:rPr>
          <w:rFonts w:ascii="Times New Roman" w:hAnsi="Times New Roman"/>
          <w:szCs w:val="24"/>
          <w:lang w:eastAsia="en-GB"/>
        </w:rPr>
        <w:t>hat the current success level of NSW local government projects</w:t>
      </w:r>
      <w:r w:rsidR="009A2CF2">
        <w:rPr>
          <w:rFonts w:ascii="Times New Roman" w:hAnsi="Times New Roman"/>
          <w:szCs w:val="24"/>
          <w:lang w:eastAsia="en-GB"/>
        </w:rPr>
        <w:t xml:space="preserve"> is. </w:t>
      </w:r>
      <w:r w:rsidRPr="008C60E3">
        <w:rPr>
          <w:rFonts w:ascii="Times New Roman" w:hAnsi="Times New Roman"/>
          <w:szCs w:val="24"/>
          <w:lang w:eastAsia="en-GB"/>
        </w:rPr>
        <w:t xml:space="preserve">The methods used by NSW councils to measure and report on projects is variable and inconsistent with only 40 out of 128 providing sufficient information to develop a project success percentage. Using the information available the average project success rate across five OLG NSW categories was calculated at 68% with a deviation of </w:t>
      </w:r>
      <w:r w:rsidR="00277FBA" w:rsidRPr="00277FBA">
        <w:rPr>
          <w:rFonts w:ascii="Times New Roman" w:hAnsi="Times New Roman"/>
          <w:szCs w:val="24"/>
          <w:u w:val="single"/>
          <w:lang w:eastAsia="en-GB"/>
        </w:rPr>
        <w:t>+</w:t>
      </w:r>
      <w:r w:rsidR="009A2CF2">
        <w:rPr>
          <w:rFonts w:ascii="Times New Roman" w:hAnsi="Times New Roman"/>
          <w:szCs w:val="24"/>
          <w:lang w:eastAsia="en-GB"/>
        </w:rPr>
        <w:t xml:space="preserve">17%. </w:t>
      </w:r>
    </w:p>
    <w:p w14:paraId="012D0F4A" w14:textId="77777777" w:rsidR="009A2CF2" w:rsidRDefault="009A2CF2" w:rsidP="00E351FC">
      <w:pPr>
        <w:tabs>
          <w:tab w:val="left" w:pos="284"/>
        </w:tabs>
        <w:spacing w:line="276" w:lineRule="auto"/>
        <w:ind w:right="-738"/>
        <w:contextualSpacing/>
        <w:jc w:val="both"/>
        <w:rPr>
          <w:rFonts w:ascii="Times New Roman" w:hAnsi="Times New Roman"/>
          <w:szCs w:val="24"/>
          <w:lang w:eastAsia="en-GB"/>
        </w:rPr>
      </w:pPr>
    </w:p>
    <w:p w14:paraId="38B049CC" w14:textId="011E72B4" w:rsidR="009A2CF2" w:rsidRPr="008C60E3" w:rsidRDefault="009A2CF2" w:rsidP="00E351F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Furthermore</w:t>
      </w:r>
      <w:r w:rsidR="001219DB">
        <w:rPr>
          <w:rFonts w:ascii="Times New Roman" w:hAnsi="Times New Roman"/>
          <w:szCs w:val="24"/>
          <w:lang w:eastAsia="en-GB"/>
        </w:rPr>
        <w:t>,</w:t>
      </w:r>
      <w:r>
        <w:rPr>
          <w:rFonts w:ascii="Times New Roman" w:hAnsi="Times New Roman"/>
          <w:szCs w:val="24"/>
          <w:lang w:eastAsia="en-GB"/>
        </w:rPr>
        <w:t xml:space="preserve"> </w:t>
      </w:r>
      <w:commentRangeStart w:id="3"/>
      <w:r>
        <w:rPr>
          <w:rFonts w:ascii="Times New Roman" w:hAnsi="Times New Roman"/>
          <w:szCs w:val="24"/>
          <w:lang w:eastAsia="en-GB"/>
        </w:rPr>
        <w:t xml:space="preserve">the sought </w:t>
      </w:r>
      <w:commentRangeEnd w:id="3"/>
      <w:r w:rsidR="009406B3">
        <w:rPr>
          <w:rStyle w:val="CommentReference"/>
        </w:rPr>
        <w:commentReference w:id="3"/>
      </w:r>
      <w:r>
        <w:rPr>
          <w:rFonts w:ascii="Times New Roman" w:hAnsi="Times New Roman"/>
          <w:szCs w:val="24"/>
          <w:lang w:eastAsia="en-GB"/>
        </w:rPr>
        <w:t xml:space="preserve">to determine if the economic theory for scale economies was supported. Based on the results economies of scale were not found for project performance when considered against either organisational size or total revenue. </w:t>
      </w:r>
    </w:p>
    <w:p w14:paraId="5E481394" w14:textId="77777777" w:rsidR="00E351FC" w:rsidRPr="008C60E3" w:rsidRDefault="00F96854" w:rsidP="008C60E3">
      <w:pPr>
        <w:pStyle w:val="HeadL1"/>
        <w:tabs>
          <w:tab w:val="clear" w:pos="360"/>
        </w:tabs>
        <w:spacing w:line="276" w:lineRule="auto"/>
        <w:ind w:left="0" w:firstLine="0"/>
        <w:rPr>
          <w:rFonts w:cs="Arial"/>
          <w:bCs/>
          <w:kern w:val="32"/>
          <w:sz w:val="24"/>
          <w:szCs w:val="32"/>
          <w:lang w:eastAsia="en-GB"/>
        </w:rPr>
      </w:pPr>
      <w:r>
        <w:rPr>
          <w:rFonts w:cs="Arial"/>
          <w:bCs/>
          <w:kern w:val="32"/>
          <w:sz w:val="24"/>
          <w:szCs w:val="32"/>
          <w:lang w:eastAsia="en-GB"/>
        </w:rPr>
        <w:t>7</w:t>
      </w:r>
      <w:r w:rsidR="00E351FC" w:rsidRPr="008C60E3">
        <w:rPr>
          <w:rFonts w:cs="Arial"/>
          <w:bCs/>
          <w:kern w:val="32"/>
          <w:sz w:val="24"/>
          <w:szCs w:val="32"/>
          <w:lang w:eastAsia="en-GB"/>
        </w:rPr>
        <w:t xml:space="preserve"> Conclusion </w:t>
      </w:r>
    </w:p>
    <w:p w14:paraId="0E23EAF0" w14:textId="0823263B" w:rsidR="00ED2E60" w:rsidRDefault="00E351FC" w:rsidP="00E351FC">
      <w:pPr>
        <w:tabs>
          <w:tab w:val="left" w:pos="284"/>
        </w:tabs>
        <w:spacing w:line="276" w:lineRule="auto"/>
        <w:ind w:right="-738"/>
        <w:contextualSpacing/>
        <w:jc w:val="both"/>
        <w:rPr>
          <w:rFonts w:ascii="Times New Roman" w:hAnsi="Times New Roman"/>
          <w:szCs w:val="24"/>
          <w:lang w:eastAsia="en-GB"/>
        </w:rPr>
      </w:pPr>
      <w:r w:rsidRPr="008C60E3">
        <w:rPr>
          <w:rFonts w:ascii="Times New Roman" w:hAnsi="Times New Roman"/>
          <w:szCs w:val="24"/>
          <w:lang w:eastAsia="en-GB"/>
        </w:rPr>
        <w:t>Existing mandatory organisational performance reporting for NSW councils focus</w:t>
      </w:r>
      <w:r w:rsidR="00277FBA">
        <w:rPr>
          <w:rFonts w:ascii="Times New Roman" w:hAnsi="Times New Roman"/>
          <w:szCs w:val="24"/>
          <w:lang w:eastAsia="en-GB"/>
        </w:rPr>
        <w:t>es</w:t>
      </w:r>
      <w:r w:rsidRPr="008C60E3">
        <w:rPr>
          <w:rFonts w:ascii="Times New Roman" w:hAnsi="Times New Roman"/>
          <w:szCs w:val="24"/>
          <w:lang w:eastAsia="en-GB"/>
        </w:rPr>
        <w:t xml:space="preserve"> on operational and financial results as a legacy of the NPM reforms. </w:t>
      </w:r>
      <w:proofErr w:type="gramStart"/>
      <w:r w:rsidRPr="008C60E3">
        <w:rPr>
          <w:rFonts w:ascii="Times New Roman" w:hAnsi="Times New Roman"/>
          <w:szCs w:val="24"/>
          <w:lang w:eastAsia="en-GB"/>
        </w:rPr>
        <w:t>However</w:t>
      </w:r>
      <w:proofErr w:type="gramEnd"/>
      <w:r w:rsidRPr="008C60E3">
        <w:rPr>
          <w:rFonts w:ascii="Times New Roman" w:hAnsi="Times New Roman"/>
          <w:szCs w:val="24"/>
          <w:lang w:eastAsia="en-GB"/>
        </w:rPr>
        <w:t xml:space="preserve"> the IP&amp;R framework allows councils to follow post-NPM reforms, namely focusing on community engagement and transparent decision making. This has resulted in a combination of NPM and post-NPM whereby performance reporting is mandated but not explicit </w:t>
      </w:r>
      <w:r w:rsidR="009A2CF2">
        <w:rPr>
          <w:rFonts w:ascii="Times New Roman" w:hAnsi="Times New Roman"/>
          <w:szCs w:val="24"/>
          <w:lang w:eastAsia="en-GB"/>
        </w:rPr>
        <w:t>n</w:t>
      </w:r>
      <w:r w:rsidRPr="008C60E3">
        <w:rPr>
          <w:rFonts w:ascii="Times New Roman" w:hAnsi="Times New Roman"/>
          <w:szCs w:val="24"/>
          <w:lang w:eastAsia="en-GB"/>
        </w:rPr>
        <w:t>or measurable. Furthermore</w:t>
      </w:r>
      <w:r w:rsidR="001219DB">
        <w:rPr>
          <w:rFonts w:ascii="Times New Roman" w:hAnsi="Times New Roman"/>
          <w:szCs w:val="24"/>
          <w:lang w:eastAsia="en-GB"/>
        </w:rPr>
        <w:t>,</w:t>
      </w:r>
      <w:r w:rsidRPr="008C60E3">
        <w:rPr>
          <w:rFonts w:ascii="Times New Roman" w:hAnsi="Times New Roman"/>
          <w:szCs w:val="24"/>
          <w:lang w:eastAsia="en-GB"/>
        </w:rPr>
        <w:t xml:space="preserve"> project delivery indirectly impacts both operational and financial </w:t>
      </w:r>
      <w:proofErr w:type="gramStart"/>
      <w:r w:rsidRPr="008C60E3">
        <w:rPr>
          <w:rFonts w:ascii="Times New Roman" w:hAnsi="Times New Roman"/>
          <w:szCs w:val="24"/>
          <w:lang w:eastAsia="en-GB"/>
        </w:rPr>
        <w:t>results</w:t>
      </w:r>
      <w:proofErr w:type="gramEnd"/>
      <w:r w:rsidRPr="008C60E3">
        <w:rPr>
          <w:rFonts w:ascii="Times New Roman" w:hAnsi="Times New Roman"/>
          <w:szCs w:val="24"/>
          <w:lang w:eastAsia="en-GB"/>
        </w:rPr>
        <w:t xml:space="preserve"> yet project performance reporting is not mandated, nor is there a prescribed method for doing so and all project performance reporting is self-reported. The self-reporting </w:t>
      </w:r>
      <w:r w:rsidR="00277FBA">
        <w:rPr>
          <w:rFonts w:ascii="Times New Roman" w:hAnsi="Times New Roman"/>
          <w:szCs w:val="24"/>
          <w:lang w:eastAsia="en-GB"/>
        </w:rPr>
        <w:t>of</w:t>
      </w:r>
      <w:r w:rsidRPr="008C60E3">
        <w:rPr>
          <w:rFonts w:ascii="Times New Roman" w:hAnsi="Times New Roman"/>
          <w:szCs w:val="24"/>
          <w:lang w:eastAsia="en-GB"/>
        </w:rPr>
        <w:t xml:space="preserve"> project performance influences </w:t>
      </w:r>
      <w:r w:rsidR="00277FBA">
        <w:rPr>
          <w:rFonts w:ascii="Times New Roman" w:hAnsi="Times New Roman"/>
          <w:szCs w:val="24"/>
          <w:lang w:eastAsia="en-GB"/>
        </w:rPr>
        <w:t>the</w:t>
      </w:r>
      <w:r w:rsidR="00277FBA" w:rsidRPr="008C60E3">
        <w:rPr>
          <w:rFonts w:ascii="Times New Roman" w:hAnsi="Times New Roman"/>
          <w:szCs w:val="24"/>
          <w:lang w:eastAsia="en-GB"/>
        </w:rPr>
        <w:t xml:space="preserve"> </w:t>
      </w:r>
      <w:r w:rsidRPr="008C60E3">
        <w:rPr>
          <w:rFonts w:ascii="Times New Roman" w:hAnsi="Times New Roman"/>
          <w:szCs w:val="24"/>
          <w:lang w:eastAsia="en-GB"/>
        </w:rPr>
        <w:t xml:space="preserve">results of this research in two ways. </w:t>
      </w:r>
      <w:r w:rsidR="00D4546C" w:rsidRPr="008C60E3">
        <w:rPr>
          <w:rFonts w:ascii="Times New Roman" w:hAnsi="Times New Roman"/>
          <w:szCs w:val="24"/>
          <w:lang w:eastAsia="en-GB"/>
        </w:rPr>
        <w:t>Firstly,</w:t>
      </w:r>
      <w:r w:rsidRPr="008C60E3">
        <w:rPr>
          <w:rFonts w:ascii="Times New Roman" w:hAnsi="Times New Roman"/>
          <w:szCs w:val="24"/>
          <w:lang w:eastAsia="en-GB"/>
        </w:rPr>
        <w:t xml:space="preserve"> the ad-hoc nature of project performance reporting resulted in variance in how and </w:t>
      </w:r>
      <w:r w:rsidRPr="008C60E3">
        <w:rPr>
          <w:rFonts w:ascii="Times New Roman" w:hAnsi="Times New Roman"/>
          <w:szCs w:val="24"/>
          <w:lang w:eastAsia="en-GB"/>
        </w:rPr>
        <w:lastRenderedPageBreak/>
        <w:t xml:space="preserve">what was reported. Councils were able to present as much or as little information in relation to projects due to the lack of a specific format. Secondly self-reporting of project performance allowed bias to be introduced to present the organisation in the best possible way.  </w:t>
      </w:r>
    </w:p>
    <w:p w14:paraId="12F8A852" w14:textId="77777777" w:rsidR="00ED2E60" w:rsidRDefault="00ED2E60" w:rsidP="00E351FC">
      <w:pPr>
        <w:tabs>
          <w:tab w:val="left" w:pos="284"/>
        </w:tabs>
        <w:spacing w:line="276" w:lineRule="auto"/>
        <w:ind w:right="-738"/>
        <w:contextualSpacing/>
        <w:jc w:val="both"/>
        <w:rPr>
          <w:rFonts w:ascii="Times New Roman" w:hAnsi="Times New Roman"/>
          <w:szCs w:val="24"/>
          <w:lang w:eastAsia="en-GB"/>
        </w:rPr>
      </w:pPr>
    </w:p>
    <w:p w14:paraId="685E0EEE" w14:textId="078CD0E4" w:rsidR="005A295D" w:rsidRDefault="005A295D" w:rsidP="00E351FC">
      <w:pPr>
        <w:tabs>
          <w:tab w:val="left" w:pos="284"/>
        </w:tabs>
        <w:spacing w:line="276" w:lineRule="auto"/>
        <w:ind w:right="-738"/>
        <w:contextualSpacing/>
        <w:jc w:val="both"/>
        <w:rPr>
          <w:rFonts w:ascii="Times New Roman" w:hAnsi="Times New Roman"/>
          <w:szCs w:val="24"/>
          <w:lang w:eastAsia="en-GB"/>
        </w:rPr>
      </w:pPr>
      <w:r>
        <w:rPr>
          <w:rFonts w:ascii="Times New Roman" w:hAnsi="Times New Roman"/>
          <w:szCs w:val="24"/>
          <w:lang w:eastAsia="en-GB"/>
        </w:rPr>
        <w:t>The result of this research does not support the argument to amalgamate NSW councils to improve performance</w:t>
      </w:r>
      <w:r w:rsidR="00277FBA">
        <w:rPr>
          <w:rFonts w:ascii="Times New Roman" w:hAnsi="Times New Roman"/>
          <w:szCs w:val="24"/>
          <w:lang w:eastAsia="en-GB"/>
        </w:rPr>
        <w:t xml:space="preserve"> based on the economic theory of economies of scale</w:t>
      </w:r>
      <w:r>
        <w:rPr>
          <w:rFonts w:ascii="Times New Roman" w:hAnsi="Times New Roman"/>
          <w:szCs w:val="24"/>
          <w:lang w:eastAsia="en-GB"/>
        </w:rPr>
        <w:t>. The results are limited by the self-reporting nature and lack of data on all council projects. Further investigations are required to audit project performance results. As well as audited project results additional council characteristics such as population density</w:t>
      </w:r>
      <w:r w:rsidR="009A2CF2">
        <w:rPr>
          <w:rFonts w:ascii="Times New Roman" w:hAnsi="Times New Roman"/>
          <w:szCs w:val="24"/>
          <w:lang w:eastAsia="en-GB"/>
        </w:rPr>
        <w:t xml:space="preserve"> or</w:t>
      </w:r>
      <w:r>
        <w:rPr>
          <w:rFonts w:ascii="Times New Roman" w:hAnsi="Times New Roman"/>
          <w:szCs w:val="24"/>
          <w:lang w:eastAsia="en-GB"/>
        </w:rPr>
        <w:t xml:space="preserve"> industrial growth could be included in further data correlations and provide opportunities for further research. Potential future research could also expand the study to areas outside of NSW local government, the area limited in the current study.</w:t>
      </w:r>
    </w:p>
    <w:p w14:paraId="7B6FA2B0" w14:textId="77777777" w:rsidR="005A295D" w:rsidRDefault="005A295D" w:rsidP="00E351FC">
      <w:pPr>
        <w:tabs>
          <w:tab w:val="left" w:pos="284"/>
        </w:tabs>
        <w:spacing w:line="276" w:lineRule="auto"/>
        <w:ind w:right="-738"/>
        <w:contextualSpacing/>
        <w:jc w:val="both"/>
        <w:rPr>
          <w:rFonts w:ascii="Times New Roman" w:hAnsi="Times New Roman"/>
          <w:szCs w:val="24"/>
          <w:lang w:eastAsia="en-GB"/>
        </w:rPr>
      </w:pPr>
    </w:p>
    <w:p w14:paraId="04C13F2A" w14:textId="2B003C67" w:rsidR="00E351FC" w:rsidRPr="008C60E3" w:rsidRDefault="00E351FC" w:rsidP="00E351FC">
      <w:pPr>
        <w:tabs>
          <w:tab w:val="left" w:pos="284"/>
        </w:tabs>
        <w:spacing w:line="276" w:lineRule="auto"/>
        <w:ind w:right="-738"/>
        <w:contextualSpacing/>
        <w:jc w:val="both"/>
        <w:rPr>
          <w:rFonts w:ascii="Times New Roman" w:hAnsi="Times New Roman"/>
          <w:szCs w:val="24"/>
          <w:lang w:eastAsia="en-GB"/>
        </w:rPr>
      </w:pPr>
      <w:proofErr w:type="gramStart"/>
      <w:r w:rsidRPr="008C60E3">
        <w:rPr>
          <w:rFonts w:ascii="Times New Roman" w:hAnsi="Times New Roman"/>
          <w:szCs w:val="24"/>
          <w:lang w:eastAsia="en-GB"/>
        </w:rPr>
        <w:t>In order to</w:t>
      </w:r>
      <w:proofErr w:type="gramEnd"/>
      <w:r w:rsidRPr="008C60E3">
        <w:rPr>
          <w:rFonts w:ascii="Times New Roman" w:hAnsi="Times New Roman"/>
          <w:szCs w:val="24"/>
          <w:lang w:eastAsia="en-GB"/>
        </w:rPr>
        <w:t xml:space="preserve"> determine a more robust result for project performance </w:t>
      </w:r>
      <w:r w:rsidR="005A295D">
        <w:rPr>
          <w:rFonts w:ascii="Times New Roman" w:hAnsi="Times New Roman"/>
          <w:szCs w:val="24"/>
          <w:lang w:eastAsia="en-GB"/>
        </w:rPr>
        <w:t xml:space="preserve">the authors recommend </w:t>
      </w:r>
      <w:r w:rsidRPr="008C60E3">
        <w:rPr>
          <w:rFonts w:ascii="Times New Roman" w:hAnsi="Times New Roman"/>
          <w:szCs w:val="24"/>
          <w:lang w:eastAsia="en-GB"/>
        </w:rPr>
        <w:t xml:space="preserve">a standard reporting method with sufficient information for all of NSW local government projects. </w:t>
      </w:r>
      <w:r w:rsidR="00494775">
        <w:rPr>
          <w:rFonts w:ascii="Times New Roman" w:hAnsi="Times New Roman"/>
          <w:szCs w:val="24"/>
          <w:lang w:eastAsia="en-GB"/>
        </w:rPr>
        <w:t xml:space="preserve">This would also assist with increasing the usefulness and application of performance reporting (Ammons and </w:t>
      </w:r>
      <w:proofErr w:type="spellStart"/>
      <w:r w:rsidR="00494775">
        <w:rPr>
          <w:rFonts w:ascii="Times New Roman" w:hAnsi="Times New Roman"/>
          <w:szCs w:val="24"/>
          <w:lang w:eastAsia="en-GB"/>
        </w:rPr>
        <w:t>Rivenbark</w:t>
      </w:r>
      <w:proofErr w:type="spellEnd"/>
      <w:r w:rsidR="00494775">
        <w:rPr>
          <w:rFonts w:ascii="Times New Roman" w:hAnsi="Times New Roman"/>
          <w:szCs w:val="24"/>
          <w:lang w:eastAsia="en-GB"/>
        </w:rPr>
        <w:t xml:space="preserve">, 2008). </w:t>
      </w:r>
      <w:r w:rsidRPr="008C60E3">
        <w:rPr>
          <w:rFonts w:ascii="Times New Roman" w:hAnsi="Times New Roman"/>
          <w:szCs w:val="24"/>
          <w:lang w:eastAsia="en-GB"/>
        </w:rPr>
        <w:t>Whilst standard reporting would be in line with NPM it would also lead to greater transparency which is a key tenet of post-NPM reforms. It should be noted that mandatory project reporting is currently required in two specific cases. Th</w:t>
      </w:r>
      <w:r w:rsidR="005A295D">
        <w:rPr>
          <w:rFonts w:ascii="Times New Roman" w:hAnsi="Times New Roman"/>
          <w:szCs w:val="24"/>
          <w:lang w:eastAsia="en-GB"/>
        </w:rPr>
        <w:t>e authors recommend</w:t>
      </w:r>
      <w:r w:rsidRPr="008C60E3">
        <w:rPr>
          <w:rFonts w:ascii="Times New Roman" w:hAnsi="Times New Roman"/>
          <w:szCs w:val="24"/>
          <w:lang w:eastAsia="en-GB"/>
        </w:rPr>
        <w:t xml:space="preserve"> expand</w:t>
      </w:r>
      <w:r w:rsidR="005A295D">
        <w:rPr>
          <w:rFonts w:ascii="Times New Roman" w:hAnsi="Times New Roman"/>
          <w:szCs w:val="24"/>
          <w:lang w:eastAsia="en-GB"/>
        </w:rPr>
        <w:t>ing these reports</w:t>
      </w:r>
      <w:r w:rsidRPr="008C60E3">
        <w:rPr>
          <w:rFonts w:ascii="Times New Roman" w:hAnsi="Times New Roman"/>
          <w:szCs w:val="24"/>
          <w:lang w:eastAsia="en-GB"/>
        </w:rPr>
        <w:t xml:space="preserve"> to include more projects by lowering and adjusting the existing criteria and requiring an associated prescribed reporting method. Similarly</w:t>
      </w:r>
      <w:r w:rsidR="00D4546C">
        <w:rPr>
          <w:rFonts w:ascii="Times New Roman" w:hAnsi="Times New Roman"/>
          <w:szCs w:val="24"/>
          <w:lang w:eastAsia="en-GB"/>
        </w:rPr>
        <w:t>,</w:t>
      </w:r>
      <w:r w:rsidRPr="008C60E3">
        <w:rPr>
          <w:rFonts w:ascii="Times New Roman" w:hAnsi="Times New Roman"/>
          <w:szCs w:val="24"/>
          <w:lang w:eastAsia="en-GB"/>
        </w:rPr>
        <w:t xml:space="preserve"> variable project performance reporting in other states, territories and countries could also benefit in the same way by applying a consistent method across all jurisdictions. </w:t>
      </w:r>
      <w:r w:rsidR="002E7D1B">
        <w:rPr>
          <w:rFonts w:ascii="Times New Roman" w:hAnsi="Times New Roman"/>
          <w:szCs w:val="24"/>
          <w:lang w:eastAsia="en-GB"/>
        </w:rPr>
        <w:t>Finally</w:t>
      </w:r>
      <w:r w:rsidR="001219DB">
        <w:rPr>
          <w:rFonts w:ascii="Times New Roman" w:hAnsi="Times New Roman"/>
          <w:szCs w:val="24"/>
          <w:lang w:eastAsia="en-GB"/>
        </w:rPr>
        <w:t>,</w:t>
      </w:r>
      <w:r w:rsidR="002E7D1B">
        <w:rPr>
          <w:rFonts w:ascii="Times New Roman" w:hAnsi="Times New Roman"/>
          <w:szCs w:val="24"/>
          <w:lang w:eastAsia="en-GB"/>
        </w:rPr>
        <w:t xml:space="preserve"> </w:t>
      </w:r>
      <w:r w:rsidR="005A295D">
        <w:rPr>
          <w:rFonts w:ascii="Times New Roman" w:hAnsi="Times New Roman"/>
          <w:szCs w:val="24"/>
          <w:lang w:eastAsia="en-GB"/>
        </w:rPr>
        <w:t xml:space="preserve">the authors recommend </w:t>
      </w:r>
      <w:r w:rsidR="002E7D1B">
        <w:rPr>
          <w:rFonts w:ascii="Times New Roman" w:hAnsi="Times New Roman"/>
          <w:szCs w:val="24"/>
          <w:lang w:eastAsia="en-GB"/>
        </w:rPr>
        <w:t xml:space="preserve">a community survey </w:t>
      </w:r>
      <w:r w:rsidR="005A295D">
        <w:rPr>
          <w:rFonts w:ascii="Times New Roman" w:hAnsi="Times New Roman"/>
          <w:szCs w:val="24"/>
          <w:lang w:eastAsia="en-GB"/>
        </w:rPr>
        <w:t xml:space="preserve">be </w:t>
      </w:r>
      <w:r w:rsidR="002E7D1B">
        <w:rPr>
          <w:rFonts w:ascii="Times New Roman" w:hAnsi="Times New Roman"/>
          <w:szCs w:val="24"/>
          <w:lang w:eastAsia="en-GB"/>
        </w:rPr>
        <w:t xml:space="preserve">undertaken by the NSW </w:t>
      </w:r>
      <w:r w:rsidR="001219DB">
        <w:rPr>
          <w:rFonts w:ascii="Times New Roman" w:hAnsi="Times New Roman"/>
          <w:szCs w:val="24"/>
          <w:lang w:eastAsia="en-GB"/>
        </w:rPr>
        <w:t>S</w:t>
      </w:r>
      <w:r w:rsidR="002E7D1B">
        <w:rPr>
          <w:rFonts w:ascii="Times New Roman" w:hAnsi="Times New Roman"/>
          <w:szCs w:val="24"/>
          <w:lang w:eastAsia="en-GB"/>
        </w:rPr>
        <w:t xml:space="preserve">tate </w:t>
      </w:r>
      <w:r w:rsidR="001219DB">
        <w:rPr>
          <w:rFonts w:ascii="Times New Roman" w:hAnsi="Times New Roman"/>
          <w:szCs w:val="24"/>
          <w:lang w:eastAsia="en-GB"/>
        </w:rPr>
        <w:t>G</w:t>
      </w:r>
      <w:r w:rsidR="002E7D1B">
        <w:rPr>
          <w:rFonts w:ascii="Times New Roman" w:hAnsi="Times New Roman"/>
          <w:szCs w:val="24"/>
          <w:lang w:eastAsia="en-GB"/>
        </w:rPr>
        <w:t xml:space="preserve">overnment </w:t>
      </w:r>
      <w:r w:rsidR="005A295D">
        <w:rPr>
          <w:rFonts w:ascii="Times New Roman" w:hAnsi="Times New Roman"/>
          <w:szCs w:val="24"/>
          <w:lang w:eastAsia="en-GB"/>
        </w:rPr>
        <w:t xml:space="preserve">which </w:t>
      </w:r>
      <w:r w:rsidR="002E7D1B">
        <w:rPr>
          <w:rFonts w:ascii="Times New Roman" w:hAnsi="Times New Roman"/>
          <w:szCs w:val="24"/>
          <w:lang w:eastAsia="en-GB"/>
        </w:rPr>
        <w:t xml:space="preserve">could determine the usefulness of existing Annual Reports and provide a path for future improvements to performance reporting. </w:t>
      </w:r>
    </w:p>
    <w:p w14:paraId="04A0E03D" w14:textId="77777777" w:rsidR="00E351FC" w:rsidRPr="00834F69" w:rsidRDefault="00E351FC" w:rsidP="00E351FC">
      <w:pPr>
        <w:tabs>
          <w:tab w:val="left" w:pos="284"/>
        </w:tabs>
        <w:spacing w:line="276" w:lineRule="auto"/>
        <w:ind w:right="-738"/>
        <w:contextualSpacing/>
        <w:jc w:val="both"/>
        <w:rPr>
          <w:rFonts w:ascii="Times New Roman" w:hAnsi="Times New Roman"/>
          <w:sz w:val="20"/>
          <w:lang w:eastAsia="en-GB"/>
        </w:rPr>
      </w:pPr>
      <w:r w:rsidRPr="00834F69">
        <w:rPr>
          <w:rFonts w:ascii="Times New Roman" w:hAnsi="Times New Roman"/>
          <w:sz w:val="20"/>
          <w:lang w:eastAsia="en-GB"/>
        </w:rPr>
        <w:t xml:space="preserve"> </w:t>
      </w:r>
    </w:p>
    <w:p w14:paraId="2AC73D8F" w14:textId="77777777" w:rsidR="00E351FC" w:rsidRPr="008C60E3" w:rsidRDefault="00E351FC" w:rsidP="00E351FC">
      <w:pPr>
        <w:tabs>
          <w:tab w:val="left" w:pos="284"/>
        </w:tabs>
        <w:spacing w:line="276" w:lineRule="auto"/>
        <w:ind w:right="-738"/>
        <w:contextualSpacing/>
        <w:jc w:val="both"/>
        <w:rPr>
          <w:rFonts w:ascii="Times New Roman" w:hAnsi="Times New Roman" w:cs="Arial"/>
          <w:b/>
          <w:bCs/>
          <w:kern w:val="32"/>
          <w:szCs w:val="32"/>
          <w:lang w:eastAsia="en-GB"/>
        </w:rPr>
      </w:pPr>
      <w:r w:rsidRPr="008C60E3">
        <w:rPr>
          <w:rFonts w:ascii="Times New Roman" w:hAnsi="Times New Roman" w:cs="Arial"/>
          <w:b/>
          <w:bCs/>
          <w:kern w:val="32"/>
          <w:szCs w:val="32"/>
          <w:lang w:eastAsia="en-GB"/>
        </w:rPr>
        <w:t>Acknowledgements</w:t>
      </w:r>
    </w:p>
    <w:p w14:paraId="38914FAC" w14:textId="77777777" w:rsidR="00E351FC" w:rsidRPr="009815B3" w:rsidRDefault="00983BE6" w:rsidP="009815B3">
      <w:pPr>
        <w:spacing w:line="276" w:lineRule="auto"/>
        <w:ind w:right="-808"/>
        <w:contextualSpacing/>
        <w:rPr>
          <w:rFonts w:ascii="Times New Roman" w:hAnsi="Times New Roman"/>
          <w:bCs/>
          <w:kern w:val="32"/>
          <w:szCs w:val="24"/>
          <w:lang w:eastAsia="en-GB"/>
        </w:rPr>
      </w:pPr>
      <w:r w:rsidRPr="009815B3">
        <w:rPr>
          <w:rFonts w:ascii="Times New Roman" w:hAnsi="Times New Roman"/>
          <w:bCs/>
          <w:kern w:val="32"/>
          <w:szCs w:val="24"/>
          <w:lang w:eastAsia="en-GB"/>
        </w:rPr>
        <w:t>The authors wish to thank the anonymous reviewers for their constructive comments on the earlier version of the article.</w:t>
      </w:r>
    </w:p>
    <w:p w14:paraId="39AA4038" w14:textId="77777777" w:rsidR="00E351FC" w:rsidRPr="008C60E3" w:rsidRDefault="00E351FC" w:rsidP="00E351FC">
      <w:pPr>
        <w:spacing w:line="480" w:lineRule="auto"/>
        <w:ind w:right="-738"/>
        <w:contextualSpacing/>
        <w:jc w:val="both"/>
        <w:rPr>
          <w:rFonts w:ascii="Times New Roman" w:hAnsi="Times New Roman" w:cs="Arial"/>
          <w:b/>
          <w:bCs/>
          <w:kern w:val="32"/>
          <w:szCs w:val="32"/>
          <w:lang w:eastAsia="en-GB"/>
        </w:rPr>
      </w:pPr>
      <w:r w:rsidRPr="00834F69">
        <w:rPr>
          <w:rFonts w:ascii="Times New Roman" w:hAnsi="Times New Roman"/>
          <w:b/>
          <w:sz w:val="20"/>
        </w:rPr>
        <w:br w:type="page"/>
      </w:r>
      <w:r w:rsidRPr="008C60E3">
        <w:rPr>
          <w:rFonts w:ascii="Times New Roman" w:hAnsi="Times New Roman" w:cs="Arial"/>
          <w:b/>
          <w:bCs/>
          <w:kern w:val="32"/>
          <w:szCs w:val="32"/>
          <w:lang w:eastAsia="en-GB"/>
        </w:rPr>
        <w:lastRenderedPageBreak/>
        <w:t>References</w:t>
      </w:r>
    </w:p>
    <w:p w14:paraId="536E69CD" w14:textId="77777777" w:rsidR="006E5D7D" w:rsidRPr="006E5D7D" w:rsidRDefault="00E351FC" w:rsidP="006E5D7D">
      <w:pPr>
        <w:widowControl w:val="0"/>
        <w:autoSpaceDE w:val="0"/>
        <w:autoSpaceDN w:val="0"/>
        <w:adjustRightInd w:val="0"/>
        <w:ind w:left="480" w:hanging="480"/>
        <w:rPr>
          <w:rFonts w:ascii="Times New Roman" w:hAnsi="Times New Roman"/>
          <w:noProof/>
          <w:szCs w:val="24"/>
        </w:rPr>
      </w:pPr>
      <w:r w:rsidRPr="008C60E3">
        <w:rPr>
          <w:rFonts w:ascii="Times New Roman" w:hAnsi="Times New Roman"/>
          <w:szCs w:val="24"/>
          <w:lang w:eastAsia="en-GB"/>
        </w:rPr>
        <w:fldChar w:fldCharType="begin" w:fldLock="1"/>
      </w:r>
      <w:r w:rsidRPr="008C60E3">
        <w:rPr>
          <w:rFonts w:ascii="Times New Roman" w:hAnsi="Times New Roman"/>
          <w:szCs w:val="24"/>
          <w:lang w:eastAsia="en-GB"/>
        </w:rPr>
        <w:instrText xml:space="preserve">ADDIN Mendeley Bibliography CSL_BIBLIOGRAPHY </w:instrText>
      </w:r>
      <w:r w:rsidRPr="008C60E3">
        <w:rPr>
          <w:rFonts w:ascii="Times New Roman" w:hAnsi="Times New Roman"/>
          <w:szCs w:val="24"/>
          <w:lang w:eastAsia="en-GB"/>
        </w:rPr>
        <w:fldChar w:fldCharType="separate"/>
      </w:r>
      <w:r w:rsidR="006E5D7D" w:rsidRPr="006E5D7D">
        <w:rPr>
          <w:rFonts w:ascii="Times New Roman" w:hAnsi="Times New Roman"/>
          <w:noProof/>
          <w:szCs w:val="24"/>
        </w:rPr>
        <w:t xml:space="preserve">Albert, M., Balve, P. &amp; Spang, K. 2017, ‘Evaluation of project success: a structured literature review’, </w:t>
      </w:r>
      <w:r w:rsidR="006E5D7D" w:rsidRPr="006E5D7D">
        <w:rPr>
          <w:rFonts w:ascii="Times New Roman" w:hAnsi="Times New Roman"/>
          <w:i/>
          <w:iCs/>
          <w:noProof/>
          <w:szCs w:val="24"/>
        </w:rPr>
        <w:t>International Journal of Managing Projects in Business</w:t>
      </w:r>
      <w:r w:rsidR="006E5D7D" w:rsidRPr="006E5D7D">
        <w:rPr>
          <w:rFonts w:ascii="Times New Roman" w:hAnsi="Times New Roman"/>
          <w:noProof/>
          <w:szCs w:val="24"/>
        </w:rPr>
        <w:t>, vol. 10, no. 4, pp. 796–821.</w:t>
      </w:r>
    </w:p>
    <w:p w14:paraId="4DDDC5EC"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Allers, M.A. &amp; Geertsema, J.B. 2016, ‘The effects of local government amalgamation on public spending, taxation, and service levels: Evidence from 15 years of municipal consolidation’, </w:t>
      </w:r>
      <w:r w:rsidRPr="006E5D7D">
        <w:rPr>
          <w:rFonts w:ascii="Times New Roman" w:hAnsi="Times New Roman"/>
          <w:i/>
          <w:iCs/>
          <w:noProof/>
          <w:szCs w:val="24"/>
        </w:rPr>
        <w:t>Journal of Regional Science</w:t>
      </w:r>
      <w:r w:rsidRPr="006E5D7D">
        <w:rPr>
          <w:rFonts w:ascii="Times New Roman" w:hAnsi="Times New Roman"/>
          <w:noProof/>
          <w:szCs w:val="24"/>
        </w:rPr>
        <w:t>, vol. 56, no. 4, pp. 659–82.</w:t>
      </w:r>
    </w:p>
    <w:p w14:paraId="4FFED08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Ammons, D.N. &amp; Rivenbark, W.C. 2008, ‘Factors influencing the use of performance data to improve municipal services: Evidence from the North Carolina benchmarking project’, </w:t>
      </w:r>
      <w:r w:rsidRPr="006E5D7D">
        <w:rPr>
          <w:rFonts w:ascii="Times New Roman" w:hAnsi="Times New Roman"/>
          <w:i/>
          <w:iCs/>
          <w:noProof/>
          <w:szCs w:val="24"/>
        </w:rPr>
        <w:t>Public Administration Review</w:t>
      </w:r>
      <w:r w:rsidRPr="006E5D7D">
        <w:rPr>
          <w:rFonts w:ascii="Times New Roman" w:hAnsi="Times New Roman"/>
          <w:noProof/>
          <w:szCs w:val="24"/>
        </w:rPr>
        <w:t>, vol. 68, no. 2, pp. 304–18.</w:t>
      </w:r>
    </w:p>
    <w:p w14:paraId="7D92335D"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Audit Office of NSW 2018a, </w:t>
      </w:r>
      <w:r w:rsidRPr="006E5D7D">
        <w:rPr>
          <w:rFonts w:ascii="Times New Roman" w:hAnsi="Times New Roman"/>
          <w:i/>
          <w:iCs/>
          <w:noProof/>
          <w:szCs w:val="24"/>
        </w:rPr>
        <w:t>Council reporting on service delivery</w:t>
      </w:r>
      <w:r w:rsidRPr="006E5D7D">
        <w:rPr>
          <w:rFonts w:ascii="Times New Roman" w:hAnsi="Times New Roman"/>
          <w:noProof/>
          <w:szCs w:val="24"/>
        </w:rPr>
        <w:t>, Sydney, NSW, Australia.</w:t>
      </w:r>
    </w:p>
    <w:p w14:paraId="6CC967B3"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Audit Office of NSW 2018b, </w:t>
      </w:r>
      <w:r w:rsidRPr="006E5D7D">
        <w:rPr>
          <w:rFonts w:ascii="Times New Roman" w:hAnsi="Times New Roman"/>
          <w:i/>
          <w:iCs/>
          <w:noProof/>
          <w:szCs w:val="24"/>
        </w:rPr>
        <w:t>Report on Local Government 2017</w:t>
      </w:r>
      <w:r w:rsidRPr="006E5D7D">
        <w:rPr>
          <w:rFonts w:ascii="Times New Roman" w:hAnsi="Times New Roman"/>
          <w:noProof/>
          <w:szCs w:val="24"/>
        </w:rPr>
        <w:t>.</w:t>
      </w:r>
    </w:p>
    <w:p w14:paraId="059C340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Bel, G. &amp; Sebő, M. 2021, ‘Does inter-municipal cooperation really reduce delivery costs? An empirical evaluation of the role of scale economies, transaction costs, and governance arrangements’, </w:t>
      </w:r>
      <w:r w:rsidRPr="006E5D7D">
        <w:rPr>
          <w:rFonts w:ascii="Times New Roman" w:hAnsi="Times New Roman"/>
          <w:i/>
          <w:iCs/>
          <w:noProof/>
          <w:szCs w:val="24"/>
        </w:rPr>
        <w:t>Urban Affairs Review</w:t>
      </w:r>
      <w:r w:rsidRPr="006E5D7D">
        <w:rPr>
          <w:rFonts w:ascii="Times New Roman" w:hAnsi="Times New Roman"/>
          <w:noProof/>
          <w:szCs w:val="24"/>
        </w:rPr>
        <w:t>, vol. 57, no. 1, pp. 153–88.</w:t>
      </w:r>
    </w:p>
    <w:p w14:paraId="548540C5"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Berssaneti, F.T. &amp; Carvalho, M.M. 2015, ‘Identification of variables that impact project success in Brazilian companies’, </w:t>
      </w:r>
      <w:r w:rsidRPr="006E5D7D">
        <w:rPr>
          <w:rFonts w:ascii="Times New Roman" w:hAnsi="Times New Roman"/>
          <w:i/>
          <w:iCs/>
          <w:noProof/>
          <w:szCs w:val="24"/>
        </w:rPr>
        <w:t>International Journal of Project Management</w:t>
      </w:r>
      <w:r w:rsidRPr="006E5D7D">
        <w:rPr>
          <w:rFonts w:ascii="Times New Roman" w:hAnsi="Times New Roman"/>
          <w:noProof/>
          <w:szCs w:val="24"/>
        </w:rPr>
        <w:t>, vol. 33, no. 3, pp. 638–49.</w:t>
      </w:r>
    </w:p>
    <w:p w14:paraId="171296F1"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Blank, J.L.T. 2018, ‘Measuring the performance of local administrative public services’, </w:t>
      </w:r>
      <w:r w:rsidRPr="006E5D7D">
        <w:rPr>
          <w:rFonts w:ascii="Times New Roman" w:hAnsi="Times New Roman"/>
          <w:i/>
          <w:iCs/>
          <w:noProof/>
          <w:szCs w:val="24"/>
        </w:rPr>
        <w:t>Business Research Quarterly</w:t>
      </w:r>
      <w:r w:rsidRPr="006E5D7D">
        <w:rPr>
          <w:rFonts w:ascii="Times New Roman" w:hAnsi="Times New Roman"/>
          <w:noProof/>
          <w:szCs w:val="24"/>
        </w:rPr>
        <w:t>, vol. 21, no. 4, pp. 251–61.</w:t>
      </w:r>
    </w:p>
    <w:p w14:paraId="3F355911"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Blom-Hansen, J., Houlberg, K., Serritzlew, S. &amp; Treisman, D. 2016, ‘Jurisdiction size and local government policy expenditure: Assessing the effect of municipal amalgamation’, </w:t>
      </w:r>
      <w:r w:rsidRPr="006E5D7D">
        <w:rPr>
          <w:rFonts w:ascii="Times New Roman" w:hAnsi="Times New Roman"/>
          <w:i/>
          <w:iCs/>
          <w:noProof/>
          <w:szCs w:val="24"/>
        </w:rPr>
        <w:t>American Political Science Review</w:t>
      </w:r>
      <w:r w:rsidRPr="006E5D7D">
        <w:rPr>
          <w:rFonts w:ascii="Times New Roman" w:hAnsi="Times New Roman"/>
          <w:noProof/>
          <w:szCs w:val="24"/>
        </w:rPr>
        <w:t>, vol. 110, no. 4, pp. 812–31.</w:t>
      </w:r>
    </w:p>
    <w:p w14:paraId="7CA6BFE2"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Brusca, I. &amp; Montesinos, V. 2016, ‘Implementing performance reporting in local government: A cross-countries comparison’, </w:t>
      </w:r>
      <w:r w:rsidRPr="006E5D7D">
        <w:rPr>
          <w:rFonts w:ascii="Times New Roman" w:hAnsi="Times New Roman"/>
          <w:i/>
          <w:iCs/>
          <w:noProof/>
          <w:szCs w:val="24"/>
        </w:rPr>
        <w:t>Public Performance and Management Review</w:t>
      </w:r>
      <w:r w:rsidRPr="006E5D7D">
        <w:rPr>
          <w:rFonts w:ascii="Times New Roman" w:hAnsi="Times New Roman"/>
          <w:noProof/>
          <w:szCs w:val="24"/>
        </w:rPr>
        <w:t>, vol. 39, no. 3, pp. 506–34.</w:t>
      </w:r>
    </w:p>
    <w:p w14:paraId="241C31B9"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Caperchione, E., Demirag, I. &amp; Grossi, G. 2017, ‘Public sector reforms and public private partnerships: Overview and research agenda’, </w:t>
      </w:r>
      <w:r w:rsidRPr="006E5D7D">
        <w:rPr>
          <w:rFonts w:ascii="Times New Roman" w:hAnsi="Times New Roman"/>
          <w:i/>
          <w:iCs/>
          <w:noProof/>
          <w:szCs w:val="24"/>
        </w:rPr>
        <w:t>Accounting Forum</w:t>
      </w:r>
      <w:r w:rsidRPr="006E5D7D">
        <w:rPr>
          <w:rFonts w:ascii="Times New Roman" w:hAnsi="Times New Roman"/>
          <w:noProof/>
          <w:szCs w:val="24"/>
        </w:rPr>
        <w:t>, vol. 41, no. 1, pp. 1–7.</w:t>
      </w:r>
    </w:p>
    <w:p w14:paraId="68AC39F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de Carvalho, M.M., Patah, L.A. &amp; de Souza Bido, D. 2015, ‘Project management </w:t>
      </w:r>
      <w:r w:rsidRPr="006E5D7D">
        <w:rPr>
          <w:rFonts w:ascii="Times New Roman" w:hAnsi="Times New Roman"/>
          <w:noProof/>
          <w:szCs w:val="24"/>
        </w:rPr>
        <w:lastRenderedPageBreak/>
        <w:t xml:space="preserve">and its effects on project success: Cross-country and cross-industry comparisons’, </w:t>
      </w:r>
      <w:r w:rsidRPr="006E5D7D">
        <w:rPr>
          <w:rFonts w:ascii="Times New Roman" w:hAnsi="Times New Roman"/>
          <w:i/>
          <w:iCs/>
          <w:noProof/>
          <w:szCs w:val="24"/>
        </w:rPr>
        <w:t>International Journal of Project Management</w:t>
      </w:r>
      <w:r w:rsidRPr="006E5D7D">
        <w:rPr>
          <w:rFonts w:ascii="Times New Roman" w:hAnsi="Times New Roman"/>
          <w:noProof/>
          <w:szCs w:val="24"/>
        </w:rPr>
        <w:t>, vol. 33, no. 7, pp. 1509–22.</w:t>
      </w:r>
    </w:p>
    <w:p w14:paraId="32393FB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Charbonneau, E. &amp; Bellavance, F. 2012, ‘Blame avoidance in public reporting’, </w:t>
      </w:r>
      <w:r w:rsidRPr="006E5D7D">
        <w:rPr>
          <w:rFonts w:ascii="Times New Roman" w:hAnsi="Times New Roman"/>
          <w:i/>
          <w:iCs/>
          <w:noProof/>
          <w:szCs w:val="24"/>
        </w:rPr>
        <w:t>Public Performance &amp; Management Review</w:t>
      </w:r>
      <w:r w:rsidRPr="006E5D7D">
        <w:rPr>
          <w:rFonts w:ascii="Times New Roman" w:hAnsi="Times New Roman"/>
          <w:noProof/>
          <w:szCs w:val="24"/>
        </w:rPr>
        <w:t>, vol. 35, no. 3, pp. 399–421.</w:t>
      </w:r>
    </w:p>
    <w:p w14:paraId="594EB1D6"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Christensen, T. &amp; Lægreid, P. 2011, ‘Democracy and administrative policy: Contrasting elements of New Public Management (NPM) and post-NPM’, </w:t>
      </w:r>
      <w:r w:rsidRPr="006E5D7D">
        <w:rPr>
          <w:rFonts w:ascii="Times New Roman" w:hAnsi="Times New Roman"/>
          <w:i/>
          <w:iCs/>
          <w:noProof/>
          <w:szCs w:val="24"/>
        </w:rPr>
        <w:t>European Political Science Review</w:t>
      </w:r>
      <w:r w:rsidRPr="006E5D7D">
        <w:rPr>
          <w:rFonts w:ascii="Times New Roman" w:hAnsi="Times New Roman"/>
          <w:noProof/>
          <w:szCs w:val="24"/>
        </w:rPr>
        <w:t>, vol. 3, no. 1, pp. 125–46.</w:t>
      </w:r>
    </w:p>
    <w:p w14:paraId="3B0954D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Collits, P. &amp; Gastin, B. 1997, ‘Big town, small town: the centralisation of services and economic activity, the decline of small towns and the policy response in New South Wales.-Paper (in different’, </w:t>
      </w:r>
      <w:r w:rsidRPr="006E5D7D">
        <w:rPr>
          <w:rFonts w:ascii="Times New Roman" w:hAnsi="Times New Roman"/>
          <w:i/>
          <w:iCs/>
          <w:noProof/>
          <w:szCs w:val="24"/>
        </w:rPr>
        <w:t>Regional Policy and Practice</w:t>
      </w:r>
      <w:r w:rsidRPr="006E5D7D">
        <w:rPr>
          <w:rFonts w:ascii="Times New Roman" w:hAnsi="Times New Roman"/>
          <w:noProof/>
          <w:szCs w:val="24"/>
        </w:rPr>
        <w:t>, vol. 6, no. 2, pp. 9–21.</w:t>
      </w:r>
    </w:p>
    <w:p w14:paraId="70082D0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Demir, F. 2018, ‘Post-NPM and re-centralisation: current themes in Europe and Turkey’, </w:t>
      </w:r>
      <w:r w:rsidRPr="006E5D7D">
        <w:rPr>
          <w:rFonts w:ascii="Times New Roman" w:hAnsi="Times New Roman"/>
          <w:i/>
          <w:iCs/>
          <w:noProof/>
          <w:szCs w:val="24"/>
        </w:rPr>
        <w:t>Journal of Contemporary European Studies</w:t>
      </w:r>
      <w:r w:rsidRPr="006E5D7D">
        <w:rPr>
          <w:rFonts w:ascii="Times New Roman" w:hAnsi="Times New Roman"/>
          <w:noProof/>
          <w:szCs w:val="24"/>
        </w:rPr>
        <w:t>, vol. 26, no. 2, pp. 149–64.</w:t>
      </w:r>
    </w:p>
    <w:p w14:paraId="04B4EBA5"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Department of Infrastructucture and Regional Development Australia 2015, </w:t>
      </w:r>
      <w:r w:rsidRPr="006E5D7D">
        <w:rPr>
          <w:rFonts w:ascii="Times New Roman" w:hAnsi="Times New Roman"/>
          <w:i/>
          <w:iCs/>
          <w:noProof/>
          <w:szCs w:val="24"/>
        </w:rPr>
        <w:t>Local government national report</w:t>
      </w:r>
      <w:r w:rsidRPr="006E5D7D">
        <w:rPr>
          <w:rFonts w:ascii="Times New Roman" w:hAnsi="Times New Roman"/>
          <w:noProof/>
          <w:szCs w:val="24"/>
        </w:rPr>
        <w:t>.</w:t>
      </w:r>
    </w:p>
    <w:p w14:paraId="2BC0DB1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Dollery, B., Crase, L. &amp; Johnson, A. 2006, </w:t>
      </w:r>
      <w:r w:rsidRPr="006E5D7D">
        <w:rPr>
          <w:rFonts w:ascii="Times New Roman" w:hAnsi="Times New Roman"/>
          <w:i/>
          <w:iCs/>
          <w:noProof/>
          <w:szCs w:val="24"/>
        </w:rPr>
        <w:t>Australian local government economies</w:t>
      </w:r>
      <w:r w:rsidRPr="006E5D7D">
        <w:rPr>
          <w:rFonts w:ascii="Times New Roman" w:hAnsi="Times New Roman"/>
          <w:noProof/>
          <w:szCs w:val="24"/>
        </w:rPr>
        <w:t>, First., UNSW Press, Sydney, NSW, Australia.</w:t>
      </w:r>
    </w:p>
    <w:p w14:paraId="20A25D33"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Dollery, B. &amp; Johnson, A. 2005, ‘Enhancing efficiency in Australian local government: An evaluation of alternative models of municipal governance’, </w:t>
      </w:r>
      <w:r w:rsidRPr="006E5D7D">
        <w:rPr>
          <w:rFonts w:ascii="Times New Roman" w:hAnsi="Times New Roman"/>
          <w:i/>
          <w:iCs/>
          <w:noProof/>
          <w:szCs w:val="24"/>
        </w:rPr>
        <w:t>Urban Policy and Research</w:t>
      </w:r>
      <w:r w:rsidRPr="006E5D7D">
        <w:rPr>
          <w:rFonts w:ascii="Times New Roman" w:hAnsi="Times New Roman"/>
          <w:noProof/>
          <w:szCs w:val="24"/>
        </w:rPr>
        <w:t>, vol. 23, no. 1, pp. 73–85.</w:t>
      </w:r>
    </w:p>
    <w:p w14:paraId="0FDE1E75"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&amp; Dollery, B. 2015, ‘What’s in a name? Assessing the performance of local government classification systems’, </w:t>
      </w:r>
      <w:r w:rsidRPr="006E5D7D">
        <w:rPr>
          <w:rFonts w:ascii="Times New Roman" w:hAnsi="Times New Roman"/>
          <w:i/>
          <w:iCs/>
          <w:noProof/>
          <w:szCs w:val="24"/>
        </w:rPr>
        <w:t>Local Government Studies</w:t>
      </w:r>
      <w:r w:rsidRPr="006E5D7D">
        <w:rPr>
          <w:rFonts w:ascii="Times New Roman" w:hAnsi="Times New Roman"/>
          <w:noProof/>
          <w:szCs w:val="24"/>
        </w:rPr>
        <w:t>, vol. 3930, no. January, pp. 1–19.</w:t>
      </w:r>
    </w:p>
    <w:p w14:paraId="5743396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&amp; Grant, B. 2017, ‘Means, motive, and opportunity – local government data distortion in a high-stakes environment’, </w:t>
      </w:r>
      <w:r w:rsidRPr="006E5D7D">
        <w:rPr>
          <w:rFonts w:ascii="Times New Roman" w:hAnsi="Times New Roman"/>
          <w:i/>
          <w:iCs/>
          <w:noProof/>
          <w:szCs w:val="24"/>
        </w:rPr>
        <w:t>Australian Journal of Public Administration</w:t>
      </w:r>
      <w:r w:rsidRPr="006E5D7D">
        <w:rPr>
          <w:rFonts w:ascii="Times New Roman" w:hAnsi="Times New Roman"/>
          <w:noProof/>
          <w:szCs w:val="24"/>
        </w:rPr>
        <w:t>, vol. 76, no. 2, pp. 237–50.</w:t>
      </w:r>
    </w:p>
    <w:p w14:paraId="48FF2360"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Grant, B. &amp; Campbell, N. 2016, ‘Progressive and reactionary rhetoric in the municipal reform debate in New South Wales, Australia’, </w:t>
      </w:r>
      <w:r w:rsidRPr="006E5D7D">
        <w:rPr>
          <w:rFonts w:ascii="Times New Roman" w:hAnsi="Times New Roman"/>
          <w:i/>
          <w:iCs/>
          <w:noProof/>
          <w:szCs w:val="24"/>
        </w:rPr>
        <w:t>Australian Journal of Political Science</w:t>
      </w:r>
      <w:r w:rsidRPr="006E5D7D">
        <w:rPr>
          <w:rFonts w:ascii="Times New Roman" w:hAnsi="Times New Roman"/>
          <w:noProof/>
          <w:szCs w:val="24"/>
        </w:rPr>
        <w:t>, vol. 51, no. 2, pp. 323–37.</w:t>
      </w:r>
    </w:p>
    <w:p w14:paraId="7EFD01B9"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Kortt, M.A. &amp; Dollery, B. 2016, ‘Did the Big Stick Work? An Empirical Assessment of Scale Economies and the Queensland Forced Amalgamation Program’, </w:t>
      </w:r>
      <w:r w:rsidRPr="006E5D7D">
        <w:rPr>
          <w:rFonts w:ascii="Times New Roman" w:hAnsi="Times New Roman"/>
          <w:i/>
          <w:iCs/>
          <w:noProof/>
          <w:szCs w:val="24"/>
        </w:rPr>
        <w:t>Local Government Studies</w:t>
      </w:r>
      <w:r w:rsidRPr="006E5D7D">
        <w:rPr>
          <w:rFonts w:ascii="Times New Roman" w:hAnsi="Times New Roman"/>
          <w:noProof/>
          <w:szCs w:val="24"/>
        </w:rPr>
        <w:t>, vol. 42, no. 1, pp. 1–14.</w:t>
      </w:r>
    </w:p>
    <w:p w14:paraId="4B380CF8"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Kortt, M.A. &amp; Dollery, B. 2017a, ‘No Aladdin’s Cave in New South </w:t>
      </w:r>
      <w:r w:rsidRPr="006E5D7D">
        <w:rPr>
          <w:rFonts w:ascii="Times New Roman" w:hAnsi="Times New Roman"/>
          <w:noProof/>
          <w:szCs w:val="24"/>
        </w:rPr>
        <w:lastRenderedPageBreak/>
        <w:t xml:space="preserve">Wales? Local government amalgamation, scale economies, and data envelopment analysis specification’, </w:t>
      </w:r>
      <w:r w:rsidRPr="006E5D7D">
        <w:rPr>
          <w:rFonts w:ascii="Times New Roman" w:hAnsi="Times New Roman"/>
          <w:i/>
          <w:iCs/>
          <w:noProof/>
          <w:szCs w:val="24"/>
        </w:rPr>
        <w:t>Administration and Society</w:t>
      </w:r>
      <w:r w:rsidRPr="006E5D7D">
        <w:rPr>
          <w:rFonts w:ascii="Times New Roman" w:hAnsi="Times New Roman"/>
          <w:noProof/>
          <w:szCs w:val="24"/>
        </w:rPr>
        <w:t>, vol. 49, no. 10, pp. 1450–70.</w:t>
      </w:r>
    </w:p>
    <w:p w14:paraId="40565C30"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Drew, J., Kortt, M.A. &amp; Dollery, B. 2017b, ‘No Aladdin’s Cave in New South Wales? Local Government Amalgamation, Scale Economies, and Data Envelopment Analysis Specification’, </w:t>
      </w:r>
      <w:r w:rsidRPr="006E5D7D">
        <w:rPr>
          <w:rFonts w:ascii="Times New Roman" w:hAnsi="Times New Roman"/>
          <w:i/>
          <w:iCs/>
          <w:noProof/>
          <w:szCs w:val="24"/>
        </w:rPr>
        <w:t>Administration and Society</w:t>
      </w:r>
      <w:r w:rsidRPr="006E5D7D">
        <w:rPr>
          <w:rFonts w:ascii="Times New Roman" w:hAnsi="Times New Roman"/>
          <w:noProof/>
          <w:szCs w:val="24"/>
        </w:rPr>
        <w:t>, vol. 49, no. 10, pp. 1450–70.</w:t>
      </w:r>
    </w:p>
    <w:p w14:paraId="4C1B6BF6"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Dunleavy, P., Margetts, H., Bastow, S. &amp; Tinkler, J. 2005, ‘New public management is dead - Long live digital-era governance’, </w:t>
      </w:r>
      <w:r w:rsidRPr="006E5D7D">
        <w:rPr>
          <w:rFonts w:ascii="Times New Roman" w:hAnsi="Times New Roman"/>
          <w:i/>
          <w:iCs/>
          <w:noProof/>
          <w:szCs w:val="24"/>
        </w:rPr>
        <w:t>Journal of Public Administration Research and Theory</w:t>
      </w:r>
      <w:r w:rsidRPr="006E5D7D">
        <w:rPr>
          <w:rFonts w:ascii="Times New Roman" w:hAnsi="Times New Roman"/>
          <w:noProof/>
          <w:szCs w:val="24"/>
        </w:rPr>
        <w:t>, Oxford University Press, pp. 467–94, viewed 3 May 2018, &lt;https://academic.oup.com/jpart/article-lookup/doi/10.1093/jopart/mui057&gt;.</w:t>
      </w:r>
    </w:p>
    <w:p w14:paraId="5309A3F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Ehalaiye, D., Redmayne, N.B. &amp; Laswad, F. 2021, ‘Does accounting information contribute to a better understanding of public assets management? The case of local government infrastructural assets.’, </w:t>
      </w:r>
      <w:r w:rsidRPr="006E5D7D">
        <w:rPr>
          <w:rFonts w:ascii="Times New Roman" w:hAnsi="Times New Roman"/>
          <w:i/>
          <w:iCs/>
          <w:noProof/>
          <w:szCs w:val="24"/>
        </w:rPr>
        <w:t>Public Money and Management</w:t>
      </w:r>
      <w:r w:rsidRPr="006E5D7D">
        <w:rPr>
          <w:rFonts w:ascii="Times New Roman" w:hAnsi="Times New Roman"/>
          <w:noProof/>
          <w:szCs w:val="24"/>
        </w:rPr>
        <w:t>, vol. 41, no. 2, pp. 88-98d.</w:t>
      </w:r>
    </w:p>
    <w:p w14:paraId="33E52921"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Elton Consulting &amp; Division of Local Government NSW 2011, </w:t>
      </w:r>
      <w:r w:rsidRPr="006E5D7D">
        <w:rPr>
          <w:rFonts w:ascii="Times New Roman" w:hAnsi="Times New Roman"/>
          <w:i/>
          <w:iCs/>
          <w:noProof/>
          <w:szCs w:val="24"/>
        </w:rPr>
        <w:t>Destination 2036 discussion paper</w:t>
      </w:r>
      <w:r w:rsidRPr="006E5D7D">
        <w:rPr>
          <w:rFonts w:ascii="Times New Roman" w:hAnsi="Times New Roman"/>
          <w:noProof/>
          <w:szCs w:val="24"/>
        </w:rPr>
        <w:t>.</w:t>
      </w:r>
    </w:p>
    <w:p w14:paraId="7967B95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Gendźwiłł, A., Kurniewicz, A. &amp; Swianiewicz, P. 2020, ‘The impact of municipal territorial reforms on the economic performance of local governments. A systematic review of quasi-experimental studies’, </w:t>
      </w:r>
      <w:r w:rsidRPr="006E5D7D">
        <w:rPr>
          <w:rFonts w:ascii="Times New Roman" w:hAnsi="Times New Roman"/>
          <w:i/>
          <w:iCs/>
          <w:noProof/>
          <w:szCs w:val="24"/>
        </w:rPr>
        <w:t>Space and Polity</w:t>
      </w:r>
      <w:r w:rsidRPr="006E5D7D">
        <w:rPr>
          <w:rFonts w:ascii="Times New Roman" w:hAnsi="Times New Roman"/>
          <w:noProof/>
          <w:szCs w:val="24"/>
        </w:rPr>
        <w:t>, pp. 1–20.</w:t>
      </w:r>
    </w:p>
    <w:p w14:paraId="1B3F37F2"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Gomez-Reino, J.L. &amp; Martinez-Vazquez, J. 2013, ‘An international perspective on the determinants of local government fragmentation’, in S. Lago-Peñas &amp; J. Martinez-Vazquez (eds),</w:t>
      </w:r>
      <w:r w:rsidRPr="006E5D7D">
        <w:rPr>
          <w:rFonts w:ascii="Times New Roman" w:hAnsi="Times New Roman"/>
          <w:i/>
          <w:iCs/>
          <w:noProof/>
          <w:szCs w:val="24"/>
        </w:rPr>
        <w:t>The Challenge of Local Government Size Theoretical Persepectives</w:t>
      </w:r>
      <w:r w:rsidRPr="006E5D7D">
        <w:rPr>
          <w:rFonts w:ascii="Times New Roman" w:hAnsi="Times New Roman"/>
          <w:noProof/>
          <w:szCs w:val="24"/>
        </w:rPr>
        <w:t>, Edward Elgar Publishing Limited, Cheltenham UK, pp. 8–54.</w:t>
      </w:r>
    </w:p>
    <w:p w14:paraId="63520EDC"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Grant, B. &amp; Drew, J. 2017, ‘Local government amalgamations’, </w:t>
      </w:r>
      <w:r w:rsidRPr="006E5D7D">
        <w:rPr>
          <w:rFonts w:ascii="Times New Roman" w:hAnsi="Times New Roman"/>
          <w:i/>
          <w:iCs/>
          <w:noProof/>
          <w:szCs w:val="24"/>
        </w:rPr>
        <w:t>Local Government in Australia: History, Theory and Public Policy</w:t>
      </w:r>
      <w:r w:rsidRPr="006E5D7D">
        <w:rPr>
          <w:rFonts w:ascii="Times New Roman" w:hAnsi="Times New Roman"/>
          <w:noProof/>
          <w:szCs w:val="24"/>
        </w:rPr>
        <w:t>, Springer Publishing, Singapore, pp. 1–445.</w:t>
      </w:r>
    </w:p>
    <w:p w14:paraId="5E1106D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Hammerschmid, G., Van de Walle, S., Andrews, R. &amp; Bezes, P. (eds) 2016, </w:t>
      </w:r>
      <w:r w:rsidRPr="006E5D7D">
        <w:rPr>
          <w:rFonts w:ascii="Times New Roman" w:hAnsi="Times New Roman"/>
          <w:i/>
          <w:iCs/>
          <w:noProof/>
          <w:szCs w:val="24"/>
        </w:rPr>
        <w:t>Public administration reforms in Europe: The view from the top</w:t>
      </w:r>
      <w:r w:rsidRPr="006E5D7D">
        <w:rPr>
          <w:rFonts w:ascii="Times New Roman" w:hAnsi="Times New Roman"/>
          <w:noProof/>
          <w:szCs w:val="24"/>
        </w:rPr>
        <w:t>, Edward Elgar Publishing Limited.</w:t>
      </w:r>
    </w:p>
    <w:p w14:paraId="4E40DFD7"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Hanson, N.W. 1964, ‘Economy of scale as a cost factor in financing public schools’, </w:t>
      </w:r>
      <w:r w:rsidRPr="006E5D7D">
        <w:rPr>
          <w:rFonts w:ascii="Times New Roman" w:hAnsi="Times New Roman"/>
          <w:i/>
          <w:iCs/>
          <w:noProof/>
          <w:szCs w:val="24"/>
        </w:rPr>
        <w:t>National Tax Journal</w:t>
      </w:r>
      <w:r w:rsidRPr="006E5D7D">
        <w:rPr>
          <w:rFonts w:ascii="Times New Roman" w:hAnsi="Times New Roman"/>
          <w:noProof/>
          <w:szCs w:val="24"/>
        </w:rPr>
        <w:t>, vol. 17, no. 1.</w:t>
      </w:r>
    </w:p>
    <w:p w14:paraId="29D8249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Hassani-alaoui, S., Cameron, A. &amp; Giannelia, T. 2020, ‘“We use scrum, but …”: Agile modifications and project success’, </w:t>
      </w:r>
      <w:r w:rsidRPr="006E5D7D">
        <w:rPr>
          <w:rFonts w:ascii="Times New Roman" w:hAnsi="Times New Roman"/>
          <w:i/>
          <w:iCs/>
          <w:noProof/>
          <w:szCs w:val="24"/>
        </w:rPr>
        <w:t xml:space="preserve">53rd Hawaii International </w:t>
      </w:r>
      <w:r w:rsidRPr="006E5D7D">
        <w:rPr>
          <w:rFonts w:ascii="Times New Roman" w:hAnsi="Times New Roman"/>
          <w:i/>
          <w:iCs/>
          <w:noProof/>
          <w:szCs w:val="24"/>
        </w:rPr>
        <w:lastRenderedPageBreak/>
        <w:t>Conference on System Sciences</w:t>
      </w:r>
      <w:r w:rsidRPr="006E5D7D">
        <w:rPr>
          <w:rFonts w:ascii="Times New Roman" w:hAnsi="Times New Roman"/>
          <w:noProof/>
          <w:szCs w:val="24"/>
        </w:rPr>
        <w:t>, pp. 6257–66.</w:t>
      </w:r>
    </w:p>
    <w:p w14:paraId="64011E8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Hood, C. 1995, ‘The “new public management” in the 1980s: Variations on a theme’, </w:t>
      </w:r>
      <w:r w:rsidRPr="006E5D7D">
        <w:rPr>
          <w:rFonts w:ascii="Times New Roman" w:hAnsi="Times New Roman"/>
          <w:i/>
          <w:iCs/>
          <w:noProof/>
          <w:szCs w:val="24"/>
        </w:rPr>
        <w:t>Accounting, Organizations and Society</w:t>
      </w:r>
      <w:r w:rsidRPr="006E5D7D">
        <w:rPr>
          <w:rFonts w:ascii="Times New Roman" w:hAnsi="Times New Roman"/>
          <w:noProof/>
          <w:szCs w:val="24"/>
        </w:rPr>
        <w:t>, vol. 20, no. 2–3, pp. 93–109.</w:t>
      </w:r>
    </w:p>
    <w:p w14:paraId="19FE1C08"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Hood, C. 2006, ‘Gaming in targetworld: The targets approach to managing British public services’, </w:t>
      </w:r>
      <w:r w:rsidRPr="006E5D7D">
        <w:rPr>
          <w:rFonts w:ascii="Times New Roman" w:hAnsi="Times New Roman"/>
          <w:i/>
          <w:iCs/>
          <w:noProof/>
          <w:szCs w:val="24"/>
        </w:rPr>
        <w:t>Public Administration Review</w:t>
      </w:r>
      <w:r w:rsidRPr="006E5D7D">
        <w:rPr>
          <w:rFonts w:ascii="Times New Roman" w:hAnsi="Times New Roman"/>
          <w:noProof/>
          <w:szCs w:val="24"/>
        </w:rPr>
        <w:t>, vol. 66, no. 4, pp. 515–21.</w:t>
      </w:r>
    </w:p>
    <w:p w14:paraId="44862EB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Ika, L.A. 2009, ‘Project success as a topic in project management journals’, </w:t>
      </w:r>
      <w:r w:rsidRPr="006E5D7D">
        <w:rPr>
          <w:rFonts w:ascii="Times New Roman" w:hAnsi="Times New Roman"/>
          <w:i/>
          <w:iCs/>
          <w:noProof/>
          <w:szCs w:val="24"/>
        </w:rPr>
        <w:t>Project Management Journal</w:t>
      </w:r>
      <w:r w:rsidRPr="006E5D7D">
        <w:rPr>
          <w:rFonts w:ascii="Times New Roman" w:hAnsi="Times New Roman"/>
          <w:noProof/>
          <w:szCs w:val="24"/>
        </w:rPr>
        <w:t>, vol. 40, no. 4, pp. 6–19.</w:t>
      </w:r>
    </w:p>
    <w:p w14:paraId="6ABA9A63"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Independent Local Government Review Panel 2013, </w:t>
      </w:r>
      <w:r w:rsidRPr="006E5D7D">
        <w:rPr>
          <w:rFonts w:ascii="Times New Roman" w:hAnsi="Times New Roman"/>
          <w:i/>
          <w:iCs/>
          <w:noProof/>
          <w:szCs w:val="24"/>
        </w:rPr>
        <w:t>Final Report of the NSW Independent Local Government Review Panel</w:t>
      </w:r>
      <w:r w:rsidRPr="006E5D7D">
        <w:rPr>
          <w:rFonts w:ascii="Times New Roman" w:hAnsi="Times New Roman"/>
          <w:noProof/>
          <w:szCs w:val="24"/>
        </w:rPr>
        <w:t>.</w:t>
      </w:r>
    </w:p>
    <w:p w14:paraId="13C1B07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Independent Pricing &amp; Regulatory Tribunal 2009, </w:t>
      </w:r>
      <w:r w:rsidRPr="006E5D7D">
        <w:rPr>
          <w:rFonts w:ascii="Times New Roman" w:hAnsi="Times New Roman"/>
          <w:i/>
          <w:iCs/>
          <w:noProof/>
          <w:szCs w:val="24"/>
        </w:rPr>
        <w:t>Revenue framework for local government</w:t>
      </w:r>
      <w:r w:rsidRPr="006E5D7D">
        <w:rPr>
          <w:rFonts w:ascii="Times New Roman" w:hAnsi="Times New Roman"/>
          <w:noProof/>
          <w:szCs w:val="24"/>
        </w:rPr>
        <w:t>, Sydney, NSW, Australia.</w:t>
      </w:r>
    </w:p>
    <w:p w14:paraId="089C942A"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James, O. &amp; John, P. 2007, ‘Public management at the ballot box: Performance information and electoral support for incumbent english local governments’, </w:t>
      </w:r>
      <w:r w:rsidRPr="006E5D7D">
        <w:rPr>
          <w:rFonts w:ascii="Times New Roman" w:hAnsi="Times New Roman"/>
          <w:i/>
          <w:iCs/>
          <w:noProof/>
          <w:szCs w:val="24"/>
        </w:rPr>
        <w:t>Journal of Public Administration Research and Theory</w:t>
      </w:r>
      <w:r w:rsidRPr="006E5D7D">
        <w:rPr>
          <w:rFonts w:ascii="Times New Roman" w:hAnsi="Times New Roman"/>
          <w:noProof/>
          <w:szCs w:val="24"/>
        </w:rPr>
        <w:t>, vol. 17, no. 4, pp. 567–80.</w:t>
      </w:r>
    </w:p>
    <w:p w14:paraId="79ECC02F"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Joslin, R. &amp; Müller, R. 2015, ‘Relationships between a project management methodology and project success in different project governance contexts’, </w:t>
      </w:r>
      <w:r w:rsidRPr="006E5D7D">
        <w:rPr>
          <w:rFonts w:ascii="Times New Roman" w:hAnsi="Times New Roman"/>
          <w:i/>
          <w:iCs/>
          <w:noProof/>
          <w:szCs w:val="24"/>
        </w:rPr>
        <w:t>International Journal of Project Management</w:t>
      </w:r>
      <w:r w:rsidRPr="006E5D7D">
        <w:rPr>
          <w:rFonts w:ascii="Times New Roman" w:hAnsi="Times New Roman"/>
          <w:noProof/>
          <w:szCs w:val="24"/>
        </w:rPr>
        <w:t>, vol. 33, no. 6, pp. 1377–92.</w:t>
      </w:r>
    </w:p>
    <w:p w14:paraId="0A95BC5F"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Kalgin, A. 2016, ‘Implementation of performance management in regional government in Russia: evidence of data manipulation’, </w:t>
      </w:r>
      <w:r w:rsidRPr="006E5D7D">
        <w:rPr>
          <w:rFonts w:ascii="Times New Roman" w:hAnsi="Times New Roman"/>
          <w:i/>
          <w:iCs/>
          <w:noProof/>
          <w:szCs w:val="24"/>
        </w:rPr>
        <w:t>Public Management Review</w:t>
      </w:r>
      <w:r w:rsidRPr="006E5D7D">
        <w:rPr>
          <w:rFonts w:ascii="Times New Roman" w:hAnsi="Times New Roman"/>
          <w:noProof/>
          <w:szCs w:val="24"/>
        </w:rPr>
        <w:t>, vol. 18, no. 1, pp. 110–38.</w:t>
      </w:r>
    </w:p>
    <w:p w14:paraId="2D682E3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Kaye-Essien, C.W. 2020, ‘Performance reporting delay in local government: a global south view’, </w:t>
      </w:r>
      <w:r w:rsidRPr="006E5D7D">
        <w:rPr>
          <w:rFonts w:ascii="Times New Roman" w:hAnsi="Times New Roman"/>
          <w:i/>
          <w:iCs/>
          <w:noProof/>
          <w:szCs w:val="24"/>
        </w:rPr>
        <w:t>International Journal of Public Sector Management</w:t>
      </w:r>
      <w:r w:rsidRPr="006E5D7D">
        <w:rPr>
          <w:rFonts w:ascii="Times New Roman" w:hAnsi="Times New Roman"/>
          <w:noProof/>
          <w:szCs w:val="24"/>
        </w:rPr>
        <w:t>, vol. 33, no. 4, pp. 477–96.</w:t>
      </w:r>
    </w:p>
    <w:p w14:paraId="10C14262"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Keerasuntonpong, P. &amp; Cordery, C. 2018, ‘How might normative and mimetic pressures improve local government service performance reporting?’, </w:t>
      </w:r>
      <w:r w:rsidRPr="006E5D7D">
        <w:rPr>
          <w:rFonts w:ascii="Times New Roman" w:hAnsi="Times New Roman"/>
          <w:i/>
          <w:iCs/>
          <w:noProof/>
          <w:szCs w:val="24"/>
        </w:rPr>
        <w:t>Accounting and Finance</w:t>
      </w:r>
      <w:r w:rsidRPr="006E5D7D">
        <w:rPr>
          <w:rFonts w:ascii="Times New Roman" w:hAnsi="Times New Roman"/>
          <w:noProof/>
          <w:szCs w:val="24"/>
        </w:rPr>
        <w:t>, vol. 58, no. 4, pp. 1169–200.</w:t>
      </w:r>
    </w:p>
    <w:p w14:paraId="611C53A2"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Kortt, M., Dollery, B. &amp; Grant, B. 2012, ‘Regional and local tensions: the role of shared services’, </w:t>
      </w:r>
      <w:r w:rsidRPr="006E5D7D">
        <w:rPr>
          <w:rFonts w:ascii="Times New Roman" w:hAnsi="Times New Roman"/>
          <w:i/>
          <w:iCs/>
          <w:noProof/>
          <w:szCs w:val="24"/>
        </w:rPr>
        <w:t>Public Policy</w:t>
      </w:r>
      <w:r w:rsidRPr="006E5D7D">
        <w:rPr>
          <w:rFonts w:ascii="Times New Roman" w:hAnsi="Times New Roman"/>
          <w:noProof/>
          <w:szCs w:val="24"/>
        </w:rPr>
        <w:t>, vol. 7, no. 1, pp. 47–62.</w:t>
      </w:r>
    </w:p>
    <w:p w14:paraId="16C16A3C"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Lee, J. 2008, ‘Preparing performance information in the public sector: An Australian perspective’, </w:t>
      </w:r>
      <w:r w:rsidRPr="006E5D7D">
        <w:rPr>
          <w:rFonts w:ascii="Times New Roman" w:hAnsi="Times New Roman"/>
          <w:i/>
          <w:iCs/>
          <w:noProof/>
          <w:szCs w:val="24"/>
        </w:rPr>
        <w:t>Financial Accountability &amp; Management</w:t>
      </w:r>
      <w:r w:rsidRPr="006E5D7D">
        <w:rPr>
          <w:rFonts w:ascii="Times New Roman" w:hAnsi="Times New Roman"/>
          <w:noProof/>
          <w:szCs w:val="24"/>
        </w:rPr>
        <w:t>, vol. 24, no. 2.</w:t>
      </w:r>
    </w:p>
    <w:p w14:paraId="1515475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Montesinos, V., Brusca, I., Rossi, F.M. &amp; Aversano, N. 2013, ‘The usefulness of </w:t>
      </w:r>
      <w:r w:rsidRPr="006E5D7D">
        <w:rPr>
          <w:rFonts w:ascii="Times New Roman" w:hAnsi="Times New Roman"/>
          <w:noProof/>
          <w:szCs w:val="24"/>
        </w:rPr>
        <w:lastRenderedPageBreak/>
        <w:t xml:space="preserve">performance reporting in local government: Comparing Italy and Spain’, </w:t>
      </w:r>
      <w:r w:rsidRPr="006E5D7D">
        <w:rPr>
          <w:rFonts w:ascii="Times New Roman" w:hAnsi="Times New Roman"/>
          <w:i/>
          <w:iCs/>
          <w:noProof/>
          <w:szCs w:val="24"/>
        </w:rPr>
        <w:t>Public Money and Management</w:t>
      </w:r>
      <w:r w:rsidRPr="006E5D7D">
        <w:rPr>
          <w:rFonts w:ascii="Times New Roman" w:hAnsi="Times New Roman"/>
          <w:noProof/>
          <w:szCs w:val="24"/>
        </w:rPr>
        <w:t>, vol. 33, no. 3, pp. 171–6.</w:t>
      </w:r>
    </w:p>
    <w:p w14:paraId="6C5F3371"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Müller, R. &amp; Jugdev, K. 2012, ‘Critical success factors in projects: Pinto, Slevin, and Prescott - the elucidation of project success’, </w:t>
      </w:r>
      <w:r w:rsidRPr="006E5D7D">
        <w:rPr>
          <w:rFonts w:ascii="Times New Roman" w:hAnsi="Times New Roman"/>
          <w:i/>
          <w:iCs/>
          <w:noProof/>
          <w:szCs w:val="24"/>
        </w:rPr>
        <w:t>International Journal of Managing Projects in Business</w:t>
      </w:r>
      <w:r w:rsidRPr="006E5D7D">
        <w:rPr>
          <w:rFonts w:ascii="Times New Roman" w:hAnsi="Times New Roman"/>
          <w:noProof/>
          <w:szCs w:val="24"/>
        </w:rPr>
        <w:t>, vol. 5, no. 4, pp. 757–75.</w:t>
      </w:r>
    </w:p>
    <w:p w14:paraId="1B455789"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Musawir, A. ul, Serra, C.E.M., Zwikael, O. &amp; Ali, I. 2017, ‘Project governance, benefit management, and project success: Towards a framework for supporting organizational strategy implementation’, </w:t>
      </w:r>
      <w:r w:rsidRPr="006E5D7D">
        <w:rPr>
          <w:rFonts w:ascii="Times New Roman" w:hAnsi="Times New Roman"/>
          <w:i/>
          <w:iCs/>
          <w:noProof/>
          <w:szCs w:val="24"/>
        </w:rPr>
        <w:t>International Journal of Project Management</w:t>
      </w:r>
      <w:r w:rsidRPr="006E5D7D">
        <w:rPr>
          <w:rFonts w:ascii="Times New Roman" w:hAnsi="Times New Roman"/>
          <w:noProof/>
          <w:szCs w:val="24"/>
        </w:rPr>
        <w:t>, vol. 35, no. 8, pp. 1658–72.</w:t>
      </w:r>
    </w:p>
    <w:p w14:paraId="4E3BE262"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New South Wales Local Government and Municipal (LGAM) knowledge base n.d., </w:t>
      </w:r>
      <w:r w:rsidRPr="006E5D7D">
        <w:rPr>
          <w:rFonts w:ascii="Times New Roman" w:hAnsi="Times New Roman"/>
          <w:i/>
          <w:iCs/>
          <w:noProof/>
          <w:szCs w:val="24"/>
        </w:rPr>
        <w:t>NSW Council Map</w:t>
      </w:r>
      <w:r w:rsidRPr="006E5D7D">
        <w:rPr>
          <w:rFonts w:ascii="Times New Roman" w:hAnsi="Times New Roman"/>
          <w:noProof/>
          <w:szCs w:val="24"/>
        </w:rPr>
        <w:t>, viewed 18 July 2016, &lt;http://www.lgam.info/nsw&gt;.</w:t>
      </w:r>
    </w:p>
    <w:p w14:paraId="6A68AB9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2010, </w:t>
      </w:r>
      <w:r w:rsidRPr="006E5D7D">
        <w:rPr>
          <w:rFonts w:ascii="Times New Roman" w:hAnsi="Times New Roman"/>
          <w:i/>
          <w:iCs/>
          <w:noProof/>
          <w:szCs w:val="24"/>
        </w:rPr>
        <w:t>Capital Expenditure Guidelines</w:t>
      </w:r>
      <w:r w:rsidRPr="006E5D7D">
        <w:rPr>
          <w:rFonts w:ascii="Times New Roman" w:hAnsi="Times New Roman"/>
          <w:noProof/>
          <w:szCs w:val="24"/>
        </w:rPr>
        <w:t>.</w:t>
      </w:r>
    </w:p>
    <w:p w14:paraId="4C8C49A0"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2013, ‘Integrated planning and reporting framework’, </w:t>
      </w:r>
      <w:r w:rsidRPr="006E5D7D">
        <w:rPr>
          <w:rFonts w:ascii="Times New Roman" w:hAnsi="Times New Roman"/>
          <w:i/>
          <w:iCs/>
          <w:noProof/>
          <w:szCs w:val="24"/>
        </w:rPr>
        <w:t>OLG NSW</w:t>
      </w:r>
      <w:r w:rsidRPr="006E5D7D">
        <w:rPr>
          <w:rFonts w:ascii="Times New Roman" w:hAnsi="Times New Roman"/>
          <w:noProof/>
          <w:szCs w:val="24"/>
        </w:rPr>
        <w:t>, viewed 31 May 2020, &lt;http://122.102.106.44/councils/integrated-planning-and-reporting/framework&gt;.</w:t>
      </w:r>
    </w:p>
    <w:p w14:paraId="3CF163AE"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2014, </w:t>
      </w:r>
      <w:r w:rsidRPr="006E5D7D">
        <w:rPr>
          <w:rFonts w:ascii="Times New Roman" w:hAnsi="Times New Roman"/>
          <w:i/>
          <w:iCs/>
          <w:noProof/>
          <w:szCs w:val="24"/>
        </w:rPr>
        <w:t>Comparative information on NSW local government</w:t>
      </w:r>
      <w:r w:rsidRPr="006E5D7D">
        <w:rPr>
          <w:rFonts w:ascii="Times New Roman" w:hAnsi="Times New Roman"/>
          <w:noProof/>
          <w:szCs w:val="24"/>
        </w:rPr>
        <w:t>, NSW Government.</w:t>
      </w:r>
    </w:p>
    <w:p w14:paraId="1389DAE9"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2015a, </w:t>
      </w:r>
      <w:r w:rsidRPr="006E5D7D">
        <w:rPr>
          <w:rFonts w:ascii="Times New Roman" w:hAnsi="Times New Roman"/>
          <w:i/>
          <w:iCs/>
          <w:noProof/>
          <w:szCs w:val="24"/>
        </w:rPr>
        <w:t>Guidelines for the preparation of an application for a special variation to general income for 2014/2015</w:t>
      </w:r>
      <w:r w:rsidRPr="006E5D7D">
        <w:rPr>
          <w:rFonts w:ascii="Times New Roman" w:hAnsi="Times New Roman"/>
          <w:noProof/>
          <w:szCs w:val="24"/>
        </w:rPr>
        <w:t>.</w:t>
      </w:r>
    </w:p>
    <w:p w14:paraId="2A9FE82D"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2015b, </w:t>
      </w:r>
      <w:r w:rsidRPr="006E5D7D">
        <w:rPr>
          <w:rFonts w:ascii="Times New Roman" w:hAnsi="Times New Roman"/>
          <w:i/>
          <w:iCs/>
          <w:noProof/>
          <w:szCs w:val="24"/>
        </w:rPr>
        <w:t>Profile and performance of the NSW local government sector</w:t>
      </w:r>
      <w:r w:rsidRPr="006E5D7D">
        <w:rPr>
          <w:rFonts w:ascii="Times New Roman" w:hAnsi="Times New Roman"/>
          <w:noProof/>
          <w:szCs w:val="24"/>
        </w:rPr>
        <w:t>.</w:t>
      </w:r>
    </w:p>
    <w:p w14:paraId="539ABD6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2016a, </w:t>
      </w:r>
      <w:r w:rsidRPr="006E5D7D">
        <w:rPr>
          <w:rFonts w:ascii="Times New Roman" w:hAnsi="Times New Roman"/>
          <w:i/>
          <w:iCs/>
          <w:noProof/>
          <w:szCs w:val="24"/>
        </w:rPr>
        <w:t>Local Government (Council Amalgamations) Proclamation 2016</w:t>
      </w:r>
      <w:r w:rsidRPr="006E5D7D">
        <w:rPr>
          <w:rFonts w:ascii="Times New Roman" w:hAnsi="Times New Roman"/>
          <w:noProof/>
          <w:szCs w:val="24"/>
        </w:rPr>
        <w:t>.</w:t>
      </w:r>
    </w:p>
    <w:p w14:paraId="72619F1D"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2016b, </w:t>
      </w:r>
      <w:r w:rsidRPr="006E5D7D">
        <w:rPr>
          <w:rFonts w:ascii="Times New Roman" w:hAnsi="Times New Roman"/>
          <w:i/>
          <w:iCs/>
          <w:noProof/>
          <w:szCs w:val="24"/>
        </w:rPr>
        <w:t>Local Government (Council Amalgamations) Proclamation 2016 - NSW Legislation</w:t>
      </w:r>
      <w:r w:rsidRPr="006E5D7D">
        <w:rPr>
          <w:rFonts w:ascii="Times New Roman" w:hAnsi="Times New Roman"/>
          <w:noProof/>
          <w:szCs w:val="24"/>
        </w:rPr>
        <w:t>, viewed 22 February 2019, &lt;https://legislation.nsw.gov.au/#/view/regulation/2016/242/part1/sec4&gt;.</w:t>
      </w:r>
    </w:p>
    <w:p w14:paraId="2622154C"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2019, </w:t>
      </w:r>
      <w:r w:rsidRPr="006E5D7D">
        <w:rPr>
          <w:rFonts w:ascii="Times New Roman" w:hAnsi="Times New Roman"/>
          <w:i/>
          <w:iCs/>
          <w:noProof/>
          <w:szCs w:val="24"/>
        </w:rPr>
        <w:t>New website highlights performance of NSW councils</w:t>
      </w:r>
      <w:r w:rsidRPr="006E5D7D">
        <w:rPr>
          <w:rFonts w:ascii="Times New Roman" w:hAnsi="Times New Roman"/>
          <w:noProof/>
          <w:szCs w:val="24"/>
        </w:rPr>
        <w:t>, viewed 2 June 2020, &lt;https://www.lgnsw.org.au/news/media-release/media-release-new-website-highlights-performance-nsw-councils&gt;.</w:t>
      </w:r>
    </w:p>
    <w:p w14:paraId="0497BE88"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Office of Local Government NSW 2020, </w:t>
      </w:r>
      <w:r w:rsidRPr="006E5D7D">
        <w:rPr>
          <w:rFonts w:ascii="Times New Roman" w:hAnsi="Times New Roman"/>
          <w:i/>
          <w:iCs/>
          <w:noProof/>
          <w:szCs w:val="24"/>
        </w:rPr>
        <w:t>Local Government Code of Accounting Practice and Financial Reporting</w:t>
      </w:r>
      <w:r w:rsidRPr="006E5D7D">
        <w:rPr>
          <w:rFonts w:ascii="Times New Roman" w:hAnsi="Times New Roman"/>
          <w:noProof/>
          <w:szCs w:val="24"/>
        </w:rPr>
        <w:t>, viewed 4 August 2020, &lt;https://www.olg.nsw.gov.au/councils/council-finances/financial-</w:t>
      </w:r>
      <w:r w:rsidRPr="006E5D7D">
        <w:rPr>
          <w:rFonts w:ascii="Times New Roman" w:hAnsi="Times New Roman"/>
          <w:noProof/>
          <w:szCs w:val="24"/>
        </w:rPr>
        <w:lastRenderedPageBreak/>
        <w:t>reporting/local-government-code-of-accounting-practice-and-financial-reporting/&gt;.</w:t>
      </w:r>
    </w:p>
    <w:p w14:paraId="4C752A8B"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Pollanen, R.M. 2014, ‘Annual performance reporting as accountability mechanism in local government’, </w:t>
      </w:r>
      <w:r w:rsidRPr="006E5D7D">
        <w:rPr>
          <w:rFonts w:ascii="Times New Roman" w:hAnsi="Times New Roman"/>
          <w:i/>
          <w:iCs/>
          <w:noProof/>
          <w:szCs w:val="24"/>
        </w:rPr>
        <w:t>International Journal of Business and Public Administration</w:t>
      </w:r>
      <w:r w:rsidRPr="006E5D7D">
        <w:rPr>
          <w:rFonts w:ascii="Times New Roman" w:hAnsi="Times New Roman"/>
          <w:noProof/>
          <w:szCs w:val="24"/>
        </w:rPr>
        <w:t>, vol. 11, no. 2, pp. 105–20.</w:t>
      </w:r>
    </w:p>
    <w:p w14:paraId="45EDE6BF"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Reynolds, R.L. 1983, ‘Policy choices and economies of scale’, </w:t>
      </w:r>
      <w:r w:rsidRPr="006E5D7D">
        <w:rPr>
          <w:rFonts w:ascii="Times New Roman" w:hAnsi="Times New Roman"/>
          <w:i/>
          <w:iCs/>
          <w:noProof/>
          <w:szCs w:val="24"/>
        </w:rPr>
        <w:t>Physical Therapy</w:t>
      </w:r>
      <w:r w:rsidRPr="006E5D7D">
        <w:rPr>
          <w:rFonts w:ascii="Times New Roman" w:hAnsi="Times New Roman"/>
          <w:noProof/>
          <w:szCs w:val="24"/>
        </w:rPr>
        <w:t>, vol. XVII, no. 4.</w:t>
      </w:r>
    </w:p>
    <w:p w14:paraId="52B9F578"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Rosenthal, S.R. 1989, ‘Producing results in government: Moving beyond project management and its limited view of success’, </w:t>
      </w:r>
      <w:r w:rsidRPr="006E5D7D">
        <w:rPr>
          <w:rFonts w:ascii="Times New Roman" w:hAnsi="Times New Roman"/>
          <w:i/>
          <w:iCs/>
          <w:noProof/>
          <w:szCs w:val="24"/>
        </w:rPr>
        <w:t>Journal of Policy Analysis and Management</w:t>
      </w:r>
      <w:r w:rsidRPr="006E5D7D">
        <w:rPr>
          <w:rFonts w:ascii="Times New Roman" w:hAnsi="Times New Roman"/>
          <w:noProof/>
          <w:szCs w:val="24"/>
        </w:rPr>
        <w:t>, vol. 8, no. 1, pp. 110–6.</w:t>
      </w:r>
    </w:p>
    <w:p w14:paraId="430ACC6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Sebestyen, Z. 2017, ‘Further considerations in project success’, </w:t>
      </w:r>
      <w:r w:rsidRPr="006E5D7D">
        <w:rPr>
          <w:rFonts w:ascii="Times New Roman" w:hAnsi="Times New Roman"/>
          <w:i/>
          <w:iCs/>
          <w:noProof/>
          <w:szCs w:val="24"/>
        </w:rPr>
        <w:t>Procedia Engineering</w:t>
      </w:r>
      <w:r w:rsidRPr="006E5D7D">
        <w:rPr>
          <w:rFonts w:ascii="Times New Roman" w:hAnsi="Times New Roman"/>
          <w:noProof/>
          <w:szCs w:val="24"/>
        </w:rPr>
        <w:t>, vol. 196, no. June, pp. 571–7.</w:t>
      </w:r>
    </w:p>
    <w:p w14:paraId="10500354"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Sydney Business Chamber 2015, </w:t>
      </w:r>
      <w:r w:rsidRPr="006E5D7D">
        <w:rPr>
          <w:rFonts w:ascii="Times New Roman" w:hAnsi="Times New Roman"/>
          <w:i/>
          <w:iCs/>
          <w:noProof/>
          <w:szCs w:val="24"/>
        </w:rPr>
        <w:t>Time for reform of Sydney’s Local Councils</w:t>
      </w:r>
      <w:r w:rsidRPr="006E5D7D">
        <w:rPr>
          <w:rFonts w:ascii="Times New Roman" w:hAnsi="Times New Roman"/>
          <w:noProof/>
          <w:szCs w:val="24"/>
        </w:rPr>
        <w:t>, viewed 21 April 2016, &lt;http://businesschamber.com.au/Sydney-Business-Chamber/News-Media/Latest-News/Time-for-Reform-of-Sydney%25E2%2580%2599s-Local-Councils&gt;.</w:t>
      </w:r>
    </w:p>
    <w:p w14:paraId="689C6FAD"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Tavares, A.F. 2018, ‘Municipal amalgamations and their effects: A literature review’, </w:t>
      </w:r>
      <w:r w:rsidRPr="006E5D7D">
        <w:rPr>
          <w:rFonts w:ascii="Times New Roman" w:hAnsi="Times New Roman"/>
          <w:i/>
          <w:iCs/>
          <w:noProof/>
          <w:szCs w:val="24"/>
        </w:rPr>
        <w:t>Miscellanea Geographica</w:t>
      </w:r>
      <w:r w:rsidRPr="006E5D7D">
        <w:rPr>
          <w:rFonts w:ascii="Times New Roman" w:hAnsi="Times New Roman"/>
          <w:noProof/>
          <w:szCs w:val="24"/>
        </w:rPr>
        <w:t>, vol. 22, no. 1, pp. 5–15.</w:t>
      </w:r>
    </w:p>
    <w:p w14:paraId="54752899"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Taylor, J. 2011, ‘Strengthening the link between performance measurement and decision making’, </w:t>
      </w:r>
      <w:r w:rsidRPr="006E5D7D">
        <w:rPr>
          <w:rFonts w:ascii="Times New Roman" w:hAnsi="Times New Roman"/>
          <w:i/>
          <w:iCs/>
          <w:noProof/>
          <w:szCs w:val="24"/>
        </w:rPr>
        <w:t>Public Administration</w:t>
      </w:r>
      <w:r w:rsidRPr="006E5D7D">
        <w:rPr>
          <w:rFonts w:ascii="Times New Roman" w:hAnsi="Times New Roman"/>
          <w:noProof/>
          <w:szCs w:val="24"/>
        </w:rPr>
        <w:t>, vol. 89, no. 3, pp. 860–78.</w:t>
      </w:r>
    </w:p>
    <w:p w14:paraId="2DA34CE0"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Tiley, I. &amp; Dollery, B. 2010, </w:t>
      </w:r>
      <w:r w:rsidRPr="006E5D7D">
        <w:rPr>
          <w:rFonts w:ascii="Times New Roman" w:hAnsi="Times New Roman"/>
          <w:i/>
          <w:iCs/>
          <w:noProof/>
          <w:szCs w:val="24"/>
        </w:rPr>
        <w:t>Local government amalgamation in New South Wales</w:t>
      </w:r>
      <w:r w:rsidRPr="006E5D7D">
        <w:rPr>
          <w:rFonts w:ascii="Times New Roman" w:hAnsi="Times New Roman"/>
          <w:noProof/>
          <w:szCs w:val="24"/>
        </w:rPr>
        <w:t>, Centre for Local Government Working Paper Series, Armidale, NSW, Australia.</w:t>
      </w:r>
    </w:p>
    <w:p w14:paraId="6CC8F84D"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Try, D. &amp; Radnor, Z. 2007, ‘Developing an understanding of results-based management through public value theory’, </w:t>
      </w:r>
      <w:r w:rsidRPr="006E5D7D">
        <w:rPr>
          <w:rFonts w:ascii="Times New Roman" w:hAnsi="Times New Roman"/>
          <w:i/>
          <w:iCs/>
          <w:noProof/>
          <w:szCs w:val="24"/>
        </w:rPr>
        <w:t>International Journal of Public Sector Management</w:t>
      </w:r>
      <w:r w:rsidRPr="006E5D7D">
        <w:rPr>
          <w:rFonts w:ascii="Times New Roman" w:hAnsi="Times New Roman"/>
          <w:noProof/>
          <w:szCs w:val="24"/>
        </w:rPr>
        <w:t>, vol. 20, no. 7, pp. 655–73.</w:t>
      </w:r>
    </w:p>
    <w:p w14:paraId="74EA9463" w14:textId="77777777" w:rsidR="006E5D7D" w:rsidRPr="006E5D7D" w:rsidRDefault="006E5D7D" w:rsidP="006E5D7D">
      <w:pPr>
        <w:widowControl w:val="0"/>
        <w:autoSpaceDE w:val="0"/>
        <w:autoSpaceDN w:val="0"/>
        <w:adjustRightInd w:val="0"/>
        <w:ind w:left="480" w:hanging="480"/>
        <w:rPr>
          <w:rFonts w:ascii="Times New Roman" w:hAnsi="Times New Roman"/>
          <w:noProof/>
          <w:szCs w:val="24"/>
        </w:rPr>
      </w:pPr>
      <w:r w:rsidRPr="006E5D7D">
        <w:rPr>
          <w:rFonts w:ascii="Times New Roman" w:hAnsi="Times New Roman"/>
          <w:noProof/>
          <w:szCs w:val="24"/>
        </w:rPr>
        <w:t xml:space="preserve">Victorian State Government 2022, </w:t>
      </w:r>
      <w:r w:rsidRPr="006E5D7D">
        <w:rPr>
          <w:rFonts w:ascii="Times New Roman" w:hAnsi="Times New Roman"/>
          <w:i/>
          <w:iCs/>
          <w:noProof/>
          <w:szCs w:val="24"/>
        </w:rPr>
        <w:t>Council community satisfaction survey</w:t>
      </w:r>
      <w:r w:rsidRPr="006E5D7D">
        <w:rPr>
          <w:rFonts w:ascii="Times New Roman" w:hAnsi="Times New Roman"/>
          <w:noProof/>
          <w:szCs w:val="24"/>
        </w:rPr>
        <w:t>, viewed 9 April 2022, &lt;https://www.localgovernment.vic.gov.au/our-programs/council-community-satisfaction-survey&gt;.</w:t>
      </w:r>
    </w:p>
    <w:p w14:paraId="664B81E3" w14:textId="77777777" w:rsidR="006E5D7D" w:rsidRPr="006E5D7D" w:rsidRDefault="006E5D7D" w:rsidP="006E5D7D">
      <w:pPr>
        <w:widowControl w:val="0"/>
        <w:autoSpaceDE w:val="0"/>
        <w:autoSpaceDN w:val="0"/>
        <w:adjustRightInd w:val="0"/>
        <w:ind w:left="480" w:hanging="480"/>
        <w:rPr>
          <w:rFonts w:ascii="Times New Roman" w:hAnsi="Times New Roman"/>
          <w:noProof/>
        </w:rPr>
      </w:pPr>
      <w:r w:rsidRPr="006E5D7D">
        <w:rPr>
          <w:rFonts w:ascii="Times New Roman" w:hAnsi="Times New Roman"/>
          <w:noProof/>
          <w:szCs w:val="24"/>
        </w:rPr>
        <w:t xml:space="preserve">Walker, R.G. 2002, ‘Are annual reports of government agencies really “General Purpose” if they do not include performance indicators?’, </w:t>
      </w:r>
      <w:r w:rsidRPr="006E5D7D">
        <w:rPr>
          <w:rFonts w:ascii="Times New Roman" w:hAnsi="Times New Roman"/>
          <w:i/>
          <w:iCs/>
          <w:noProof/>
          <w:szCs w:val="24"/>
        </w:rPr>
        <w:t>Australian Accounting Review</w:t>
      </w:r>
      <w:r w:rsidRPr="006E5D7D">
        <w:rPr>
          <w:rFonts w:ascii="Times New Roman" w:hAnsi="Times New Roman"/>
          <w:noProof/>
          <w:szCs w:val="24"/>
        </w:rPr>
        <w:t>, vol. 12, no. 1, pp. 43–54.</w:t>
      </w:r>
    </w:p>
    <w:p w14:paraId="79C2DF44" w14:textId="77777777" w:rsidR="00E351FC" w:rsidRPr="008C60E3" w:rsidRDefault="00E351FC" w:rsidP="00E351FC">
      <w:pPr>
        <w:spacing w:line="276" w:lineRule="auto"/>
        <w:ind w:right="-738" w:hanging="425"/>
        <w:contextualSpacing/>
        <w:jc w:val="both"/>
        <w:rPr>
          <w:rFonts w:ascii="Times New Roman" w:hAnsi="Times New Roman"/>
          <w:szCs w:val="24"/>
          <w:lang w:eastAsia="en-GB"/>
        </w:rPr>
      </w:pPr>
      <w:r w:rsidRPr="008C60E3">
        <w:rPr>
          <w:rFonts w:ascii="Times New Roman" w:hAnsi="Times New Roman"/>
          <w:szCs w:val="24"/>
          <w:lang w:eastAsia="en-GB"/>
        </w:rPr>
        <w:fldChar w:fldCharType="end"/>
      </w:r>
    </w:p>
    <w:p w14:paraId="43FC32EE" w14:textId="77777777" w:rsidR="00E351FC" w:rsidRPr="008C60E3" w:rsidRDefault="00E351FC" w:rsidP="00E351FC">
      <w:pPr>
        <w:ind w:right="-738" w:hanging="425"/>
        <w:jc w:val="both"/>
        <w:rPr>
          <w:rFonts w:ascii="Times New Roman" w:hAnsi="Times New Roman"/>
          <w:szCs w:val="24"/>
          <w:lang w:eastAsia="en-GB"/>
        </w:rPr>
      </w:pPr>
      <w:r w:rsidRPr="008C60E3">
        <w:rPr>
          <w:rFonts w:ascii="Times New Roman" w:hAnsi="Times New Roman"/>
          <w:szCs w:val="24"/>
          <w:lang w:eastAsia="en-GB"/>
        </w:rPr>
        <w:br w:type="page"/>
      </w:r>
    </w:p>
    <w:p w14:paraId="3D3ABEC9" w14:textId="77777777" w:rsidR="00E351FC" w:rsidRPr="008C60E3" w:rsidRDefault="00E351FC" w:rsidP="00E351FC">
      <w:pPr>
        <w:spacing w:line="480" w:lineRule="auto"/>
        <w:contextualSpacing/>
        <w:rPr>
          <w:rFonts w:ascii="Times New Roman" w:hAnsi="Times New Roman"/>
          <w:b/>
          <w:szCs w:val="24"/>
        </w:rPr>
      </w:pPr>
      <w:r w:rsidRPr="008C60E3">
        <w:rPr>
          <w:rFonts w:ascii="Times New Roman" w:hAnsi="Times New Roman"/>
          <w:b/>
          <w:szCs w:val="24"/>
        </w:rPr>
        <w:lastRenderedPageBreak/>
        <w:t>Figures</w:t>
      </w:r>
    </w:p>
    <w:p w14:paraId="11B5F532" w14:textId="77777777" w:rsidR="00E351FC" w:rsidRDefault="00E351FC" w:rsidP="00E351FC">
      <w:pPr>
        <w:tabs>
          <w:tab w:val="left" w:pos="284"/>
        </w:tabs>
        <w:spacing w:line="276" w:lineRule="auto"/>
        <w:ind w:right="-738"/>
        <w:contextualSpacing/>
        <w:jc w:val="both"/>
        <w:rPr>
          <w:rFonts w:ascii="Times New Roman" w:hAnsi="Times New Roman"/>
          <w:noProof/>
          <w:sz w:val="20"/>
          <w:lang w:eastAsia="en-AU"/>
        </w:rPr>
      </w:pPr>
      <w:r w:rsidRPr="008C60E3">
        <w:rPr>
          <w:rFonts w:ascii="Times New Roman" w:hAnsi="Times New Roman"/>
          <w:szCs w:val="24"/>
          <w:lang w:eastAsia="en-GB"/>
        </w:rPr>
        <w:t>Figure 1</w:t>
      </w:r>
      <w:r w:rsidR="008C60E3">
        <w:rPr>
          <w:rFonts w:ascii="Times New Roman" w:hAnsi="Times New Roman"/>
          <w:szCs w:val="24"/>
          <w:lang w:eastAsia="en-GB"/>
        </w:rPr>
        <w:t xml:space="preserve">. </w:t>
      </w:r>
      <w:r w:rsidRPr="008C60E3">
        <w:rPr>
          <w:rFonts w:ascii="Times New Roman" w:hAnsi="Times New Roman"/>
          <w:szCs w:val="24"/>
          <w:lang w:eastAsia="en-GB"/>
        </w:rPr>
        <w:t xml:space="preserve">Council categories within NSW, the north-western area (grey) is not a part of any local government (Source: adapted from </w:t>
      </w:r>
      <w:r w:rsidRPr="008C60E3">
        <w:rPr>
          <w:rFonts w:ascii="Times New Roman" w:hAnsi="Times New Roman"/>
          <w:szCs w:val="24"/>
          <w:lang w:eastAsia="en-GB"/>
        </w:rPr>
        <w:fldChar w:fldCharType="begin" w:fldLock="1"/>
      </w:r>
      <w:r w:rsidR="0064300B">
        <w:rPr>
          <w:rFonts w:ascii="Times New Roman" w:hAnsi="Times New Roman"/>
          <w:szCs w:val="24"/>
          <w:lang w:eastAsia="en-GB"/>
        </w:rPr>
        <w:instrText>ADDIN CSL_CITATION {"citationItems":[{"id":"ITEM-1","itemData":{"URL":"http://www.lgam.info/nsw","accessed":{"date-parts":[["2016","7","18"]]},"author":[{"dropping-particle":"","family":"New South Wales Local Government and Municipal (LGAM) knowledge base","given":"","non-dropping-particle":"","parse-names":false,"suffix":""}],"id":"ITEM-1","issued":{"date-parts":[["0"]]},"title":"NSW Council Map","type":"webpage"},"uris":["http://www.mendeley.com/documents/?uuid=114708f9-7c4f-4964-8de3-75588967e156"]}],"mendeley":{"formattedCitation":"(New South Wales Local Government and Municipal (LGAM) knowledge base n.d.)","manualFormatting":"NSW Local Government and Municipal (LGAM) Knowledge Base, n.d.)","plainTextFormattedCitation":"(New South Wales Local Government and Municipal (LGAM) knowledge base n.d.)","previouslyFormattedCitation":"(New South Wales Local Government and Municipal (LGAM) knowledge base n.d.)"},"properties":{"noteIndex":0},"schema":"https://github.com/citation-style-language/schema/raw/master/csl-citation.json"}</w:instrText>
      </w:r>
      <w:r w:rsidRPr="008C60E3">
        <w:rPr>
          <w:rFonts w:ascii="Times New Roman" w:hAnsi="Times New Roman"/>
          <w:szCs w:val="24"/>
          <w:lang w:eastAsia="en-GB"/>
        </w:rPr>
        <w:fldChar w:fldCharType="separate"/>
      </w:r>
      <w:r w:rsidRPr="008C60E3">
        <w:rPr>
          <w:rFonts w:ascii="Times New Roman" w:hAnsi="Times New Roman"/>
          <w:noProof/>
          <w:szCs w:val="24"/>
          <w:lang w:eastAsia="en-GB"/>
        </w:rPr>
        <w:t>NSW Local Government and Municipal (LGAM) Knowledge Base, n.d.)</w:t>
      </w:r>
      <w:r w:rsidRPr="008C60E3">
        <w:rPr>
          <w:rFonts w:ascii="Times New Roman" w:hAnsi="Times New Roman"/>
          <w:szCs w:val="24"/>
          <w:lang w:eastAsia="en-GB"/>
        </w:rPr>
        <w:fldChar w:fldCharType="end"/>
      </w:r>
      <w:r w:rsidRPr="002D7AE5">
        <w:rPr>
          <w:rFonts w:ascii="Times New Roman" w:hAnsi="Times New Roman"/>
          <w:noProof/>
          <w:sz w:val="20"/>
          <w:lang w:eastAsia="en-AU"/>
        </w:rPr>
        <w:t xml:space="preserve"> </w:t>
      </w:r>
    </w:p>
    <w:p w14:paraId="0C8C4048" w14:textId="77777777" w:rsidR="00E351FC" w:rsidRDefault="00E351FC" w:rsidP="00E351FC">
      <w:pPr>
        <w:spacing w:line="480" w:lineRule="auto"/>
        <w:contextualSpacing/>
        <w:rPr>
          <w:rFonts w:ascii="Times New Roman" w:hAnsi="Times New Roman"/>
          <w:noProof/>
          <w:lang w:val="en-AU" w:eastAsia="en-AU"/>
        </w:rPr>
      </w:pPr>
      <w:r w:rsidRPr="002D7AE5">
        <w:rPr>
          <w:rFonts w:ascii="Times New Roman" w:hAnsi="Times New Roman"/>
          <w:noProof/>
          <w:lang w:val="en-AU" w:eastAsia="en-AU"/>
        </w:rPr>
        <w:drawing>
          <wp:inline distT="0" distB="0" distL="0" distR="0" wp14:anchorId="3F69782A" wp14:editId="4C33BC92">
            <wp:extent cx="5648325" cy="421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325" cy="4210050"/>
                    </a:xfrm>
                    <a:prstGeom prst="rect">
                      <a:avLst/>
                    </a:prstGeom>
                    <a:noFill/>
                    <a:ln>
                      <a:noFill/>
                    </a:ln>
                  </pic:spPr>
                </pic:pic>
              </a:graphicData>
            </a:graphic>
          </wp:inline>
        </w:drawing>
      </w:r>
    </w:p>
    <w:p w14:paraId="7B8AB7B6" w14:textId="77777777" w:rsidR="00E351FC" w:rsidRDefault="00E351FC" w:rsidP="00E351FC">
      <w:pPr>
        <w:spacing w:line="480" w:lineRule="auto"/>
        <w:contextualSpacing/>
        <w:rPr>
          <w:rFonts w:ascii="Times New Roman" w:hAnsi="Times New Roman"/>
          <w:noProof/>
          <w:lang w:val="en-AU" w:eastAsia="en-AU"/>
        </w:rPr>
      </w:pPr>
    </w:p>
    <w:p w14:paraId="13B6ABBE" w14:textId="77777777" w:rsidR="00E351FC" w:rsidRDefault="00E351FC" w:rsidP="00E351FC">
      <w:pPr>
        <w:spacing w:line="480" w:lineRule="auto"/>
        <w:contextualSpacing/>
        <w:rPr>
          <w:rFonts w:ascii="Times New Roman" w:hAnsi="Times New Roman"/>
          <w:noProof/>
          <w:lang w:val="en-AU" w:eastAsia="en-AU"/>
        </w:rPr>
      </w:pPr>
    </w:p>
    <w:p w14:paraId="61E75DC8" w14:textId="77777777" w:rsidR="00E351FC" w:rsidRDefault="00E351FC" w:rsidP="00E351FC">
      <w:pPr>
        <w:spacing w:line="480" w:lineRule="auto"/>
        <w:contextualSpacing/>
        <w:rPr>
          <w:rFonts w:ascii="Times New Roman" w:hAnsi="Times New Roman"/>
          <w:noProof/>
          <w:lang w:val="en-AU" w:eastAsia="en-AU"/>
        </w:rPr>
      </w:pPr>
    </w:p>
    <w:p w14:paraId="04059F9F" w14:textId="77777777" w:rsidR="00E351FC" w:rsidRPr="00EE51DA" w:rsidRDefault="00E351FC" w:rsidP="00E351FC">
      <w:pPr>
        <w:tabs>
          <w:tab w:val="left" w:pos="284"/>
        </w:tabs>
        <w:spacing w:line="276" w:lineRule="auto"/>
        <w:ind w:right="-738"/>
        <w:contextualSpacing/>
        <w:rPr>
          <w:rFonts w:ascii="Times New Roman" w:hAnsi="Times New Roman"/>
          <w:szCs w:val="24"/>
          <w:lang w:eastAsia="en-GB"/>
        </w:rPr>
      </w:pPr>
      <w:r>
        <w:rPr>
          <w:rFonts w:ascii="Times New Roman" w:hAnsi="Times New Roman"/>
          <w:b/>
          <w:sz w:val="20"/>
          <w:lang w:eastAsia="en-GB"/>
        </w:rPr>
        <w:br w:type="page"/>
      </w:r>
      <w:r w:rsidR="004C460C" w:rsidRPr="00EE51DA" w:rsidDel="004C460C">
        <w:rPr>
          <w:rFonts w:ascii="Times New Roman" w:hAnsi="Times New Roman"/>
          <w:szCs w:val="24"/>
          <w:lang w:eastAsia="en-GB"/>
        </w:rPr>
        <w:lastRenderedPageBreak/>
        <w:t xml:space="preserve"> </w:t>
      </w:r>
      <w:r w:rsidR="004C460C">
        <w:rPr>
          <w:rFonts w:ascii="Times New Roman" w:hAnsi="Times New Roman"/>
          <w:szCs w:val="24"/>
          <w:lang w:eastAsia="en-GB"/>
        </w:rPr>
        <w:t xml:space="preserve">Figure 2. </w:t>
      </w:r>
      <w:r w:rsidRPr="00EE51DA">
        <w:rPr>
          <w:rFonts w:ascii="Times New Roman" w:hAnsi="Times New Roman"/>
          <w:szCs w:val="24"/>
          <w:lang w:eastAsia="en-GB"/>
        </w:rPr>
        <w:t>Average success measure as a percentage for each category (Source: Authors)</w:t>
      </w:r>
    </w:p>
    <w:p w14:paraId="66C941B2" w14:textId="77777777" w:rsidR="00E351FC" w:rsidRDefault="00E351FC" w:rsidP="00E351FC">
      <w:pPr>
        <w:spacing w:line="480" w:lineRule="auto"/>
        <w:contextualSpacing/>
        <w:rPr>
          <w:rFonts w:ascii="Times New Roman" w:hAnsi="Times New Roman"/>
          <w:b/>
          <w:sz w:val="20"/>
        </w:rPr>
      </w:pPr>
      <w:r w:rsidRPr="002D7AE5">
        <w:rPr>
          <w:rFonts w:ascii="Times New Roman" w:hAnsi="Times New Roman"/>
          <w:noProof/>
          <w:lang w:val="en-AU" w:eastAsia="en-AU"/>
        </w:rPr>
        <w:drawing>
          <wp:inline distT="0" distB="0" distL="0" distR="0" wp14:anchorId="77D61AA8" wp14:editId="6BC99544">
            <wp:extent cx="4561840" cy="3075305"/>
            <wp:effectExtent l="0" t="0" r="1016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EA2693" w14:textId="77777777" w:rsidR="004C460C" w:rsidRDefault="004C460C" w:rsidP="004C460C">
      <w:pPr>
        <w:tabs>
          <w:tab w:val="left" w:pos="284"/>
        </w:tabs>
        <w:spacing w:line="276" w:lineRule="auto"/>
        <w:ind w:right="-738"/>
        <w:contextualSpacing/>
        <w:rPr>
          <w:rFonts w:ascii="Times New Roman" w:hAnsi="Times New Roman"/>
          <w:szCs w:val="24"/>
          <w:lang w:eastAsia="en-GB"/>
        </w:rPr>
      </w:pPr>
      <w:r w:rsidRPr="00EE51DA">
        <w:rPr>
          <w:rFonts w:ascii="Times New Roman" w:hAnsi="Times New Roman"/>
          <w:szCs w:val="24"/>
          <w:lang w:eastAsia="en-GB"/>
        </w:rPr>
        <w:t xml:space="preserve">Figure </w:t>
      </w:r>
      <w:r>
        <w:rPr>
          <w:rFonts w:ascii="Times New Roman" w:hAnsi="Times New Roman"/>
          <w:szCs w:val="24"/>
          <w:lang w:eastAsia="en-GB"/>
        </w:rPr>
        <w:t>3. Average employee FTE and average total revenue for each OLG NSW category (Source: Authors)</w:t>
      </w:r>
    </w:p>
    <w:p w14:paraId="1ED6B83C" w14:textId="77777777" w:rsidR="004C460C" w:rsidRDefault="004C460C" w:rsidP="004C460C">
      <w:pPr>
        <w:tabs>
          <w:tab w:val="left" w:pos="284"/>
        </w:tabs>
        <w:spacing w:line="276" w:lineRule="auto"/>
        <w:ind w:right="-738"/>
        <w:contextualSpacing/>
        <w:rPr>
          <w:rFonts w:ascii="Times New Roman" w:hAnsi="Times New Roman"/>
          <w:szCs w:val="24"/>
          <w:lang w:eastAsia="en-GB"/>
        </w:rPr>
      </w:pPr>
      <w:r>
        <w:rPr>
          <w:noProof/>
          <w:lang w:val="en-AU" w:eastAsia="en-AU"/>
        </w:rPr>
        <w:drawing>
          <wp:inline distT="0" distB="0" distL="0" distR="0" wp14:anchorId="2F7043D2" wp14:editId="00E69B58">
            <wp:extent cx="4977765" cy="2963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7765" cy="2963545"/>
                    </a:xfrm>
                    <a:prstGeom prst="rect">
                      <a:avLst/>
                    </a:prstGeom>
                  </pic:spPr>
                </pic:pic>
              </a:graphicData>
            </a:graphic>
          </wp:inline>
        </w:drawing>
      </w:r>
    </w:p>
    <w:p w14:paraId="2E669FAD" w14:textId="77777777" w:rsidR="004C460C" w:rsidRPr="00834F69" w:rsidRDefault="004C460C" w:rsidP="00E351FC">
      <w:pPr>
        <w:spacing w:line="480" w:lineRule="auto"/>
        <w:contextualSpacing/>
        <w:rPr>
          <w:rFonts w:ascii="Times New Roman" w:hAnsi="Times New Roman"/>
          <w:b/>
          <w:sz w:val="20"/>
        </w:rPr>
      </w:pPr>
    </w:p>
    <w:p w14:paraId="32088D6F" w14:textId="77777777" w:rsidR="00E351FC" w:rsidRPr="00F74097" w:rsidRDefault="00E351FC" w:rsidP="00E351FC">
      <w:pPr>
        <w:spacing w:line="480" w:lineRule="auto"/>
        <w:contextualSpacing/>
        <w:rPr>
          <w:rFonts w:ascii="Times New Roman" w:hAnsi="Times New Roman"/>
        </w:rPr>
      </w:pPr>
    </w:p>
    <w:p w14:paraId="0D26B025" w14:textId="77777777" w:rsidR="00E351FC" w:rsidRDefault="00E351FC" w:rsidP="00E351FC">
      <w:pPr>
        <w:pStyle w:val="FirstPara"/>
      </w:pPr>
    </w:p>
    <w:p w14:paraId="20404699" w14:textId="77777777" w:rsidR="00E351FC" w:rsidRDefault="00E351FC" w:rsidP="00E351FC">
      <w:pPr>
        <w:pStyle w:val="MainText"/>
      </w:pPr>
    </w:p>
    <w:p w14:paraId="5CE1162D" w14:textId="77777777" w:rsidR="00E351FC" w:rsidRDefault="00E351FC" w:rsidP="00E351FC">
      <w:pPr>
        <w:pStyle w:val="MainText"/>
      </w:pPr>
    </w:p>
    <w:p w14:paraId="421C97D6" w14:textId="77777777" w:rsidR="00E351FC" w:rsidRDefault="00E351FC" w:rsidP="00E351FC">
      <w:pPr>
        <w:pStyle w:val="MainText"/>
      </w:pPr>
    </w:p>
    <w:p w14:paraId="5DF9BE43" w14:textId="77777777" w:rsidR="00E351FC" w:rsidRDefault="00E351FC" w:rsidP="00E351FC">
      <w:pPr>
        <w:pStyle w:val="MainText"/>
      </w:pPr>
    </w:p>
    <w:p w14:paraId="51050228" w14:textId="77777777" w:rsidR="00E351FC" w:rsidRDefault="00E351FC" w:rsidP="00E351FC">
      <w:pPr>
        <w:pStyle w:val="MainText"/>
      </w:pPr>
    </w:p>
    <w:p w14:paraId="48308F00" w14:textId="77777777" w:rsidR="00E351FC" w:rsidRDefault="00E351FC" w:rsidP="00E351FC">
      <w:pPr>
        <w:pStyle w:val="MainText"/>
      </w:pPr>
    </w:p>
    <w:p w14:paraId="09EABE02" w14:textId="77777777" w:rsidR="00E351FC" w:rsidRDefault="00E351FC" w:rsidP="00E351FC">
      <w:pPr>
        <w:pStyle w:val="MainText"/>
      </w:pPr>
    </w:p>
    <w:p w14:paraId="0D87FF63" w14:textId="77777777" w:rsidR="00E351FC" w:rsidRDefault="00E351FC" w:rsidP="00E351FC">
      <w:pPr>
        <w:pStyle w:val="MainText"/>
      </w:pPr>
    </w:p>
    <w:p w14:paraId="355D3655" w14:textId="77777777" w:rsidR="00E351FC" w:rsidRDefault="00E351FC" w:rsidP="00E351FC"/>
    <w:p w14:paraId="53FA2BA7" w14:textId="77777777" w:rsidR="008276E4" w:rsidRDefault="008276E4" w:rsidP="00E351FC"/>
    <w:sectPr w:rsidR="008276E4" w:rsidSect="00E351F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880" w:h="16820"/>
      <w:pgMar w:top="2640" w:right="2340" w:bottom="2640" w:left="1701" w:header="0" w:footer="0" w:gutter="0"/>
      <w:cols w:space="24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ra Wilkinson" w:date="2022-04-25T13:11:00Z" w:initials="SW">
    <w:p w14:paraId="55730951" w14:textId="77777777" w:rsidR="009406B3" w:rsidRDefault="009406B3" w:rsidP="00874EC8">
      <w:r>
        <w:rPr>
          <w:rStyle w:val="CommentReference"/>
        </w:rPr>
        <w:annotationRef/>
      </w:r>
      <w:r>
        <w:rPr>
          <w:sz w:val="20"/>
        </w:rPr>
        <w:t xml:space="preserve">What do you mean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309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C7C" w16cex:dateUtc="2022-04-25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30951" w16cid:durableId="26111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E751" w14:textId="77777777" w:rsidR="007339D7" w:rsidRDefault="007339D7" w:rsidP="00E351FC">
      <w:pPr>
        <w:spacing w:after="0"/>
      </w:pPr>
      <w:r>
        <w:separator/>
      </w:r>
    </w:p>
  </w:endnote>
  <w:endnote w:type="continuationSeparator" w:id="0">
    <w:p w14:paraId="0CED080D" w14:textId="77777777" w:rsidR="007339D7" w:rsidRDefault="007339D7" w:rsidP="00E35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3421E125" w14:textId="77777777">
      <w:trPr>
        <w:cantSplit/>
      </w:trPr>
      <w:tc>
        <w:tcPr>
          <w:tcW w:w="720" w:type="dxa"/>
        </w:tcPr>
        <w:p w14:paraId="45C19FAF" w14:textId="77777777" w:rsidR="00477A2F" w:rsidRDefault="00477A2F">
          <w:pPr>
            <w:pStyle w:val="MainText"/>
          </w:pPr>
        </w:p>
      </w:tc>
      <w:tc>
        <w:tcPr>
          <w:tcW w:w="480" w:type="dxa"/>
        </w:tcPr>
        <w:p w14:paraId="3017E241" w14:textId="77777777" w:rsidR="00477A2F" w:rsidRDefault="00477A2F">
          <w:pPr>
            <w:pStyle w:val="MainText"/>
          </w:pPr>
        </w:p>
      </w:tc>
      <w:tc>
        <w:tcPr>
          <w:tcW w:w="960" w:type="dxa"/>
        </w:tcPr>
        <w:p w14:paraId="1F4F9DC0" w14:textId="77777777" w:rsidR="00477A2F" w:rsidRDefault="00477A2F">
          <w:pPr>
            <w:pStyle w:val="MainText"/>
          </w:pPr>
        </w:p>
      </w:tc>
      <w:tc>
        <w:tcPr>
          <w:tcW w:w="7200" w:type="dxa"/>
        </w:tcPr>
        <w:p w14:paraId="4C6382D3" w14:textId="77777777" w:rsidR="00477A2F" w:rsidRDefault="00477A2F">
          <w:pPr>
            <w:pStyle w:val="Footer"/>
            <w:spacing w:line="240" w:lineRule="atLeast"/>
          </w:pPr>
        </w:p>
        <w:p w14:paraId="209EBBB6" w14:textId="77777777" w:rsidR="00477A2F" w:rsidRDefault="00477A2F">
          <w:pPr>
            <w:pStyle w:val="Footer"/>
            <w:spacing w:line="240" w:lineRule="atLeast"/>
          </w:pPr>
        </w:p>
        <w:p w14:paraId="0493ED8B" w14:textId="77777777" w:rsidR="00477A2F" w:rsidRDefault="00477A2F">
          <w:pPr>
            <w:pStyle w:val="Footer"/>
            <w:spacing w:line="240" w:lineRule="atLeast"/>
          </w:pPr>
        </w:p>
      </w:tc>
      <w:tc>
        <w:tcPr>
          <w:tcW w:w="960" w:type="dxa"/>
        </w:tcPr>
        <w:p w14:paraId="3A0C985B" w14:textId="77777777" w:rsidR="00477A2F" w:rsidRDefault="00477A2F">
          <w:pPr>
            <w:pStyle w:val="MainText"/>
          </w:pPr>
        </w:p>
      </w:tc>
      <w:tc>
        <w:tcPr>
          <w:tcW w:w="480" w:type="dxa"/>
        </w:tcPr>
        <w:p w14:paraId="103DB101" w14:textId="77777777" w:rsidR="00477A2F" w:rsidRDefault="00477A2F">
          <w:pPr>
            <w:pStyle w:val="MainText"/>
          </w:pPr>
        </w:p>
      </w:tc>
      <w:tc>
        <w:tcPr>
          <w:tcW w:w="720" w:type="dxa"/>
        </w:tcPr>
        <w:p w14:paraId="29BC33F4" w14:textId="77777777" w:rsidR="00477A2F" w:rsidRDefault="00477A2F">
          <w:pPr>
            <w:pStyle w:val="MainText"/>
          </w:pPr>
        </w:p>
      </w:tc>
    </w:tr>
    <w:tr w:rsidR="00477A2F" w14:paraId="020C6998" w14:textId="77777777">
      <w:trPr>
        <w:cantSplit/>
      </w:trPr>
      <w:tc>
        <w:tcPr>
          <w:tcW w:w="720" w:type="dxa"/>
        </w:tcPr>
        <w:p w14:paraId="12C7298D" w14:textId="77777777" w:rsidR="00477A2F" w:rsidRDefault="00477A2F">
          <w:pPr>
            <w:pStyle w:val="MainText"/>
          </w:pPr>
        </w:p>
      </w:tc>
      <w:tc>
        <w:tcPr>
          <w:tcW w:w="480" w:type="dxa"/>
        </w:tcPr>
        <w:p w14:paraId="7D91C948" w14:textId="77777777" w:rsidR="00477A2F" w:rsidRDefault="00477A2F">
          <w:pPr>
            <w:pStyle w:val="MainText"/>
          </w:pPr>
        </w:p>
      </w:tc>
      <w:tc>
        <w:tcPr>
          <w:tcW w:w="960" w:type="dxa"/>
        </w:tcPr>
        <w:p w14:paraId="5CE3BECC" w14:textId="77777777" w:rsidR="00477A2F" w:rsidRDefault="00477A2F">
          <w:pPr>
            <w:pStyle w:val="MainText"/>
          </w:pPr>
        </w:p>
      </w:tc>
      <w:tc>
        <w:tcPr>
          <w:tcW w:w="7200" w:type="dxa"/>
        </w:tcPr>
        <w:p w14:paraId="281B8AD4" w14:textId="77777777" w:rsidR="00477A2F" w:rsidRDefault="00477A2F">
          <w:pPr>
            <w:pStyle w:val="MainText"/>
            <w:spacing w:line="480" w:lineRule="atLeast"/>
          </w:pPr>
        </w:p>
      </w:tc>
      <w:tc>
        <w:tcPr>
          <w:tcW w:w="960" w:type="dxa"/>
        </w:tcPr>
        <w:p w14:paraId="43A99E03" w14:textId="77777777" w:rsidR="00477A2F" w:rsidRDefault="00477A2F">
          <w:pPr>
            <w:pStyle w:val="MainText"/>
          </w:pPr>
        </w:p>
      </w:tc>
      <w:tc>
        <w:tcPr>
          <w:tcW w:w="480" w:type="dxa"/>
        </w:tcPr>
        <w:p w14:paraId="5D1FBF5E" w14:textId="77777777" w:rsidR="00477A2F" w:rsidRDefault="00477A2F">
          <w:pPr>
            <w:pStyle w:val="MainText"/>
          </w:pPr>
        </w:p>
      </w:tc>
      <w:tc>
        <w:tcPr>
          <w:tcW w:w="720" w:type="dxa"/>
        </w:tcPr>
        <w:p w14:paraId="25FD50AB" w14:textId="77777777" w:rsidR="00477A2F" w:rsidRDefault="00477A2F">
          <w:pPr>
            <w:pStyle w:val="MainText"/>
          </w:pPr>
        </w:p>
      </w:tc>
    </w:tr>
    <w:tr w:rsidR="00477A2F" w14:paraId="30FFF5A4" w14:textId="77777777">
      <w:trPr>
        <w:cantSplit/>
      </w:trPr>
      <w:tc>
        <w:tcPr>
          <w:tcW w:w="720" w:type="dxa"/>
        </w:tcPr>
        <w:p w14:paraId="313BABE9" w14:textId="77777777" w:rsidR="00477A2F" w:rsidRDefault="00477A2F">
          <w:pPr>
            <w:pStyle w:val="MainText"/>
          </w:pPr>
        </w:p>
      </w:tc>
      <w:tc>
        <w:tcPr>
          <w:tcW w:w="480" w:type="dxa"/>
        </w:tcPr>
        <w:p w14:paraId="593ECC42" w14:textId="77777777" w:rsidR="00477A2F" w:rsidRDefault="00477A2F">
          <w:pPr>
            <w:pStyle w:val="MainText"/>
          </w:pPr>
        </w:p>
      </w:tc>
      <w:tc>
        <w:tcPr>
          <w:tcW w:w="960" w:type="dxa"/>
        </w:tcPr>
        <w:p w14:paraId="592EDCD0" w14:textId="77777777" w:rsidR="00477A2F" w:rsidRDefault="00477A2F">
          <w:pPr>
            <w:pStyle w:val="MainText"/>
          </w:pPr>
        </w:p>
      </w:tc>
      <w:tc>
        <w:tcPr>
          <w:tcW w:w="7200" w:type="dxa"/>
        </w:tcPr>
        <w:p w14:paraId="75D9F36C" w14:textId="77777777" w:rsidR="00477A2F" w:rsidRDefault="00477A2F">
          <w:pPr>
            <w:pStyle w:val="MainText"/>
            <w:spacing w:line="720" w:lineRule="atLeast"/>
          </w:pPr>
        </w:p>
      </w:tc>
      <w:tc>
        <w:tcPr>
          <w:tcW w:w="960" w:type="dxa"/>
        </w:tcPr>
        <w:p w14:paraId="455C6A99" w14:textId="77777777" w:rsidR="00477A2F" w:rsidRDefault="00477A2F">
          <w:pPr>
            <w:pStyle w:val="MainText"/>
          </w:pPr>
        </w:p>
      </w:tc>
      <w:tc>
        <w:tcPr>
          <w:tcW w:w="480" w:type="dxa"/>
        </w:tcPr>
        <w:p w14:paraId="05724CDF" w14:textId="77777777" w:rsidR="00477A2F" w:rsidRDefault="00477A2F">
          <w:pPr>
            <w:pStyle w:val="MainText"/>
          </w:pPr>
        </w:p>
      </w:tc>
      <w:tc>
        <w:tcPr>
          <w:tcW w:w="720" w:type="dxa"/>
        </w:tcPr>
        <w:p w14:paraId="0CFBBFF6" w14:textId="77777777" w:rsidR="00477A2F" w:rsidRDefault="00477A2F">
          <w:pPr>
            <w:pStyle w:val="MainText"/>
          </w:pPr>
        </w:p>
      </w:tc>
    </w:tr>
    <w:tr w:rsidR="00477A2F" w14:paraId="6B8EEA6A" w14:textId="77777777">
      <w:trPr>
        <w:cantSplit/>
      </w:trPr>
      <w:tc>
        <w:tcPr>
          <w:tcW w:w="720" w:type="dxa"/>
        </w:tcPr>
        <w:p w14:paraId="667F7409" w14:textId="77777777" w:rsidR="00477A2F" w:rsidRDefault="00477A2F">
          <w:pPr>
            <w:pStyle w:val="MainText"/>
          </w:pPr>
        </w:p>
      </w:tc>
      <w:tc>
        <w:tcPr>
          <w:tcW w:w="480" w:type="dxa"/>
        </w:tcPr>
        <w:p w14:paraId="429366D8" w14:textId="77777777" w:rsidR="00477A2F" w:rsidRDefault="00477A2F">
          <w:pPr>
            <w:pStyle w:val="MainText"/>
          </w:pPr>
        </w:p>
      </w:tc>
      <w:tc>
        <w:tcPr>
          <w:tcW w:w="960" w:type="dxa"/>
        </w:tcPr>
        <w:p w14:paraId="2BDD43B0" w14:textId="77777777" w:rsidR="00477A2F" w:rsidRDefault="00477A2F">
          <w:pPr>
            <w:pStyle w:val="MainText"/>
          </w:pPr>
        </w:p>
      </w:tc>
      <w:tc>
        <w:tcPr>
          <w:tcW w:w="7200" w:type="dxa"/>
        </w:tcPr>
        <w:p w14:paraId="627A7AE5" w14:textId="77777777" w:rsidR="00477A2F" w:rsidRDefault="00477A2F">
          <w:pPr>
            <w:pStyle w:val="Header1"/>
            <w:tabs>
              <w:tab w:val="clear" w:pos="7200"/>
              <w:tab w:val="right" w:pos="7080"/>
            </w:tabs>
          </w:pPr>
        </w:p>
      </w:tc>
      <w:tc>
        <w:tcPr>
          <w:tcW w:w="960" w:type="dxa"/>
        </w:tcPr>
        <w:p w14:paraId="0FC999BB" w14:textId="77777777" w:rsidR="00477A2F" w:rsidRDefault="00477A2F">
          <w:pPr>
            <w:pStyle w:val="MainText"/>
          </w:pPr>
        </w:p>
      </w:tc>
      <w:tc>
        <w:tcPr>
          <w:tcW w:w="480" w:type="dxa"/>
        </w:tcPr>
        <w:p w14:paraId="441B5C0C" w14:textId="77777777" w:rsidR="00477A2F" w:rsidRDefault="00477A2F">
          <w:pPr>
            <w:pStyle w:val="MainText"/>
          </w:pPr>
        </w:p>
      </w:tc>
      <w:tc>
        <w:tcPr>
          <w:tcW w:w="720" w:type="dxa"/>
        </w:tcPr>
        <w:p w14:paraId="68A70C47" w14:textId="77777777" w:rsidR="00477A2F" w:rsidRDefault="00477A2F">
          <w:pPr>
            <w:pStyle w:val="MainText"/>
          </w:pPr>
        </w:p>
      </w:tc>
    </w:tr>
  </w:tbl>
  <w:p w14:paraId="64C3D08D" w14:textId="77777777" w:rsidR="00477A2F" w:rsidRDefault="00477A2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1F9A0353" w14:textId="77777777">
      <w:trPr>
        <w:cantSplit/>
      </w:trPr>
      <w:tc>
        <w:tcPr>
          <w:tcW w:w="720" w:type="dxa"/>
        </w:tcPr>
        <w:p w14:paraId="654FF8EC" w14:textId="77777777" w:rsidR="00477A2F" w:rsidRDefault="00477A2F">
          <w:pPr>
            <w:pStyle w:val="MainText"/>
          </w:pPr>
        </w:p>
      </w:tc>
      <w:tc>
        <w:tcPr>
          <w:tcW w:w="480" w:type="dxa"/>
        </w:tcPr>
        <w:p w14:paraId="480D7064" w14:textId="77777777" w:rsidR="00477A2F" w:rsidRDefault="00477A2F">
          <w:pPr>
            <w:pStyle w:val="MainText"/>
          </w:pPr>
        </w:p>
      </w:tc>
      <w:tc>
        <w:tcPr>
          <w:tcW w:w="960" w:type="dxa"/>
        </w:tcPr>
        <w:p w14:paraId="469D936E" w14:textId="77777777" w:rsidR="00477A2F" w:rsidRDefault="00477A2F">
          <w:pPr>
            <w:pStyle w:val="MainText"/>
          </w:pPr>
        </w:p>
      </w:tc>
      <w:tc>
        <w:tcPr>
          <w:tcW w:w="7200" w:type="dxa"/>
        </w:tcPr>
        <w:p w14:paraId="262DBA67" w14:textId="77777777" w:rsidR="00477A2F" w:rsidRDefault="00477A2F">
          <w:pPr>
            <w:pStyle w:val="Footer"/>
            <w:spacing w:line="240" w:lineRule="atLeast"/>
          </w:pPr>
        </w:p>
        <w:p w14:paraId="4354DA48" w14:textId="77777777" w:rsidR="00477A2F" w:rsidRDefault="00477A2F">
          <w:pPr>
            <w:pStyle w:val="Footer"/>
            <w:spacing w:line="240" w:lineRule="atLeast"/>
          </w:pPr>
        </w:p>
        <w:p w14:paraId="2946E655" w14:textId="77777777" w:rsidR="00477A2F" w:rsidRDefault="00477A2F">
          <w:pPr>
            <w:pStyle w:val="Footer"/>
            <w:spacing w:line="240" w:lineRule="atLeast"/>
          </w:pPr>
        </w:p>
      </w:tc>
      <w:tc>
        <w:tcPr>
          <w:tcW w:w="960" w:type="dxa"/>
        </w:tcPr>
        <w:p w14:paraId="1FFF0D1E" w14:textId="77777777" w:rsidR="00477A2F" w:rsidRDefault="00477A2F">
          <w:pPr>
            <w:pStyle w:val="MainText"/>
          </w:pPr>
        </w:p>
      </w:tc>
      <w:tc>
        <w:tcPr>
          <w:tcW w:w="480" w:type="dxa"/>
        </w:tcPr>
        <w:p w14:paraId="16A70142" w14:textId="77777777" w:rsidR="00477A2F" w:rsidRDefault="00477A2F">
          <w:pPr>
            <w:pStyle w:val="MainText"/>
          </w:pPr>
        </w:p>
      </w:tc>
      <w:tc>
        <w:tcPr>
          <w:tcW w:w="720" w:type="dxa"/>
        </w:tcPr>
        <w:p w14:paraId="1FE7EDC9" w14:textId="77777777" w:rsidR="00477A2F" w:rsidRDefault="00477A2F">
          <w:pPr>
            <w:pStyle w:val="MainText"/>
          </w:pPr>
        </w:p>
      </w:tc>
    </w:tr>
    <w:tr w:rsidR="00477A2F" w14:paraId="7F1E9547" w14:textId="77777777">
      <w:trPr>
        <w:cantSplit/>
      </w:trPr>
      <w:tc>
        <w:tcPr>
          <w:tcW w:w="720" w:type="dxa"/>
        </w:tcPr>
        <w:p w14:paraId="727E4FAE" w14:textId="77777777" w:rsidR="00477A2F" w:rsidRDefault="00477A2F">
          <w:pPr>
            <w:pStyle w:val="MainText"/>
          </w:pPr>
        </w:p>
      </w:tc>
      <w:tc>
        <w:tcPr>
          <w:tcW w:w="480" w:type="dxa"/>
        </w:tcPr>
        <w:p w14:paraId="72C3BFD1" w14:textId="77777777" w:rsidR="00477A2F" w:rsidRDefault="00477A2F">
          <w:pPr>
            <w:pStyle w:val="MainText"/>
          </w:pPr>
        </w:p>
      </w:tc>
      <w:tc>
        <w:tcPr>
          <w:tcW w:w="960" w:type="dxa"/>
        </w:tcPr>
        <w:p w14:paraId="5AA2ADA2" w14:textId="77777777" w:rsidR="00477A2F" w:rsidRDefault="00477A2F">
          <w:pPr>
            <w:pStyle w:val="MainText"/>
          </w:pPr>
        </w:p>
      </w:tc>
      <w:tc>
        <w:tcPr>
          <w:tcW w:w="7200" w:type="dxa"/>
        </w:tcPr>
        <w:p w14:paraId="2DEC11AB" w14:textId="77777777" w:rsidR="00477A2F" w:rsidRDefault="00477A2F">
          <w:pPr>
            <w:pStyle w:val="MainText"/>
            <w:spacing w:line="480" w:lineRule="atLeast"/>
          </w:pPr>
        </w:p>
      </w:tc>
      <w:tc>
        <w:tcPr>
          <w:tcW w:w="960" w:type="dxa"/>
        </w:tcPr>
        <w:p w14:paraId="546EA396" w14:textId="77777777" w:rsidR="00477A2F" w:rsidRDefault="00477A2F">
          <w:pPr>
            <w:pStyle w:val="MainText"/>
          </w:pPr>
        </w:p>
      </w:tc>
      <w:tc>
        <w:tcPr>
          <w:tcW w:w="480" w:type="dxa"/>
        </w:tcPr>
        <w:p w14:paraId="3386A2DC" w14:textId="77777777" w:rsidR="00477A2F" w:rsidRDefault="00477A2F">
          <w:pPr>
            <w:pStyle w:val="MainText"/>
          </w:pPr>
        </w:p>
      </w:tc>
      <w:tc>
        <w:tcPr>
          <w:tcW w:w="720" w:type="dxa"/>
        </w:tcPr>
        <w:p w14:paraId="4F22A4F1" w14:textId="77777777" w:rsidR="00477A2F" w:rsidRDefault="00477A2F">
          <w:pPr>
            <w:pStyle w:val="MainText"/>
          </w:pPr>
        </w:p>
      </w:tc>
    </w:tr>
    <w:tr w:rsidR="00477A2F" w14:paraId="2B2EA521" w14:textId="77777777">
      <w:trPr>
        <w:cantSplit/>
      </w:trPr>
      <w:tc>
        <w:tcPr>
          <w:tcW w:w="720" w:type="dxa"/>
        </w:tcPr>
        <w:p w14:paraId="5351BBEE" w14:textId="77777777" w:rsidR="00477A2F" w:rsidRDefault="00477A2F">
          <w:pPr>
            <w:pStyle w:val="MainText"/>
          </w:pPr>
        </w:p>
      </w:tc>
      <w:tc>
        <w:tcPr>
          <w:tcW w:w="480" w:type="dxa"/>
        </w:tcPr>
        <w:p w14:paraId="01A36C1C" w14:textId="77777777" w:rsidR="00477A2F" w:rsidRDefault="00477A2F">
          <w:pPr>
            <w:pStyle w:val="MainText"/>
          </w:pPr>
        </w:p>
      </w:tc>
      <w:tc>
        <w:tcPr>
          <w:tcW w:w="960" w:type="dxa"/>
        </w:tcPr>
        <w:p w14:paraId="75772F0F" w14:textId="77777777" w:rsidR="00477A2F" w:rsidRDefault="00477A2F">
          <w:pPr>
            <w:pStyle w:val="MainText"/>
          </w:pPr>
        </w:p>
      </w:tc>
      <w:tc>
        <w:tcPr>
          <w:tcW w:w="7200" w:type="dxa"/>
        </w:tcPr>
        <w:p w14:paraId="785537D3" w14:textId="77777777" w:rsidR="00477A2F" w:rsidRDefault="00477A2F">
          <w:pPr>
            <w:pStyle w:val="MainText"/>
            <w:spacing w:line="720" w:lineRule="atLeast"/>
          </w:pPr>
        </w:p>
      </w:tc>
      <w:tc>
        <w:tcPr>
          <w:tcW w:w="960" w:type="dxa"/>
        </w:tcPr>
        <w:p w14:paraId="784B9C40" w14:textId="77777777" w:rsidR="00477A2F" w:rsidRDefault="00477A2F">
          <w:pPr>
            <w:pStyle w:val="MainText"/>
          </w:pPr>
        </w:p>
      </w:tc>
      <w:tc>
        <w:tcPr>
          <w:tcW w:w="480" w:type="dxa"/>
        </w:tcPr>
        <w:p w14:paraId="07B6342C" w14:textId="77777777" w:rsidR="00477A2F" w:rsidRDefault="00477A2F">
          <w:pPr>
            <w:pStyle w:val="MainText"/>
          </w:pPr>
        </w:p>
      </w:tc>
      <w:tc>
        <w:tcPr>
          <w:tcW w:w="720" w:type="dxa"/>
        </w:tcPr>
        <w:p w14:paraId="73FC2544" w14:textId="77777777" w:rsidR="00477A2F" w:rsidRDefault="00477A2F">
          <w:pPr>
            <w:pStyle w:val="MainText"/>
          </w:pPr>
        </w:p>
      </w:tc>
    </w:tr>
    <w:tr w:rsidR="00477A2F" w14:paraId="7E5C4A7B" w14:textId="77777777">
      <w:trPr>
        <w:cantSplit/>
      </w:trPr>
      <w:tc>
        <w:tcPr>
          <w:tcW w:w="720" w:type="dxa"/>
        </w:tcPr>
        <w:p w14:paraId="3781AD8B" w14:textId="77777777" w:rsidR="00477A2F" w:rsidRDefault="00477A2F">
          <w:pPr>
            <w:pStyle w:val="MainText"/>
          </w:pPr>
        </w:p>
      </w:tc>
      <w:tc>
        <w:tcPr>
          <w:tcW w:w="480" w:type="dxa"/>
        </w:tcPr>
        <w:p w14:paraId="04EB7D13" w14:textId="77777777" w:rsidR="00477A2F" w:rsidRDefault="00477A2F">
          <w:pPr>
            <w:pStyle w:val="MainText"/>
          </w:pPr>
        </w:p>
      </w:tc>
      <w:tc>
        <w:tcPr>
          <w:tcW w:w="960" w:type="dxa"/>
        </w:tcPr>
        <w:p w14:paraId="5929F1A1" w14:textId="77777777" w:rsidR="00477A2F" w:rsidRDefault="00477A2F">
          <w:pPr>
            <w:pStyle w:val="MainText"/>
          </w:pPr>
        </w:p>
      </w:tc>
      <w:tc>
        <w:tcPr>
          <w:tcW w:w="7200" w:type="dxa"/>
        </w:tcPr>
        <w:p w14:paraId="3927A261" w14:textId="77777777" w:rsidR="00477A2F" w:rsidRDefault="00477A2F">
          <w:pPr>
            <w:pStyle w:val="Header1"/>
            <w:tabs>
              <w:tab w:val="clear" w:pos="7200"/>
              <w:tab w:val="right" w:pos="7080"/>
            </w:tabs>
          </w:pPr>
        </w:p>
      </w:tc>
      <w:tc>
        <w:tcPr>
          <w:tcW w:w="960" w:type="dxa"/>
        </w:tcPr>
        <w:p w14:paraId="408D2480" w14:textId="77777777" w:rsidR="00477A2F" w:rsidRDefault="00477A2F">
          <w:pPr>
            <w:pStyle w:val="MainText"/>
          </w:pPr>
        </w:p>
      </w:tc>
      <w:tc>
        <w:tcPr>
          <w:tcW w:w="480" w:type="dxa"/>
        </w:tcPr>
        <w:p w14:paraId="01BE245C" w14:textId="77777777" w:rsidR="00477A2F" w:rsidRDefault="00477A2F">
          <w:pPr>
            <w:pStyle w:val="MainText"/>
          </w:pPr>
        </w:p>
      </w:tc>
      <w:tc>
        <w:tcPr>
          <w:tcW w:w="720" w:type="dxa"/>
        </w:tcPr>
        <w:p w14:paraId="76859970" w14:textId="77777777" w:rsidR="00477A2F" w:rsidRDefault="00477A2F">
          <w:pPr>
            <w:pStyle w:val="MainText"/>
          </w:pPr>
        </w:p>
      </w:tc>
    </w:tr>
  </w:tbl>
  <w:p w14:paraId="35A25E13" w14:textId="77777777" w:rsidR="00477A2F" w:rsidRDefault="00477A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57D3BFAB" w14:textId="77777777">
      <w:trPr>
        <w:cantSplit/>
      </w:trPr>
      <w:tc>
        <w:tcPr>
          <w:tcW w:w="720" w:type="dxa"/>
        </w:tcPr>
        <w:p w14:paraId="35A64C60" w14:textId="77777777" w:rsidR="00477A2F" w:rsidRDefault="00477A2F">
          <w:pPr>
            <w:pStyle w:val="MainText"/>
          </w:pPr>
        </w:p>
      </w:tc>
      <w:tc>
        <w:tcPr>
          <w:tcW w:w="480" w:type="dxa"/>
        </w:tcPr>
        <w:p w14:paraId="47CCC7EE" w14:textId="77777777" w:rsidR="00477A2F" w:rsidRDefault="00477A2F">
          <w:pPr>
            <w:pStyle w:val="MainText"/>
          </w:pPr>
        </w:p>
      </w:tc>
      <w:tc>
        <w:tcPr>
          <w:tcW w:w="960" w:type="dxa"/>
        </w:tcPr>
        <w:p w14:paraId="161ED320" w14:textId="77777777" w:rsidR="00477A2F" w:rsidRDefault="00477A2F">
          <w:pPr>
            <w:pStyle w:val="MainText"/>
          </w:pPr>
        </w:p>
      </w:tc>
      <w:tc>
        <w:tcPr>
          <w:tcW w:w="7200" w:type="dxa"/>
        </w:tcPr>
        <w:p w14:paraId="3796280D" w14:textId="77777777" w:rsidR="00477A2F" w:rsidRDefault="00477A2F">
          <w:pPr>
            <w:pStyle w:val="Footer"/>
            <w:spacing w:line="240" w:lineRule="atLeast"/>
          </w:pPr>
        </w:p>
      </w:tc>
      <w:tc>
        <w:tcPr>
          <w:tcW w:w="960" w:type="dxa"/>
        </w:tcPr>
        <w:p w14:paraId="168B41C2" w14:textId="77777777" w:rsidR="00477A2F" w:rsidRDefault="00477A2F">
          <w:pPr>
            <w:pStyle w:val="MainText"/>
          </w:pPr>
        </w:p>
      </w:tc>
      <w:tc>
        <w:tcPr>
          <w:tcW w:w="480" w:type="dxa"/>
        </w:tcPr>
        <w:p w14:paraId="77666A71" w14:textId="77777777" w:rsidR="00477A2F" w:rsidRDefault="00477A2F">
          <w:pPr>
            <w:pStyle w:val="MainText"/>
          </w:pPr>
        </w:p>
      </w:tc>
      <w:tc>
        <w:tcPr>
          <w:tcW w:w="720" w:type="dxa"/>
        </w:tcPr>
        <w:p w14:paraId="2F0E6F62" w14:textId="77777777" w:rsidR="00477A2F" w:rsidRDefault="00477A2F">
          <w:pPr>
            <w:pStyle w:val="MainText"/>
          </w:pPr>
        </w:p>
      </w:tc>
    </w:tr>
    <w:tr w:rsidR="00477A2F" w14:paraId="023F2767" w14:textId="77777777">
      <w:trPr>
        <w:cantSplit/>
      </w:trPr>
      <w:tc>
        <w:tcPr>
          <w:tcW w:w="720" w:type="dxa"/>
        </w:tcPr>
        <w:p w14:paraId="716CDE62" w14:textId="77777777" w:rsidR="00477A2F" w:rsidRDefault="00477A2F">
          <w:pPr>
            <w:pStyle w:val="MainText"/>
          </w:pPr>
        </w:p>
      </w:tc>
      <w:tc>
        <w:tcPr>
          <w:tcW w:w="480" w:type="dxa"/>
        </w:tcPr>
        <w:p w14:paraId="789C3894" w14:textId="77777777" w:rsidR="00477A2F" w:rsidRDefault="00477A2F">
          <w:pPr>
            <w:pStyle w:val="MainText"/>
          </w:pPr>
        </w:p>
      </w:tc>
      <w:tc>
        <w:tcPr>
          <w:tcW w:w="960" w:type="dxa"/>
        </w:tcPr>
        <w:p w14:paraId="1C338406" w14:textId="77777777" w:rsidR="00477A2F" w:rsidRDefault="00477A2F">
          <w:pPr>
            <w:pStyle w:val="MainText"/>
          </w:pPr>
        </w:p>
      </w:tc>
      <w:tc>
        <w:tcPr>
          <w:tcW w:w="7200" w:type="dxa"/>
        </w:tcPr>
        <w:p w14:paraId="7F5C9033" w14:textId="77777777" w:rsidR="00477A2F" w:rsidRDefault="00477A2F">
          <w:pPr>
            <w:pStyle w:val="MainText"/>
            <w:spacing w:line="480" w:lineRule="atLeast"/>
          </w:pPr>
        </w:p>
      </w:tc>
      <w:tc>
        <w:tcPr>
          <w:tcW w:w="960" w:type="dxa"/>
        </w:tcPr>
        <w:p w14:paraId="1D14F34F" w14:textId="77777777" w:rsidR="00477A2F" w:rsidRDefault="00477A2F">
          <w:pPr>
            <w:pStyle w:val="MainText"/>
          </w:pPr>
        </w:p>
      </w:tc>
      <w:tc>
        <w:tcPr>
          <w:tcW w:w="480" w:type="dxa"/>
        </w:tcPr>
        <w:p w14:paraId="47C6DE10" w14:textId="77777777" w:rsidR="00477A2F" w:rsidRDefault="00477A2F">
          <w:pPr>
            <w:pStyle w:val="MainText"/>
          </w:pPr>
        </w:p>
      </w:tc>
      <w:tc>
        <w:tcPr>
          <w:tcW w:w="720" w:type="dxa"/>
        </w:tcPr>
        <w:p w14:paraId="3341E6C7" w14:textId="77777777" w:rsidR="00477A2F" w:rsidRDefault="00477A2F">
          <w:pPr>
            <w:pStyle w:val="MainText"/>
          </w:pPr>
        </w:p>
      </w:tc>
    </w:tr>
    <w:tr w:rsidR="00477A2F" w14:paraId="7ADD4084" w14:textId="77777777">
      <w:trPr>
        <w:cantSplit/>
      </w:trPr>
      <w:tc>
        <w:tcPr>
          <w:tcW w:w="720" w:type="dxa"/>
        </w:tcPr>
        <w:p w14:paraId="4BD75C5B" w14:textId="77777777" w:rsidR="00477A2F" w:rsidRDefault="00477A2F">
          <w:pPr>
            <w:pStyle w:val="MainText"/>
          </w:pPr>
        </w:p>
      </w:tc>
      <w:tc>
        <w:tcPr>
          <w:tcW w:w="480" w:type="dxa"/>
        </w:tcPr>
        <w:p w14:paraId="1FFEE2E8" w14:textId="77777777" w:rsidR="00477A2F" w:rsidRDefault="00477A2F">
          <w:pPr>
            <w:pStyle w:val="MainText"/>
          </w:pPr>
        </w:p>
      </w:tc>
      <w:tc>
        <w:tcPr>
          <w:tcW w:w="960" w:type="dxa"/>
        </w:tcPr>
        <w:p w14:paraId="1053B294" w14:textId="77777777" w:rsidR="00477A2F" w:rsidRDefault="00477A2F">
          <w:pPr>
            <w:pStyle w:val="MainText"/>
          </w:pPr>
        </w:p>
      </w:tc>
      <w:tc>
        <w:tcPr>
          <w:tcW w:w="7200" w:type="dxa"/>
        </w:tcPr>
        <w:p w14:paraId="75F69880" w14:textId="77777777" w:rsidR="00477A2F" w:rsidRDefault="00477A2F">
          <w:pPr>
            <w:pStyle w:val="MainText"/>
            <w:spacing w:line="720" w:lineRule="atLeast"/>
          </w:pPr>
        </w:p>
      </w:tc>
      <w:tc>
        <w:tcPr>
          <w:tcW w:w="960" w:type="dxa"/>
        </w:tcPr>
        <w:p w14:paraId="1045644F" w14:textId="77777777" w:rsidR="00477A2F" w:rsidRDefault="00477A2F">
          <w:pPr>
            <w:pStyle w:val="MainText"/>
          </w:pPr>
        </w:p>
      </w:tc>
      <w:tc>
        <w:tcPr>
          <w:tcW w:w="480" w:type="dxa"/>
        </w:tcPr>
        <w:p w14:paraId="5125DD46" w14:textId="77777777" w:rsidR="00477A2F" w:rsidRDefault="00477A2F">
          <w:pPr>
            <w:pStyle w:val="MainText"/>
          </w:pPr>
        </w:p>
      </w:tc>
      <w:tc>
        <w:tcPr>
          <w:tcW w:w="720" w:type="dxa"/>
        </w:tcPr>
        <w:p w14:paraId="34A6B793" w14:textId="77777777" w:rsidR="00477A2F" w:rsidRDefault="00477A2F">
          <w:pPr>
            <w:pStyle w:val="MainText"/>
          </w:pPr>
        </w:p>
      </w:tc>
    </w:tr>
    <w:tr w:rsidR="00477A2F" w14:paraId="5662D62A" w14:textId="77777777">
      <w:trPr>
        <w:cantSplit/>
      </w:trPr>
      <w:tc>
        <w:tcPr>
          <w:tcW w:w="720" w:type="dxa"/>
        </w:tcPr>
        <w:p w14:paraId="1500F80C" w14:textId="77777777" w:rsidR="00477A2F" w:rsidRDefault="00477A2F">
          <w:pPr>
            <w:pStyle w:val="MainText"/>
          </w:pPr>
        </w:p>
      </w:tc>
      <w:tc>
        <w:tcPr>
          <w:tcW w:w="480" w:type="dxa"/>
        </w:tcPr>
        <w:p w14:paraId="6138B402" w14:textId="77777777" w:rsidR="00477A2F" w:rsidRDefault="00477A2F">
          <w:pPr>
            <w:pStyle w:val="MainText"/>
          </w:pPr>
        </w:p>
      </w:tc>
      <w:tc>
        <w:tcPr>
          <w:tcW w:w="960" w:type="dxa"/>
        </w:tcPr>
        <w:p w14:paraId="575E8DC9" w14:textId="77777777" w:rsidR="00477A2F" w:rsidRDefault="00477A2F">
          <w:pPr>
            <w:pStyle w:val="MainText"/>
          </w:pPr>
        </w:p>
      </w:tc>
      <w:tc>
        <w:tcPr>
          <w:tcW w:w="7200" w:type="dxa"/>
        </w:tcPr>
        <w:p w14:paraId="617248C9" w14:textId="77777777" w:rsidR="00477A2F" w:rsidRDefault="00477A2F">
          <w:pPr>
            <w:pStyle w:val="Header1"/>
            <w:tabs>
              <w:tab w:val="clear" w:pos="7200"/>
              <w:tab w:val="right" w:pos="7080"/>
            </w:tabs>
          </w:pPr>
        </w:p>
      </w:tc>
      <w:tc>
        <w:tcPr>
          <w:tcW w:w="960" w:type="dxa"/>
        </w:tcPr>
        <w:p w14:paraId="785F2F04" w14:textId="77777777" w:rsidR="00477A2F" w:rsidRDefault="00477A2F">
          <w:pPr>
            <w:pStyle w:val="MainText"/>
          </w:pPr>
        </w:p>
      </w:tc>
      <w:tc>
        <w:tcPr>
          <w:tcW w:w="480" w:type="dxa"/>
        </w:tcPr>
        <w:p w14:paraId="769BB126" w14:textId="77777777" w:rsidR="00477A2F" w:rsidRDefault="00477A2F">
          <w:pPr>
            <w:pStyle w:val="MainText"/>
          </w:pPr>
        </w:p>
      </w:tc>
      <w:tc>
        <w:tcPr>
          <w:tcW w:w="720" w:type="dxa"/>
        </w:tcPr>
        <w:p w14:paraId="4DE7F305" w14:textId="77777777" w:rsidR="00477A2F" w:rsidRDefault="00477A2F">
          <w:pPr>
            <w:pStyle w:val="MainText"/>
          </w:pPr>
        </w:p>
      </w:tc>
    </w:tr>
  </w:tbl>
  <w:p w14:paraId="28BEF0CF" w14:textId="77777777" w:rsidR="00477A2F" w:rsidRDefault="0047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04EF" w14:textId="77777777" w:rsidR="007339D7" w:rsidRDefault="007339D7" w:rsidP="00E351FC">
      <w:pPr>
        <w:spacing w:after="0"/>
      </w:pPr>
      <w:r>
        <w:separator/>
      </w:r>
    </w:p>
  </w:footnote>
  <w:footnote w:type="continuationSeparator" w:id="0">
    <w:p w14:paraId="67D7844F" w14:textId="77777777" w:rsidR="007339D7" w:rsidRDefault="007339D7" w:rsidP="00E351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7A3F61E3" w14:textId="77777777">
      <w:trPr>
        <w:cantSplit/>
      </w:trPr>
      <w:tc>
        <w:tcPr>
          <w:tcW w:w="720" w:type="dxa"/>
        </w:tcPr>
        <w:p w14:paraId="5655B5D3" w14:textId="77777777" w:rsidR="00477A2F" w:rsidRDefault="00477A2F">
          <w:pPr>
            <w:pStyle w:val="MainText"/>
          </w:pPr>
        </w:p>
      </w:tc>
      <w:tc>
        <w:tcPr>
          <w:tcW w:w="480" w:type="dxa"/>
        </w:tcPr>
        <w:p w14:paraId="312D4734" w14:textId="77777777" w:rsidR="00477A2F" w:rsidRDefault="00477A2F">
          <w:pPr>
            <w:pStyle w:val="MainText"/>
          </w:pPr>
        </w:p>
      </w:tc>
      <w:tc>
        <w:tcPr>
          <w:tcW w:w="960" w:type="dxa"/>
        </w:tcPr>
        <w:p w14:paraId="311170C8" w14:textId="77777777" w:rsidR="00477A2F" w:rsidRDefault="00477A2F">
          <w:pPr>
            <w:pStyle w:val="MainText"/>
          </w:pPr>
        </w:p>
      </w:tc>
      <w:tc>
        <w:tcPr>
          <w:tcW w:w="7200" w:type="dxa"/>
        </w:tcPr>
        <w:p w14:paraId="052068CC" w14:textId="77777777" w:rsidR="00477A2F" w:rsidRDefault="00477A2F">
          <w:pPr>
            <w:pStyle w:val="MainText"/>
            <w:spacing w:line="1080" w:lineRule="atLeast"/>
          </w:pPr>
        </w:p>
      </w:tc>
      <w:tc>
        <w:tcPr>
          <w:tcW w:w="960" w:type="dxa"/>
        </w:tcPr>
        <w:p w14:paraId="4761202B" w14:textId="77777777" w:rsidR="00477A2F" w:rsidRDefault="00477A2F">
          <w:pPr>
            <w:pStyle w:val="MainText"/>
          </w:pPr>
        </w:p>
      </w:tc>
      <w:tc>
        <w:tcPr>
          <w:tcW w:w="480" w:type="dxa"/>
        </w:tcPr>
        <w:p w14:paraId="741BE517" w14:textId="77777777" w:rsidR="00477A2F" w:rsidRDefault="00477A2F">
          <w:pPr>
            <w:pStyle w:val="MainText"/>
          </w:pPr>
        </w:p>
      </w:tc>
      <w:tc>
        <w:tcPr>
          <w:tcW w:w="720" w:type="dxa"/>
        </w:tcPr>
        <w:p w14:paraId="6D308A88" w14:textId="77777777" w:rsidR="00477A2F" w:rsidRDefault="00477A2F">
          <w:pPr>
            <w:pStyle w:val="MainText"/>
          </w:pPr>
        </w:p>
      </w:tc>
    </w:tr>
    <w:tr w:rsidR="00477A2F" w14:paraId="4788A83C" w14:textId="77777777">
      <w:trPr>
        <w:cantSplit/>
      </w:trPr>
      <w:tc>
        <w:tcPr>
          <w:tcW w:w="720" w:type="dxa"/>
        </w:tcPr>
        <w:p w14:paraId="6C9B439D" w14:textId="77777777" w:rsidR="00477A2F" w:rsidRDefault="00477A2F">
          <w:pPr>
            <w:pStyle w:val="MainText"/>
          </w:pPr>
        </w:p>
      </w:tc>
      <w:tc>
        <w:tcPr>
          <w:tcW w:w="480" w:type="dxa"/>
        </w:tcPr>
        <w:p w14:paraId="1B7DCB82" w14:textId="77777777" w:rsidR="00477A2F" w:rsidRDefault="00477A2F">
          <w:pPr>
            <w:pStyle w:val="MainText"/>
          </w:pPr>
        </w:p>
      </w:tc>
      <w:tc>
        <w:tcPr>
          <w:tcW w:w="960" w:type="dxa"/>
        </w:tcPr>
        <w:p w14:paraId="43F4FC3D" w14:textId="77777777" w:rsidR="00477A2F" w:rsidRDefault="00477A2F">
          <w:pPr>
            <w:pStyle w:val="MainText"/>
          </w:pPr>
        </w:p>
      </w:tc>
      <w:tc>
        <w:tcPr>
          <w:tcW w:w="7200" w:type="dxa"/>
        </w:tcPr>
        <w:p w14:paraId="287D8AFA" w14:textId="77777777" w:rsidR="00477A2F" w:rsidRDefault="00477A2F">
          <w:pPr>
            <w:pStyle w:val="MainText"/>
            <w:spacing w:line="480" w:lineRule="atLeast"/>
          </w:pPr>
        </w:p>
      </w:tc>
      <w:tc>
        <w:tcPr>
          <w:tcW w:w="960" w:type="dxa"/>
        </w:tcPr>
        <w:p w14:paraId="734951FD" w14:textId="77777777" w:rsidR="00477A2F" w:rsidRDefault="00477A2F">
          <w:pPr>
            <w:pStyle w:val="MainText"/>
          </w:pPr>
        </w:p>
      </w:tc>
      <w:tc>
        <w:tcPr>
          <w:tcW w:w="480" w:type="dxa"/>
        </w:tcPr>
        <w:p w14:paraId="5EDB4773" w14:textId="77777777" w:rsidR="00477A2F" w:rsidRDefault="00477A2F">
          <w:pPr>
            <w:pStyle w:val="MainText"/>
          </w:pPr>
        </w:p>
      </w:tc>
      <w:tc>
        <w:tcPr>
          <w:tcW w:w="720" w:type="dxa"/>
        </w:tcPr>
        <w:p w14:paraId="1D510063" w14:textId="77777777" w:rsidR="00477A2F" w:rsidRDefault="00477A2F">
          <w:pPr>
            <w:pStyle w:val="MainText"/>
          </w:pPr>
        </w:p>
      </w:tc>
    </w:tr>
    <w:tr w:rsidR="00477A2F" w14:paraId="334E7B66" w14:textId="77777777">
      <w:trPr>
        <w:cantSplit/>
      </w:trPr>
      <w:tc>
        <w:tcPr>
          <w:tcW w:w="720" w:type="dxa"/>
        </w:tcPr>
        <w:p w14:paraId="60AAF091" w14:textId="77777777" w:rsidR="00477A2F" w:rsidRDefault="00477A2F">
          <w:pPr>
            <w:pStyle w:val="MainText"/>
          </w:pPr>
        </w:p>
      </w:tc>
      <w:tc>
        <w:tcPr>
          <w:tcW w:w="480" w:type="dxa"/>
        </w:tcPr>
        <w:p w14:paraId="18DBE4A9" w14:textId="77777777" w:rsidR="00477A2F" w:rsidRDefault="00477A2F">
          <w:pPr>
            <w:pStyle w:val="MainText"/>
          </w:pPr>
        </w:p>
      </w:tc>
      <w:tc>
        <w:tcPr>
          <w:tcW w:w="960" w:type="dxa"/>
        </w:tcPr>
        <w:p w14:paraId="46DFF625" w14:textId="77777777" w:rsidR="00477A2F" w:rsidRDefault="00477A2F">
          <w:pPr>
            <w:pStyle w:val="MainText"/>
          </w:pPr>
        </w:p>
      </w:tc>
      <w:tc>
        <w:tcPr>
          <w:tcW w:w="7200" w:type="dxa"/>
        </w:tcPr>
        <w:p w14:paraId="18F2BF9D" w14:textId="77777777" w:rsidR="00477A2F" w:rsidRDefault="00477A2F">
          <w:pPr>
            <w:pStyle w:val="MainText"/>
            <w:spacing w:line="600" w:lineRule="atLeast"/>
          </w:pPr>
        </w:p>
      </w:tc>
      <w:tc>
        <w:tcPr>
          <w:tcW w:w="960" w:type="dxa"/>
        </w:tcPr>
        <w:p w14:paraId="33AD992B" w14:textId="77777777" w:rsidR="00477A2F" w:rsidRDefault="00477A2F">
          <w:pPr>
            <w:pStyle w:val="MainText"/>
          </w:pPr>
        </w:p>
      </w:tc>
      <w:tc>
        <w:tcPr>
          <w:tcW w:w="480" w:type="dxa"/>
        </w:tcPr>
        <w:p w14:paraId="25D9C3C4" w14:textId="77777777" w:rsidR="00477A2F" w:rsidRDefault="00477A2F">
          <w:pPr>
            <w:pStyle w:val="MainText"/>
          </w:pPr>
        </w:p>
      </w:tc>
      <w:tc>
        <w:tcPr>
          <w:tcW w:w="720" w:type="dxa"/>
        </w:tcPr>
        <w:p w14:paraId="2E37F212" w14:textId="77777777" w:rsidR="00477A2F" w:rsidRDefault="00477A2F">
          <w:pPr>
            <w:pStyle w:val="MainText"/>
          </w:pPr>
        </w:p>
      </w:tc>
    </w:tr>
    <w:tr w:rsidR="00477A2F" w14:paraId="2D4E33F6" w14:textId="77777777">
      <w:trPr>
        <w:cantSplit/>
      </w:trPr>
      <w:tc>
        <w:tcPr>
          <w:tcW w:w="720" w:type="dxa"/>
        </w:tcPr>
        <w:p w14:paraId="64E0D03E" w14:textId="77777777" w:rsidR="00477A2F" w:rsidRDefault="00477A2F">
          <w:pPr>
            <w:pStyle w:val="MainText"/>
          </w:pPr>
        </w:p>
      </w:tc>
      <w:tc>
        <w:tcPr>
          <w:tcW w:w="480" w:type="dxa"/>
        </w:tcPr>
        <w:p w14:paraId="1FA1D2B6" w14:textId="77777777" w:rsidR="00477A2F" w:rsidRDefault="00477A2F">
          <w:pPr>
            <w:pStyle w:val="MainText"/>
          </w:pPr>
        </w:p>
      </w:tc>
      <w:tc>
        <w:tcPr>
          <w:tcW w:w="960" w:type="dxa"/>
        </w:tcPr>
        <w:p w14:paraId="1E1D5115" w14:textId="77777777" w:rsidR="00477A2F" w:rsidRDefault="00477A2F">
          <w:pPr>
            <w:pStyle w:val="MainText"/>
          </w:pPr>
        </w:p>
      </w:tc>
      <w:tc>
        <w:tcPr>
          <w:tcW w:w="7200" w:type="dxa"/>
        </w:tcPr>
        <w:p w14:paraId="65BC589C" w14:textId="77777777" w:rsidR="00477A2F" w:rsidRDefault="00477A2F">
          <w:pPr>
            <w:pStyle w:val="Header1"/>
            <w:tabs>
              <w:tab w:val="clear" w:pos="7200"/>
              <w:tab w:val="right" w:pos="7080"/>
            </w:tabs>
          </w:pPr>
          <w:r>
            <w:rPr>
              <w:i w:val="0"/>
            </w:rPr>
            <w:tab/>
          </w:r>
          <w:r>
            <w:t>Author</w:t>
          </w:r>
        </w:p>
      </w:tc>
      <w:tc>
        <w:tcPr>
          <w:tcW w:w="960" w:type="dxa"/>
        </w:tcPr>
        <w:p w14:paraId="05A04B8A" w14:textId="77777777" w:rsidR="00477A2F" w:rsidRDefault="00477A2F">
          <w:pPr>
            <w:pStyle w:val="MainText"/>
          </w:pPr>
        </w:p>
      </w:tc>
      <w:tc>
        <w:tcPr>
          <w:tcW w:w="480" w:type="dxa"/>
        </w:tcPr>
        <w:p w14:paraId="717EB210" w14:textId="77777777" w:rsidR="00477A2F" w:rsidRDefault="00477A2F">
          <w:pPr>
            <w:pStyle w:val="MainText"/>
          </w:pPr>
        </w:p>
      </w:tc>
      <w:tc>
        <w:tcPr>
          <w:tcW w:w="720" w:type="dxa"/>
        </w:tcPr>
        <w:p w14:paraId="24821436" w14:textId="77777777" w:rsidR="00477A2F" w:rsidRDefault="00477A2F">
          <w:pPr>
            <w:pStyle w:val="MainText"/>
          </w:pPr>
        </w:p>
      </w:tc>
    </w:tr>
  </w:tbl>
  <w:p w14:paraId="2C2C1DC4" w14:textId="77777777" w:rsidR="00477A2F" w:rsidRDefault="00477A2F">
    <w:pPr>
      <w:pStyle w:val="Header1"/>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0C2C0172" w14:textId="77777777">
      <w:trPr>
        <w:cantSplit/>
      </w:trPr>
      <w:tc>
        <w:tcPr>
          <w:tcW w:w="720" w:type="dxa"/>
        </w:tcPr>
        <w:p w14:paraId="1BF06AD5" w14:textId="77777777" w:rsidR="00477A2F" w:rsidRDefault="00477A2F">
          <w:pPr>
            <w:pStyle w:val="MainText"/>
          </w:pPr>
        </w:p>
      </w:tc>
      <w:tc>
        <w:tcPr>
          <w:tcW w:w="480" w:type="dxa"/>
        </w:tcPr>
        <w:p w14:paraId="713F32D6" w14:textId="77777777" w:rsidR="00477A2F" w:rsidRDefault="00477A2F">
          <w:pPr>
            <w:pStyle w:val="MainText"/>
          </w:pPr>
        </w:p>
      </w:tc>
      <w:tc>
        <w:tcPr>
          <w:tcW w:w="960" w:type="dxa"/>
        </w:tcPr>
        <w:p w14:paraId="208E2432" w14:textId="77777777" w:rsidR="00477A2F" w:rsidRDefault="00477A2F">
          <w:pPr>
            <w:pStyle w:val="MainText"/>
          </w:pPr>
        </w:p>
      </w:tc>
      <w:tc>
        <w:tcPr>
          <w:tcW w:w="7200" w:type="dxa"/>
        </w:tcPr>
        <w:p w14:paraId="080F4DBC" w14:textId="77777777" w:rsidR="00477A2F" w:rsidRDefault="00477A2F">
          <w:pPr>
            <w:pStyle w:val="MainText"/>
            <w:spacing w:line="1080" w:lineRule="atLeast"/>
          </w:pPr>
        </w:p>
      </w:tc>
      <w:tc>
        <w:tcPr>
          <w:tcW w:w="960" w:type="dxa"/>
        </w:tcPr>
        <w:p w14:paraId="4E25E848" w14:textId="77777777" w:rsidR="00477A2F" w:rsidRDefault="00477A2F">
          <w:pPr>
            <w:pStyle w:val="MainText"/>
          </w:pPr>
        </w:p>
      </w:tc>
      <w:tc>
        <w:tcPr>
          <w:tcW w:w="480" w:type="dxa"/>
        </w:tcPr>
        <w:p w14:paraId="1F4CFAD5" w14:textId="77777777" w:rsidR="00477A2F" w:rsidRDefault="00477A2F">
          <w:pPr>
            <w:pStyle w:val="MainText"/>
          </w:pPr>
        </w:p>
      </w:tc>
      <w:tc>
        <w:tcPr>
          <w:tcW w:w="720" w:type="dxa"/>
        </w:tcPr>
        <w:p w14:paraId="673F8DB3" w14:textId="77777777" w:rsidR="00477A2F" w:rsidRDefault="00477A2F">
          <w:pPr>
            <w:pStyle w:val="MainText"/>
          </w:pPr>
        </w:p>
      </w:tc>
    </w:tr>
    <w:tr w:rsidR="00477A2F" w14:paraId="749E4AD8" w14:textId="77777777">
      <w:trPr>
        <w:cantSplit/>
      </w:trPr>
      <w:tc>
        <w:tcPr>
          <w:tcW w:w="720" w:type="dxa"/>
        </w:tcPr>
        <w:p w14:paraId="0F4017BB" w14:textId="77777777" w:rsidR="00477A2F" w:rsidRDefault="00477A2F">
          <w:pPr>
            <w:pStyle w:val="MainText"/>
          </w:pPr>
        </w:p>
      </w:tc>
      <w:tc>
        <w:tcPr>
          <w:tcW w:w="480" w:type="dxa"/>
        </w:tcPr>
        <w:p w14:paraId="28DB25F2" w14:textId="77777777" w:rsidR="00477A2F" w:rsidRDefault="00477A2F">
          <w:pPr>
            <w:pStyle w:val="MainText"/>
          </w:pPr>
        </w:p>
      </w:tc>
      <w:tc>
        <w:tcPr>
          <w:tcW w:w="960" w:type="dxa"/>
        </w:tcPr>
        <w:p w14:paraId="7A4B738D" w14:textId="77777777" w:rsidR="00477A2F" w:rsidRDefault="00477A2F">
          <w:pPr>
            <w:pStyle w:val="MainText"/>
          </w:pPr>
        </w:p>
      </w:tc>
      <w:tc>
        <w:tcPr>
          <w:tcW w:w="7200" w:type="dxa"/>
        </w:tcPr>
        <w:p w14:paraId="3B9CE2BB" w14:textId="77777777" w:rsidR="00477A2F" w:rsidRDefault="00477A2F">
          <w:pPr>
            <w:pStyle w:val="MainText"/>
            <w:spacing w:line="480" w:lineRule="atLeast"/>
          </w:pPr>
        </w:p>
      </w:tc>
      <w:tc>
        <w:tcPr>
          <w:tcW w:w="960" w:type="dxa"/>
        </w:tcPr>
        <w:p w14:paraId="0CB2F92D" w14:textId="77777777" w:rsidR="00477A2F" w:rsidRDefault="00477A2F">
          <w:pPr>
            <w:pStyle w:val="MainText"/>
          </w:pPr>
        </w:p>
      </w:tc>
      <w:tc>
        <w:tcPr>
          <w:tcW w:w="480" w:type="dxa"/>
        </w:tcPr>
        <w:p w14:paraId="490DF3A3" w14:textId="77777777" w:rsidR="00477A2F" w:rsidRDefault="00477A2F">
          <w:pPr>
            <w:pStyle w:val="MainText"/>
          </w:pPr>
        </w:p>
      </w:tc>
      <w:tc>
        <w:tcPr>
          <w:tcW w:w="720" w:type="dxa"/>
        </w:tcPr>
        <w:p w14:paraId="37488836" w14:textId="77777777" w:rsidR="00477A2F" w:rsidRDefault="00477A2F">
          <w:pPr>
            <w:pStyle w:val="MainText"/>
          </w:pPr>
        </w:p>
      </w:tc>
    </w:tr>
    <w:tr w:rsidR="00477A2F" w14:paraId="5A80B77D" w14:textId="77777777">
      <w:trPr>
        <w:cantSplit/>
      </w:trPr>
      <w:tc>
        <w:tcPr>
          <w:tcW w:w="720" w:type="dxa"/>
        </w:tcPr>
        <w:p w14:paraId="77AA2864" w14:textId="77777777" w:rsidR="00477A2F" w:rsidRDefault="00477A2F">
          <w:pPr>
            <w:pStyle w:val="MainText"/>
          </w:pPr>
        </w:p>
      </w:tc>
      <w:tc>
        <w:tcPr>
          <w:tcW w:w="480" w:type="dxa"/>
        </w:tcPr>
        <w:p w14:paraId="55DC8222" w14:textId="77777777" w:rsidR="00477A2F" w:rsidRDefault="00477A2F">
          <w:pPr>
            <w:pStyle w:val="MainText"/>
          </w:pPr>
        </w:p>
      </w:tc>
      <w:tc>
        <w:tcPr>
          <w:tcW w:w="960" w:type="dxa"/>
        </w:tcPr>
        <w:p w14:paraId="07792B4C" w14:textId="77777777" w:rsidR="00477A2F" w:rsidRDefault="00477A2F">
          <w:pPr>
            <w:pStyle w:val="MainText"/>
          </w:pPr>
        </w:p>
      </w:tc>
      <w:tc>
        <w:tcPr>
          <w:tcW w:w="7200" w:type="dxa"/>
        </w:tcPr>
        <w:p w14:paraId="4E7EA706" w14:textId="77777777" w:rsidR="00477A2F" w:rsidRDefault="00477A2F">
          <w:pPr>
            <w:pStyle w:val="MainText"/>
            <w:spacing w:line="600" w:lineRule="atLeast"/>
          </w:pPr>
        </w:p>
      </w:tc>
      <w:tc>
        <w:tcPr>
          <w:tcW w:w="960" w:type="dxa"/>
        </w:tcPr>
        <w:p w14:paraId="6BDA75A8" w14:textId="77777777" w:rsidR="00477A2F" w:rsidRDefault="00477A2F">
          <w:pPr>
            <w:pStyle w:val="MainText"/>
          </w:pPr>
        </w:p>
      </w:tc>
      <w:tc>
        <w:tcPr>
          <w:tcW w:w="480" w:type="dxa"/>
        </w:tcPr>
        <w:p w14:paraId="36E09E20" w14:textId="77777777" w:rsidR="00477A2F" w:rsidRDefault="00477A2F">
          <w:pPr>
            <w:pStyle w:val="MainText"/>
          </w:pPr>
        </w:p>
      </w:tc>
      <w:tc>
        <w:tcPr>
          <w:tcW w:w="720" w:type="dxa"/>
        </w:tcPr>
        <w:p w14:paraId="621F0146" w14:textId="77777777" w:rsidR="00477A2F" w:rsidRDefault="00477A2F">
          <w:pPr>
            <w:pStyle w:val="MainText"/>
          </w:pPr>
        </w:p>
      </w:tc>
    </w:tr>
    <w:tr w:rsidR="00477A2F" w14:paraId="0FADF521" w14:textId="77777777">
      <w:trPr>
        <w:cantSplit/>
      </w:trPr>
      <w:tc>
        <w:tcPr>
          <w:tcW w:w="720" w:type="dxa"/>
        </w:tcPr>
        <w:p w14:paraId="170C272E" w14:textId="77777777" w:rsidR="00477A2F" w:rsidRDefault="00477A2F">
          <w:pPr>
            <w:pStyle w:val="MainText"/>
          </w:pPr>
        </w:p>
      </w:tc>
      <w:tc>
        <w:tcPr>
          <w:tcW w:w="480" w:type="dxa"/>
        </w:tcPr>
        <w:p w14:paraId="4847D159" w14:textId="77777777" w:rsidR="00477A2F" w:rsidRDefault="00477A2F">
          <w:pPr>
            <w:pStyle w:val="MainText"/>
          </w:pPr>
        </w:p>
      </w:tc>
      <w:tc>
        <w:tcPr>
          <w:tcW w:w="960" w:type="dxa"/>
        </w:tcPr>
        <w:p w14:paraId="063721AC" w14:textId="77777777" w:rsidR="00477A2F" w:rsidRDefault="00477A2F">
          <w:pPr>
            <w:pStyle w:val="MainText"/>
          </w:pPr>
        </w:p>
      </w:tc>
      <w:tc>
        <w:tcPr>
          <w:tcW w:w="7200" w:type="dxa"/>
        </w:tcPr>
        <w:p w14:paraId="0C136AE6" w14:textId="77777777" w:rsidR="00477A2F" w:rsidRDefault="00477A2F" w:rsidP="00CC5EBC">
          <w:pPr>
            <w:pStyle w:val="Header1"/>
            <w:tabs>
              <w:tab w:val="clear" w:pos="7200"/>
              <w:tab w:val="right" w:pos="7080"/>
            </w:tabs>
          </w:pPr>
          <w:r>
            <w:rPr>
              <w:i w:val="0"/>
            </w:rPr>
            <w:tab/>
          </w:r>
          <w:r>
            <w:t>Project performance reporting in New South Wales local government</w:t>
          </w:r>
        </w:p>
      </w:tc>
      <w:tc>
        <w:tcPr>
          <w:tcW w:w="960" w:type="dxa"/>
        </w:tcPr>
        <w:p w14:paraId="5FF8C1DC" w14:textId="77777777" w:rsidR="00477A2F" w:rsidRDefault="00477A2F">
          <w:pPr>
            <w:pStyle w:val="MainText"/>
          </w:pPr>
        </w:p>
      </w:tc>
      <w:tc>
        <w:tcPr>
          <w:tcW w:w="480" w:type="dxa"/>
        </w:tcPr>
        <w:p w14:paraId="6531F9A0" w14:textId="77777777" w:rsidR="00477A2F" w:rsidRDefault="00477A2F">
          <w:pPr>
            <w:pStyle w:val="MainText"/>
          </w:pPr>
        </w:p>
      </w:tc>
      <w:tc>
        <w:tcPr>
          <w:tcW w:w="720" w:type="dxa"/>
        </w:tcPr>
        <w:p w14:paraId="49424DC2" w14:textId="77777777" w:rsidR="00477A2F" w:rsidRDefault="00477A2F">
          <w:pPr>
            <w:pStyle w:val="MainText"/>
          </w:pPr>
        </w:p>
      </w:tc>
    </w:tr>
  </w:tbl>
  <w:p w14:paraId="1FA1AAD0" w14:textId="77777777" w:rsidR="00477A2F" w:rsidRDefault="00477A2F">
    <w:pPr>
      <w:pStyle w:val="Header1"/>
      <w:rPr>
        <w:sz w:val="8"/>
      </w:rPr>
    </w:pPr>
  </w:p>
  <w:p w14:paraId="1822AD67" w14:textId="77777777" w:rsidR="00477A2F" w:rsidRDefault="00477A2F">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52" w:type="dxa"/>
      <w:tblLayout w:type="fixed"/>
      <w:tblCellMar>
        <w:left w:w="0" w:type="dxa"/>
        <w:right w:w="0" w:type="dxa"/>
      </w:tblCellMar>
      <w:tblLook w:val="0000" w:firstRow="0" w:lastRow="0" w:firstColumn="0" w:lastColumn="0" w:noHBand="0" w:noVBand="0"/>
    </w:tblPr>
    <w:tblGrid>
      <w:gridCol w:w="720"/>
      <w:gridCol w:w="480"/>
      <w:gridCol w:w="960"/>
      <w:gridCol w:w="7200"/>
      <w:gridCol w:w="960"/>
      <w:gridCol w:w="480"/>
      <w:gridCol w:w="720"/>
    </w:tblGrid>
    <w:tr w:rsidR="00477A2F" w14:paraId="2CE114FD" w14:textId="77777777">
      <w:trPr>
        <w:cantSplit/>
      </w:trPr>
      <w:tc>
        <w:tcPr>
          <w:tcW w:w="720" w:type="dxa"/>
        </w:tcPr>
        <w:p w14:paraId="60C652BB" w14:textId="77777777" w:rsidR="00477A2F" w:rsidRDefault="00477A2F">
          <w:pPr>
            <w:pStyle w:val="MainText"/>
          </w:pPr>
        </w:p>
      </w:tc>
      <w:tc>
        <w:tcPr>
          <w:tcW w:w="480" w:type="dxa"/>
        </w:tcPr>
        <w:p w14:paraId="3360B59D" w14:textId="77777777" w:rsidR="00477A2F" w:rsidRDefault="00477A2F">
          <w:pPr>
            <w:pStyle w:val="MainText"/>
          </w:pPr>
        </w:p>
      </w:tc>
      <w:tc>
        <w:tcPr>
          <w:tcW w:w="960" w:type="dxa"/>
        </w:tcPr>
        <w:p w14:paraId="20240E2C" w14:textId="77777777" w:rsidR="00477A2F" w:rsidRDefault="00477A2F">
          <w:pPr>
            <w:pStyle w:val="MainText"/>
          </w:pPr>
        </w:p>
      </w:tc>
      <w:tc>
        <w:tcPr>
          <w:tcW w:w="7200" w:type="dxa"/>
        </w:tcPr>
        <w:p w14:paraId="22406210" w14:textId="77777777" w:rsidR="00477A2F" w:rsidRDefault="00477A2F">
          <w:pPr>
            <w:pStyle w:val="MainText"/>
            <w:tabs>
              <w:tab w:val="left" w:pos="5835"/>
            </w:tabs>
            <w:spacing w:line="1080" w:lineRule="atLeast"/>
          </w:pPr>
          <w:r>
            <w:tab/>
          </w:r>
        </w:p>
      </w:tc>
      <w:tc>
        <w:tcPr>
          <w:tcW w:w="960" w:type="dxa"/>
        </w:tcPr>
        <w:p w14:paraId="1AFEBC82" w14:textId="77777777" w:rsidR="00477A2F" w:rsidRDefault="00477A2F">
          <w:pPr>
            <w:pStyle w:val="MainText"/>
          </w:pPr>
        </w:p>
      </w:tc>
      <w:tc>
        <w:tcPr>
          <w:tcW w:w="480" w:type="dxa"/>
        </w:tcPr>
        <w:p w14:paraId="39927FA6" w14:textId="77777777" w:rsidR="00477A2F" w:rsidRDefault="00477A2F">
          <w:pPr>
            <w:pStyle w:val="MainText"/>
          </w:pPr>
        </w:p>
      </w:tc>
      <w:tc>
        <w:tcPr>
          <w:tcW w:w="720" w:type="dxa"/>
        </w:tcPr>
        <w:p w14:paraId="4437D487" w14:textId="77777777" w:rsidR="00477A2F" w:rsidRDefault="00477A2F">
          <w:pPr>
            <w:pStyle w:val="MainText"/>
          </w:pPr>
        </w:p>
      </w:tc>
    </w:tr>
    <w:tr w:rsidR="00477A2F" w14:paraId="0E62B66B" w14:textId="77777777">
      <w:trPr>
        <w:cantSplit/>
      </w:trPr>
      <w:tc>
        <w:tcPr>
          <w:tcW w:w="720" w:type="dxa"/>
        </w:tcPr>
        <w:p w14:paraId="51EEEE7F" w14:textId="77777777" w:rsidR="00477A2F" w:rsidRDefault="00477A2F">
          <w:pPr>
            <w:pStyle w:val="MainText"/>
          </w:pPr>
        </w:p>
      </w:tc>
      <w:tc>
        <w:tcPr>
          <w:tcW w:w="480" w:type="dxa"/>
        </w:tcPr>
        <w:p w14:paraId="56406E01" w14:textId="77777777" w:rsidR="00477A2F" w:rsidRDefault="00477A2F">
          <w:pPr>
            <w:pStyle w:val="MainText"/>
          </w:pPr>
        </w:p>
      </w:tc>
      <w:tc>
        <w:tcPr>
          <w:tcW w:w="960" w:type="dxa"/>
        </w:tcPr>
        <w:p w14:paraId="00C8FD79" w14:textId="77777777" w:rsidR="00477A2F" w:rsidRDefault="00477A2F">
          <w:pPr>
            <w:pStyle w:val="MainText"/>
          </w:pPr>
        </w:p>
      </w:tc>
      <w:tc>
        <w:tcPr>
          <w:tcW w:w="7200" w:type="dxa"/>
        </w:tcPr>
        <w:p w14:paraId="39B0CE05" w14:textId="77777777" w:rsidR="00477A2F" w:rsidRDefault="00477A2F">
          <w:pPr>
            <w:pStyle w:val="MainText"/>
            <w:spacing w:line="480" w:lineRule="atLeast"/>
          </w:pPr>
        </w:p>
      </w:tc>
      <w:tc>
        <w:tcPr>
          <w:tcW w:w="960" w:type="dxa"/>
        </w:tcPr>
        <w:p w14:paraId="4EDC5F19" w14:textId="77777777" w:rsidR="00477A2F" w:rsidRDefault="00477A2F">
          <w:pPr>
            <w:pStyle w:val="MainText"/>
          </w:pPr>
        </w:p>
      </w:tc>
      <w:tc>
        <w:tcPr>
          <w:tcW w:w="480" w:type="dxa"/>
        </w:tcPr>
        <w:p w14:paraId="773919BF" w14:textId="77777777" w:rsidR="00477A2F" w:rsidRDefault="00477A2F">
          <w:pPr>
            <w:pStyle w:val="MainText"/>
          </w:pPr>
        </w:p>
      </w:tc>
      <w:tc>
        <w:tcPr>
          <w:tcW w:w="720" w:type="dxa"/>
        </w:tcPr>
        <w:p w14:paraId="649DA228" w14:textId="77777777" w:rsidR="00477A2F" w:rsidRDefault="00477A2F">
          <w:pPr>
            <w:pStyle w:val="MainText"/>
          </w:pPr>
        </w:p>
      </w:tc>
    </w:tr>
    <w:tr w:rsidR="00477A2F" w14:paraId="30A2D629" w14:textId="77777777">
      <w:trPr>
        <w:cantSplit/>
      </w:trPr>
      <w:tc>
        <w:tcPr>
          <w:tcW w:w="720" w:type="dxa"/>
        </w:tcPr>
        <w:p w14:paraId="7BFCF132" w14:textId="77777777" w:rsidR="00477A2F" w:rsidRDefault="00477A2F">
          <w:pPr>
            <w:pStyle w:val="MainText"/>
          </w:pPr>
        </w:p>
      </w:tc>
      <w:tc>
        <w:tcPr>
          <w:tcW w:w="480" w:type="dxa"/>
        </w:tcPr>
        <w:p w14:paraId="31BE1290" w14:textId="77777777" w:rsidR="00477A2F" w:rsidRDefault="00477A2F">
          <w:pPr>
            <w:pStyle w:val="MainText"/>
          </w:pPr>
        </w:p>
      </w:tc>
      <w:tc>
        <w:tcPr>
          <w:tcW w:w="960" w:type="dxa"/>
        </w:tcPr>
        <w:p w14:paraId="63DADA7A" w14:textId="77777777" w:rsidR="00477A2F" w:rsidRDefault="00477A2F">
          <w:pPr>
            <w:pStyle w:val="MainText"/>
          </w:pPr>
        </w:p>
      </w:tc>
      <w:tc>
        <w:tcPr>
          <w:tcW w:w="7200" w:type="dxa"/>
        </w:tcPr>
        <w:p w14:paraId="5DFC750D" w14:textId="77777777" w:rsidR="00477A2F" w:rsidRDefault="00477A2F">
          <w:pPr>
            <w:pStyle w:val="MainText"/>
            <w:spacing w:line="600" w:lineRule="atLeast"/>
          </w:pPr>
        </w:p>
      </w:tc>
      <w:tc>
        <w:tcPr>
          <w:tcW w:w="960" w:type="dxa"/>
        </w:tcPr>
        <w:p w14:paraId="392361CB" w14:textId="77777777" w:rsidR="00477A2F" w:rsidRDefault="00477A2F">
          <w:pPr>
            <w:pStyle w:val="MainText"/>
          </w:pPr>
        </w:p>
      </w:tc>
      <w:tc>
        <w:tcPr>
          <w:tcW w:w="480" w:type="dxa"/>
        </w:tcPr>
        <w:p w14:paraId="1D6B7C12" w14:textId="77777777" w:rsidR="00477A2F" w:rsidRDefault="00477A2F">
          <w:pPr>
            <w:pStyle w:val="MainText"/>
          </w:pPr>
        </w:p>
      </w:tc>
      <w:tc>
        <w:tcPr>
          <w:tcW w:w="720" w:type="dxa"/>
        </w:tcPr>
        <w:p w14:paraId="3F83716A" w14:textId="77777777" w:rsidR="00477A2F" w:rsidRDefault="00477A2F">
          <w:pPr>
            <w:pStyle w:val="MainText"/>
          </w:pPr>
        </w:p>
      </w:tc>
    </w:tr>
    <w:tr w:rsidR="00477A2F" w14:paraId="599366B7" w14:textId="77777777">
      <w:trPr>
        <w:cantSplit/>
      </w:trPr>
      <w:tc>
        <w:tcPr>
          <w:tcW w:w="720" w:type="dxa"/>
        </w:tcPr>
        <w:p w14:paraId="71FEB6E3" w14:textId="77777777" w:rsidR="00477A2F" w:rsidRDefault="00477A2F">
          <w:pPr>
            <w:pStyle w:val="MainText"/>
          </w:pPr>
        </w:p>
      </w:tc>
      <w:tc>
        <w:tcPr>
          <w:tcW w:w="480" w:type="dxa"/>
        </w:tcPr>
        <w:p w14:paraId="53BB140E" w14:textId="77777777" w:rsidR="00477A2F" w:rsidRDefault="00477A2F">
          <w:pPr>
            <w:pStyle w:val="MainText"/>
          </w:pPr>
        </w:p>
      </w:tc>
      <w:tc>
        <w:tcPr>
          <w:tcW w:w="960" w:type="dxa"/>
        </w:tcPr>
        <w:p w14:paraId="4AFD4503" w14:textId="77777777" w:rsidR="00477A2F" w:rsidRDefault="00477A2F">
          <w:pPr>
            <w:pStyle w:val="MainText"/>
          </w:pPr>
        </w:p>
      </w:tc>
      <w:tc>
        <w:tcPr>
          <w:tcW w:w="7200" w:type="dxa"/>
        </w:tcPr>
        <w:p w14:paraId="714D5B74" w14:textId="77777777" w:rsidR="00477A2F" w:rsidRDefault="00477A2F" w:rsidP="00CC5EBC">
          <w:pPr>
            <w:pStyle w:val="Header1"/>
          </w:pPr>
        </w:p>
      </w:tc>
      <w:tc>
        <w:tcPr>
          <w:tcW w:w="960" w:type="dxa"/>
        </w:tcPr>
        <w:p w14:paraId="3FBA6967" w14:textId="77777777" w:rsidR="00477A2F" w:rsidRDefault="00477A2F">
          <w:pPr>
            <w:pStyle w:val="MainText"/>
          </w:pPr>
        </w:p>
      </w:tc>
      <w:tc>
        <w:tcPr>
          <w:tcW w:w="480" w:type="dxa"/>
        </w:tcPr>
        <w:p w14:paraId="6D6A5C6C" w14:textId="77777777" w:rsidR="00477A2F" w:rsidRDefault="00477A2F">
          <w:pPr>
            <w:pStyle w:val="MainText"/>
          </w:pPr>
        </w:p>
      </w:tc>
      <w:tc>
        <w:tcPr>
          <w:tcW w:w="720" w:type="dxa"/>
        </w:tcPr>
        <w:p w14:paraId="24688A6E" w14:textId="77777777" w:rsidR="00477A2F" w:rsidRDefault="00477A2F">
          <w:pPr>
            <w:pStyle w:val="MainText"/>
          </w:pPr>
        </w:p>
      </w:tc>
    </w:tr>
  </w:tbl>
  <w:p w14:paraId="06D862A2" w14:textId="77777777" w:rsidR="00477A2F" w:rsidRDefault="00477A2F">
    <w:pPr>
      <w:pStyle w:val="Header1"/>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9C9"/>
    <w:multiLevelType w:val="multilevel"/>
    <w:tmpl w:val="D1C03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97408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Wilkinson">
    <w15:presenceInfo w15:providerId="AD" w15:userId="S::sara.wilkinson@uts.edu.au::4015aefc-051f-4fa7-86c8-df593efc0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FC"/>
    <w:rsid w:val="000021D7"/>
    <w:rsid w:val="00057413"/>
    <w:rsid w:val="000C7763"/>
    <w:rsid w:val="000D5602"/>
    <w:rsid w:val="001219DB"/>
    <w:rsid w:val="00124051"/>
    <w:rsid w:val="0015663D"/>
    <w:rsid w:val="001572A8"/>
    <w:rsid w:val="00175D6E"/>
    <w:rsid w:val="00176523"/>
    <w:rsid w:val="0017688F"/>
    <w:rsid w:val="001D4401"/>
    <w:rsid w:val="001E1AFF"/>
    <w:rsid w:val="001F5BF9"/>
    <w:rsid w:val="00205060"/>
    <w:rsid w:val="0023289E"/>
    <w:rsid w:val="00277FBA"/>
    <w:rsid w:val="00296C5A"/>
    <w:rsid w:val="002B2B6A"/>
    <w:rsid w:val="002E7D1B"/>
    <w:rsid w:val="002F3634"/>
    <w:rsid w:val="002F5C92"/>
    <w:rsid w:val="003441C5"/>
    <w:rsid w:val="003A1B06"/>
    <w:rsid w:val="003D3218"/>
    <w:rsid w:val="003F40AF"/>
    <w:rsid w:val="00477A2F"/>
    <w:rsid w:val="00494775"/>
    <w:rsid w:val="004C460C"/>
    <w:rsid w:val="004D1BE3"/>
    <w:rsid w:val="00507BE3"/>
    <w:rsid w:val="0054311F"/>
    <w:rsid w:val="00554F4C"/>
    <w:rsid w:val="005A295D"/>
    <w:rsid w:val="005E3FEF"/>
    <w:rsid w:val="005E5098"/>
    <w:rsid w:val="005F694C"/>
    <w:rsid w:val="006242D3"/>
    <w:rsid w:val="0064300B"/>
    <w:rsid w:val="00643F35"/>
    <w:rsid w:val="00693528"/>
    <w:rsid w:val="006E5D7D"/>
    <w:rsid w:val="00707D7B"/>
    <w:rsid w:val="00721065"/>
    <w:rsid w:val="007339D7"/>
    <w:rsid w:val="00733DBD"/>
    <w:rsid w:val="007A45C6"/>
    <w:rsid w:val="007E6161"/>
    <w:rsid w:val="008276E4"/>
    <w:rsid w:val="00834089"/>
    <w:rsid w:val="0085392C"/>
    <w:rsid w:val="00877B8D"/>
    <w:rsid w:val="008C3C1C"/>
    <w:rsid w:val="008C60E3"/>
    <w:rsid w:val="008D44BF"/>
    <w:rsid w:val="00930B24"/>
    <w:rsid w:val="009406B3"/>
    <w:rsid w:val="00950BD5"/>
    <w:rsid w:val="009618F0"/>
    <w:rsid w:val="009815B3"/>
    <w:rsid w:val="00983BE6"/>
    <w:rsid w:val="009A2CF2"/>
    <w:rsid w:val="009B1930"/>
    <w:rsid w:val="009B36E5"/>
    <w:rsid w:val="009C7D82"/>
    <w:rsid w:val="009E031E"/>
    <w:rsid w:val="00A14642"/>
    <w:rsid w:val="00A36866"/>
    <w:rsid w:val="00A3707D"/>
    <w:rsid w:val="00AF0019"/>
    <w:rsid w:val="00B3741B"/>
    <w:rsid w:val="00B538E5"/>
    <w:rsid w:val="00B64617"/>
    <w:rsid w:val="00B873EB"/>
    <w:rsid w:val="00B95CB1"/>
    <w:rsid w:val="00BC3FBE"/>
    <w:rsid w:val="00C65754"/>
    <w:rsid w:val="00CC5EBC"/>
    <w:rsid w:val="00D31345"/>
    <w:rsid w:val="00D4546C"/>
    <w:rsid w:val="00DC28EC"/>
    <w:rsid w:val="00E351FC"/>
    <w:rsid w:val="00E86997"/>
    <w:rsid w:val="00EC4A32"/>
    <w:rsid w:val="00ED2E60"/>
    <w:rsid w:val="00EE51DA"/>
    <w:rsid w:val="00F82C1E"/>
    <w:rsid w:val="00F83889"/>
    <w:rsid w:val="00F85A75"/>
    <w:rsid w:val="00F96854"/>
    <w:rsid w:val="00FB02F7"/>
    <w:rsid w:val="00FB2678"/>
    <w:rsid w:val="00FD0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3A1F"/>
  <w15:chartTrackingRefBased/>
  <w15:docId w15:val="{E479449E-E85F-43EE-B0D3-111E54EE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C"/>
    <w:pPr>
      <w:spacing w:after="120" w:line="240" w:lineRule="auto"/>
    </w:pPr>
    <w:rPr>
      <w:rFonts w:ascii="New York" w:eastAsia="Times New Roman" w:hAnsi="New York" w:cs="Times New Roman"/>
      <w:sz w:val="24"/>
      <w:szCs w:val="20"/>
      <w:lang w:val="en-GB"/>
    </w:rPr>
  </w:style>
  <w:style w:type="paragraph" w:styleId="Heading1">
    <w:name w:val="heading 1"/>
    <w:basedOn w:val="Normal"/>
    <w:next w:val="Normal"/>
    <w:link w:val="Heading1Char"/>
    <w:qFormat/>
    <w:rsid w:val="00E351FC"/>
    <w:pPr>
      <w:keepNext/>
      <w:spacing w:before="360" w:after="60" w:line="360" w:lineRule="auto"/>
      <w:ind w:right="567"/>
      <w:contextualSpacing/>
      <w:outlineLvl w:val="0"/>
    </w:pPr>
    <w:rPr>
      <w:rFonts w:ascii="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FC"/>
    <w:rPr>
      <w:rFonts w:ascii="Times New Roman" w:eastAsia="Times New Roman" w:hAnsi="Times New Roman" w:cs="Arial"/>
      <w:b/>
      <w:bCs/>
      <w:kern w:val="32"/>
      <w:sz w:val="24"/>
      <w:szCs w:val="32"/>
      <w:lang w:val="en-GB" w:eastAsia="en-GB"/>
    </w:rPr>
  </w:style>
  <w:style w:type="paragraph" w:styleId="Footer">
    <w:name w:val="footer"/>
    <w:basedOn w:val="MainText"/>
    <w:link w:val="FooterChar"/>
    <w:uiPriority w:val="99"/>
    <w:rsid w:val="00E351FC"/>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uiPriority w:val="99"/>
    <w:rsid w:val="00E351FC"/>
    <w:rPr>
      <w:rFonts w:ascii="Times New Roman" w:eastAsia="Times New Roman" w:hAnsi="Times New Roman" w:cs="Times New Roman"/>
      <w:sz w:val="18"/>
      <w:szCs w:val="20"/>
      <w:lang w:val="en-GB"/>
    </w:rPr>
  </w:style>
  <w:style w:type="paragraph" w:customStyle="1" w:styleId="MainText">
    <w:name w:val="MainText"/>
    <w:aliases w:val="MT"/>
    <w:basedOn w:val="FirstPara"/>
    <w:rsid w:val="00E351FC"/>
    <w:pPr>
      <w:spacing w:before="0"/>
      <w:ind w:firstLine="300"/>
    </w:pPr>
  </w:style>
  <w:style w:type="paragraph" w:customStyle="1" w:styleId="FirstPara">
    <w:name w:val="FirstPara"/>
    <w:aliases w:val="FP"/>
    <w:basedOn w:val="Normal"/>
    <w:next w:val="MainText"/>
    <w:rsid w:val="00E351FC"/>
    <w:pPr>
      <w:spacing w:before="120" w:after="0" w:line="240" w:lineRule="atLeast"/>
      <w:jc w:val="both"/>
    </w:pPr>
    <w:rPr>
      <w:rFonts w:ascii="Times New Roman" w:hAnsi="Times New Roman"/>
      <w:sz w:val="20"/>
    </w:rPr>
  </w:style>
  <w:style w:type="paragraph" w:customStyle="1" w:styleId="Header1">
    <w:name w:val="Header1"/>
    <w:aliases w:val="RH"/>
    <w:basedOn w:val="MainText"/>
    <w:rsid w:val="00E351FC"/>
    <w:pPr>
      <w:tabs>
        <w:tab w:val="left" w:pos="720"/>
        <w:tab w:val="right" w:pos="7200"/>
      </w:tabs>
      <w:spacing w:line="240" w:lineRule="auto"/>
      <w:ind w:firstLine="0"/>
      <w:jc w:val="left"/>
    </w:pPr>
    <w:rPr>
      <w:i/>
    </w:rPr>
  </w:style>
  <w:style w:type="paragraph" w:customStyle="1" w:styleId="HeadL1">
    <w:name w:val="HeadL1"/>
    <w:aliases w:val="H1"/>
    <w:basedOn w:val="FirstPara"/>
    <w:next w:val="FirstPara"/>
    <w:rsid w:val="00E351FC"/>
    <w:pPr>
      <w:keepNext/>
      <w:tabs>
        <w:tab w:val="left" w:pos="360"/>
      </w:tabs>
      <w:spacing w:before="480" w:after="120"/>
      <w:ind w:left="360" w:hanging="360"/>
      <w:jc w:val="left"/>
    </w:pPr>
    <w:rPr>
      <w:b/>
      <w:sz w:val="22"/>
    </w:rPr>
  </w:style>
  <w:style w:type="paragraph" w:customStyle="1" w:styleId="AbsKeyBibli">
    <w:name w:val="AbsKeyBibli"/>
    <w:aliases w:val="ABS"/>
    <w:basedOn w:val="FirstPara"/>
    <w:rsid w:val="00E351FC"/>
    <w:pPr>
      <w:widowControl w:val="0"/>
      <w:tabs>
        <w:tab w:val="left" w:pos="960"/>
      </w:tabs>
      <w:spacing w:before="0" w:after="200" w:line="200" w:lineRule="atLeast"/>
      <w:ind w:left="720" w:right="720"/>
    </w:pPr>
    <w:rPr>
      <w:sz w:val="18"/>
    </w:rPr>
  </w:style>
  <w:style w:type="paragraph" w:customStyle="1" w:styleId="PaperTitle">
    <w:name w:val="PaperTitle"/>
    <w:aliases w:val="PT"/>
    <w:basedOn w:val="FirstPara"/>
    <w:next w:val="Normal"/>
    <w:rsid w:val="00E351FC"/>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Rule">
    <w:name w:val="Rule"/>
    <w:aliases w:val="RU"/>
    <w:basedOn w:val="AbsKeyBibli"/>
    <w:next w:val="HeadL1"/>
    <w:rsid w:val="00E351FC"/>
    <w:pPr>
      <w:pBdr>
        <w:bottom w:val="single" w:sz="12" w:space="0" w:color="auto"/>
      </w:pBdr>
      <w:spacing w:after="0" w:line="240" w:lineRule="auto"/>
      <w:ind w:left="0" w:right="0"/>
    </w:pPr>
    <w:rPr>
      <w:sz w:val="12"/>
    </w:rPr>
  </w:style>
  <w:style w:type="paragraph" w:customStyle="1" w:styleId="Articletitle">
    <w:name w:val="Article title"/>
    <w:basedOn w:val="Normal"/>
    <w:next w:val="Normal"/>
    <w:qFormat/>
    <w:rsid w:val="00E351FC"/>
    <w:pPr>
      <w:spacing w:line="360" w:lineRule="auto"/>
    </w:pPr>
    <w:rPr>
      <w:rFonts w:ascii="Times New Roman" w:hAnsi="Times New Roman"/>
      <w:b/>
      <w:sz w:val="28"/>
      <w:szCs w:val="24"/>
      <w:lang w:eastAsia="en-GB"/>
    </w:rPr>
  </w:style>
  <w:style w:type="paragraph" w:customStyle="1" w:styleId="Keywords">
    <w:name w:val="Keywords"/>
    <w:basedOn w:val="Normal"/>
    <w:next w:val="Normal"/>
    <w:qFormat/>
    <w:rsid w:val="00E351FC"/>
    <w:pPr>
      <w:spacing w:before="240" w:after="240" w:line="360" w:lineRule="auto"/>
      <w:ind w:left="720" w:right="567"/>
    </w:pPr>
    <w:rPr>
      <w:rFonts w:ascii="Times New Roman" w:hAnsi="Times New Roman"/>
      <w:sz w:val="22"/>
      <w:szCs w:val="24"/>
      <w:lang w:eastAsia="en-GB"/>
    </w:rPr>
  </w:style>
  <w:style w:type="paragraph" w:customStyle="1" w:styleId="Authornames">
    <w:name w:val="Author names"/>
    <w:basedOn w:val="Normal"/>
    <w:next w:val="Normal"/>
    <w:qFormat/>
    <w:rsid w:val="00EE51DA"/>
    <w:pPr>
      <w:spacing w:before="240" w:after="0" w:line="360" w:lineRule="auto"/>
    </w:pPr>
    <w:rPr>
      <w:rFonts w:ascii="Times New Roman" w:hAnsi="Times New Roman"/>
      <w:sz w:val="28"/>
      <w:szCs w:val="24"/>
      <w:lang w:eastAsia="en-GB"/>
    </w:rPr>
  </w:style>
  <w:style w:type="paragraph" w:customStyle="1" w:styleId="Affiliation">
    <w:name w:val="Affiliation"/>
    <w:basedOn w:val="Normal"/>
    <w:qFormat/>
    <w:rsid w:val="00EE51DA"/>
    <w:pPr>
      <w:spacing w:before="240" w:after="0" w:line="360" w:lineRule="auto"/>
    </w:pPr>
    <w:rPr>
      <w:rFonts w:ascii="Times New Roman" w:hAnsi="Times New Roman"/>
      <w:i/>
      <w:szCs w:val="24"/>
      <w:lang w:eastAsia="en-GB"/>
    </w:rPr>
  </w:style>
  <w:style w:type="paragraph" w:customStyle="1" w:styleId="Correspondencedetails">
    <w:name w:val="Correspondence details"/>
    <w:basedOn w:val="Normal"/>
    <w:qFormat/>
    <w:rsid w:val="00EE51DA"/>
    <w:pPr>
      <w:spacing w:before="240" w:after="0" w:line="360" w:lineRule="auto"/>
    </w:pPr>
    <w:rPr>
      <w:rFonts w:ascii="Times New Roman" w:hAnsi="Times New Roman"/>
      <w:szCs w:val="24"/>
      <w:lang w:eastAsia="en-GB"/>
    </w:rPr>
  </w:style>
  <w:style w:type="paragraph" w:styleId="BalloonText">
    <w:name w:val="Balloon Text"/>
    <w:basedOn w:val="Normal"/>
    <w:link w:val="BalloonTextChar"/>
    <w:uiPriority w:val="99"/>
    <w:semiHidden/>
    <w:unhideWhenUsed/>
    <w:rsid w:val="00A368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66"/>
    <w:rPr>
      <w:rFonts w:ascii="Segoe UI" w:eastAsia="Times New Roman" w:hAnsi="Segoe UI" w:cs="Segoe UI"/>
      <w:sz w:val="18"/>
      <w:szCs w:val="18"/>
      <w:lang w:val="en-GB"/>
    </w:rPr>
  </w:style>
  <w:style w:type="paragraph" w:styleId="Revision">
    <w:name w:val="Revision"/>
    <w:hidden/>
    <w:uiPriority w:val="99"/>
    <w:semiHidden/>
    <w:rsid w:val="00B538E5"/>
    <w:pPr>
      <w:spacing w:after="0" w:line="240" w:lineRule="auto"/>
    </w:pPr>
    <w:rPr>
      <w:rFonts w:ascii="New York" w:eastAsia="Times New Roman" w:hAnsi="New York" w:cs="Times New Roman"/>
      <w:sz w:val="24"/>
      <w:szCs w:val="20"/>
      <w:lang w:val="en-GB"/>
    </w:rPr>
  </w:style>
  <w:style w:type="character" w:styleId="CommentReference">
    <w:name w:val="annotation reference"/>
    <w:basedOn w:val="DefaultParagraphFont"/>
    <w:uiPriority w:val="99"/>
    <w:semiHidden/>
    <w:unhideWhenUsed/>
    <w:rsid w:val="002F3634"/>
    <w:rPr>
      <w:sz w:val="16"/>
      <w:szCs w:val="16"/>
    </w:rPr>
  </w:style>
  <w:style w:type="paragraph" w:styleId="CommentText">
    <w:name w:val="annotation text"/>
    <w:basedOn w:val="Normal"/>
    <w:link w:val="CommentTextChar"/>
    <w:uiPriority w:val="99"/>
    <w:semiHidden/>
    <w:unhideWhenUsed/>
    <w:rsid w:val="002F3634"/>
    <w:rPr>
      <w:sz w:val="20"/>
    </w:rPr>
  </w:style>
  <w:style w:type="character" w:customStyle="1" w:styleId="CommentTextChar">
    <w:name w:val="Comment Text Char"/>
    <w:basedOn w:val="DefaultParagraphFont"/>
    <w:link w:val="CommentText"/>
    <w:uiPriority w:val="99"/>
    <w:semiHidden/>
    <w:rsid w:val="002F3634"/>
    <w:rPr>
      <w:rFonts w:ascii="New York" w:eastAsia="Times New Roman" w:hAnsi="New York"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3634"/>
    <w:rPr>
      <w:b/>
      <w:bCs/>
    </w:rPr>
  </w:style>
  <w:style w:type="character" w:customStyle="1" w:styleId="CommentSubjectChar">
    <w:name w:val="Comment Subject Char"/>
    <w:basedOn w:val="CommentTextChar"/>
    <w:link w:val="CommentSubject"/>
    <w:uiPriority w:val="99"/>
    <w:semiHidden/>
    <w:rsid w:val="002F3634"/>
    <w:rPr>
      <w:rFonts w:ascii="New York" w:eastAsia="Times New Roman" w:hAnsi="New York"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morris\Dropbox\Annual%20Reports\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 of Successful Projects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'Annual Reports'!$F$34</c:f>
              <c:strCache>
                <c:ptCount val="1"/>
                <c:pt idx="0">
                  <c:v>Success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'Annual Reports'!$E$35:$E$39</c:f>
              <c:strCache>
                <c:ptCount val="5"/>
                <c:pt idx="0">
                  <c:v>Metro</c:v>
                </c:pt>
                <c:pt idx="1">
                  <c:v>Fringe</c:v>
                </c:pt>
                <c:pt idx="2">
                  <c:v>Regional Town</c:v>
                </c:pt>
                <c:pt idx="3">
                  <c:v>Rural</c:v>
                </c:pt>
                <c:pt idx="4">
                  <c:v>Large Rural</c:v>
                </c:pt>
              </c:strCache>
            </c:strRef>
          </c:cat>
          <c:val>
            <c:numRef>
              <c:f>'Annual Reports'!$F$35:$F$39</c:f>
              <c:numCache>
                <c:formatCode>General</c:formatCode>
                <c:ptCount val="5"/>
                <c:pt idx="0">
                  <c:v>75</c:v>
                </c:pt>
                <c:pt idx="1">
                  <c:v>71</c:v>
                </c:pt>
                <c:pt idx="2">
                  <c:v>68</c:v>
                </c:pt>
                <c:pt idx="3">
                  <c:v>76</c:v>
                </c:pt>
                <c:pt idx="4">
                  <c:v>72</c:v>
                </c:pt>
              </c:numCache>
            </c:numRef>
          </c:val>
          <c:extLst>
            <c:ext xmlns:c16="http://schemas.microsoft.com/office/drawing/2014/chart" uri="{C3380CC4-5D6E-409C-BE32-E72D297353CC}">
              <c16:uniqueId val="{00000000-068F-4443-858E-AFB418B84475}"/>
            </c:ext>
          </c:extLst>
        </c:ser>
        <c:dLbls>
          <c:showLegendKey val="0"/>
          <c:showVal val="0"/>
          <c:showCatName val="0"/>
          <c:showSerName val="0"/>
          <c:showPercent val="0"/>
          <c:showBubbleSize val="0"/>
        </c:dLbls>
        <c:gapWidth val="219"/>
        <c:overlap val="-27"/>
        <c:axId val="428798192"/>
        <c:axId val="428802000"/>
      </c:barChart>
      <c:lineChart>
        <c:grouping val="standard"/>
        <c:varyColors val="0"/>
        <c:ser>
          <c:idx val="1"/>
          <c:order val="1"/>
          <c:tx>
            <c:strRef>
              <c:f>'Annual Reports'!$G$34</c:f>
              <c:strCache>
                <c:ptCount val="1"/>
                <c:pt idx="0">
                  <c:v>NSW Mean</c:v>
                </c:pt>
              </c:strCache>
            </c:strRef>
          </c:tx>
          <c:spPr>
            <a:ln w="28575" cap="rnd">
              <a:solidFill>
                <a:schemeClr val="accent2"/>
              </a:solidFill>
              <a:round/>
            </a:ln>
            <a:effectLst/>
          </c:spPr>
          <c:marker>
            <c:symbol val="none"/>
          </c:marker>
          <c:cat>
            <c:strRef>
              <c:f>'Annual Reports'!$E$35:$E$39</c:f>
              <c:strCache>
                <c:ptCount val="5"/>
                <c:pt idx="0">
                  <c:v>Metro</c:v>
                </c:pt>
                <c:pt idx="1">
                  <c:v>Fringe</c:v>
                </c:pt>
                <c:pt idx="2">
                  <c:v>Regional Town</c:v>
                </c:pt>
                <c:pt idx="3">
                  <c:v>Rural</c:v>
                </c:pt>
                <c:pt idx="4">
                  <c:v>Large Rural</c:v>
                </c:pt>
              </c:strCache>
            </c:strRef>
          </c:cat>
          <c:val>
            <c:numRef>
              <c:f>'Annual Reports'!$G$35:$G$39</c:f>
              <c:numCache>
                <c:formatCode>General</c:formatCode>
                <c:ptCount val="5"/>
                <c:pt idx="0">
                  <c:v>72</c:v>
                </c:pt>
                <c:pt idx="1">
                  <c:v>72</c:v>
                </c:pt>
                <c:pt idx="2">
                  <c:v>72</c:v>
                </c:pt>
                <c:pt idx="3">
                  <c:v>72</c:v>
                </c:pt>
                <c:pt idx="4">
                  <c:v>72</c:v>
                </c:pt>
              </c:numCache>
            </c:numRef>
          </c:val>
          <c:smooth val="0"/>
          <c:extLst>
            <c:ext xmlns:c16="http://schemas.microsoft.com/office/drawing/2014/chart" uri="{C3380CC4-5D6E-409C-BE32-E72D297353CC}">
              <c16:uniqueId val="{00000001-068F-4443-858E-AFB418B84475}"/>
            </c:ext>
          </c:extLst>
        </c:ser>
        <c:dLbls>
          <c:showLegendKey val="0"/>
          <c:showVal val="0"/>
          <c:showCatName val="0"/>
          <c:showSerName val="0"/>
          <c:showPercent val="0"/>
          <c:showBubbleSize val="0"/>
        </c:dLbls>
        <c:marker val="1"/>
        <c:smooth val="0"/>
        <c:axId val="428798192"/>
        <c:axId val="428802000"/>
      </c:lineChart>
      <c:catAx>
        <c:axId val="42879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802000"/>
        <c:crosses val="autoZero"/>
        <c:auto val="1"/>
        <c:lblAlgn val="ctr"/>
        <c:lblOffset val="100"/>
        <c:noMultiLvlLbl val="0"/>
      </c:catAx>
      <c:valAx>
        <c:axId val="42880200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79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67FE66-A41F-41AE-955F-0632BBDA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28831</Words>
  <Characters>164343</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Morris</dc:creator>
  <cp:keywords/>
  <dc:description/>
  <cp:lastModifiedBy>Sara Wilkinson</cp:lastModifiedBy>
  <cp:revision>2</cp:revision>
  <dcterms:created xsi:type="dcterms:W3CDTF">2022-11-01T00:41:00Z</dcterms:created>
  <dcterms:modified xsi:type="dcterms:W3CDTF">2022-11-01T00:41:00Z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https://csl.mendeley.com/styles/17238301/harvard-university-of-technology-Sydney-2</vt:lpwstr>
  </property>
  <property fmtid="{D5CDD505-2E9C-101B-9397-08002B2CF9AE}" pid="11" name="Mendeley Recent Style Name 4_1">
    <vt:lpwstr>Harvard - University of Technology Sydney - Meijun Huang</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http://www.zotero.org/styles/harvard-university-of-technology-sydney</vt:lpwstr>
  </property>
  <property fmtid="{D5CDD505-2E9C-101B-9397-08002B2CF9AE}" pid="21" name="Mendeley Recent Style Name 9_1">
    <vt:lpwstr>University of Technology Sydney - Harvard</vt:lpwstr>
  </property>
  <property fmtid="{D5CDD505-2E9C-101B-9397-08002B2CF9AE}" pid="22" name="Mendeley Document_1">
    <vt:lpwstr>True</vt:lpwstr>
  </property>
  <property fmtid="{D5CDD505-2E9C-101B-9397-08002B2CF9AE}" pid="23" name="Mendeley Unique User Id_1">
    <vt:lpwstr>cb257b90-21dd-3d6a-81e0-73c5dd411886</vt:lpwstr>
  </property>
  <property fmtid="{D5CDD505-2E9C-101B-9397-08002B2CF9AE}" pid="24" name="Mendeley Citation Style_1">
    <vt:lpwstr>https://csl.mendeley.com/styles/17238301/harvard-university-of-technology-Sydney-2</vt:lpwstr>
  </property>
  <property fmtid="{D5CDD505-2E9C-101B-9397-08002B2CF9AE}" pid="25" name="MSIP_Label_ba4f0713-8a76-46fc-9033-3e1b6c45971d_Enabled">
    <vt:lpwstr>true</vt:lpwstr>
  </property>
  <property fmtid="{D5CDD505-2E9C-101B-9397-08002B2CF9AE}" pid="26" name="MSIP_Label_ba4f0713-8a76-46fc-9033-3e1b6c45971d_SetDate">
    <vt:lpwstr>2022-04-25T02:33:03Z</vt:lpwstr>
  </property>
  <property fmtid="{D5CDD505-2E9C-101B-9397-08002B2CF9AE}" pid="27" name="MSIP_Label_ba4f0713-8a76-46fc-9033-3e1b6c45971d_Method">
    <vt:lpwstr>Privileged</vt:lpwstr>
  </property>
  <property fmtid="{D5CDD505-2E9C-101B-9397-08002B2CF9AE}" pid="28" name="MSIP_Label_ba4f0713-8a76-46fc-9033-3e1b6c45971d_Name">
    <vt:lpwstr>UTS-Public</vt:lpwstr>
  </property>
  <property fmtid="{D5CDD505-2E9C-101B-9397-08002B2CF9AE}" pid="29" name="MSIP_Label_ba4f0713-8a76-46fc-9033-3e1b6c45971d_SiteId">
    <vt:lpwstr>e8911c26-cf9f-4a9c-878e-527807be8791</vt:lpwstr>
  </property>
  <property fmtid="{D5CDD505-2E9C-101B-9397-08002B2CF9AE}" pid="30" name="MSIP_Label_ba4f0713-8a76-46fc-9033-3e1b6c45971d_ActionId">
    <vt:lpwstr>8fe925f3-71d6-46f2-8418-0aa17c3053ae</vt:lpwstr>
  </property>
  <property fmtid="{D5CDD505-2E9C-101B-9397-08002B2CF9AE}" pid="31" name="MSIP_Label_ba4f0713-8a76-46fc-9033-3e1b6c45971d_ContentBits">
    <vt:lpwstr>0</vt:lpwstr>
  </property>
</Properties>
</file>