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1C" w:rsidRDefault="0039281C" w:rsidP="008B33A5">
      <w:pPr>
        <w:spacing w:after="120" w:line="240" w:lineRule="auto"/>
        <w:jc w:val="center"/>
        <w:rPr>
          <w:b/>
          <w:sz w:val="24"/>
          <w:szCs w:val="24"/>
        </w:rPr>
      </w:pPr>
    </w:p>
    <w:p w:rsidR="008B33A5" w:rsidRPr="00366FDB" w:rsidRDefault="00DD2565" w:rsidP="008B33A5">
      <w:pPr>
        <w:spacing w:after="120" w:line="240" w:lineRule="auto"/>
        <w:jc w:val="center"/>
        <w:rPr>
          <w:b/>
          <w:sz w:val="24"/>
          <w:szCs w:val="24"/>
        </w:rPr>
      </w:pPr>
      <w:r>
        <w:rPr>
          <w:b/>
          <w:sz w:val="24"/>
          <w:szCs w:val="24"/>
        </w:rPr>
        <w:t>MODERNISING</w:t>
      </w:r>
      <w:r w:rsidR="0039281C">
        <w:rPr>
          <w:b/>
          <w:sz w:val="24"/>
          <w:szCs w:val="24"/>
        </w:rPr>
        <w:t xml:space="preserve"> COMPENSATION</w:t>
      </w:r>
      <w:r w:rsidR="001F3AA6" w:rsidRPr="00366FDB">
        <w:rPr>
          <w:b/>
          <w:sz w:val="24"/>
          <w:szCs w:val="24"/>
        </w:rPr>
        <w:t xml:space="preserve"> </w:t>
      </w:r>
      <w:r w:rsidR="0039281C">
        <w:rPr>
          <w:b/>
          <w:sz w:val="24"/>
          <w:szCs w:val="24"/>
        </w:rPr>
        <w:t xml:space="preserve">PRINCIPLES </w:t>
      </w:r>
      <w:r>
        <w:rPr>
          <w:b/>
          <w:sz w:val="24"/>
          <w:szCs w:val="24"/>
        </w:rPr>
        <w:t>FOR THE REGENERATION OF LAND USES IN HIGHLY URBANISED LOCATIONS</w:t>
      </w:r>
    </w:p>
    <w:p w:rsidR="008B33A5" w:rsidRDefault="008B33A5"/>
    <w:p w:rsidR="0039281C" w:rsidRDefault="00BB0277" w:rsidP="0039281C">
      <w:pPr>
        <w:spacing w:after="120" w:line="240" w:lineRule="auto"/>
        <w:jc w:val="center"/>
        <w:rPr>
          <w:rFonts w:cs="Times New Roman"/>
          <w:b/>
          <w:sz w:val="24"/>
          <w:szCs w:val="24"/>
        </w:rPr>
      </w:pPr>
      <w:r>
        <w:rPr>
          <w:rFonts w:cs="Times New Roman"/>
          <w:b/>
          <w:sz w:val="24"/>
          <w:szCs w:val="24"/>
        </w:rPr>
        <w:t>Vince MANGIONI, Australia</w:t>
      </w:r>
    </w:p>
    <w:p w:rsidR="00BB0277" w:rsidRDefault="00BB0277" w:rsidP="0039281C">
      <w:pPr>
        <w:spacing w:after="120" w:line="240" w:lineRule="auto"/>
        <w:jc w:val="center"/>
        <w:rPr>
          <w:rFonts w:cs="Times New Roman"/>
          <w:b/>
          <w:sz w:val="24"/>
          <w:szCs w:val="24"/>
        </w:rPr>
      </w:pPr>
    </w:p>
    <w:p w:rsidR="00BB0277" w:rsidRDefault="00BB0277" w:rsidP="0039281C">
      <w:pPr>
        <w:spacing w:after="120" w:line="240" w:lineRule="auto"/>
        <w:jc w:val="center"/>
        <w:rPr>
          <w:rFonts w:cs="Times New Roman"/>
          <w:b/>
          <w:sz w:val="24"/>
          <w:szCs w:val="24"/>
        </w:rPr>
      </w:pPr>
      <w:r>
        <w:rPr>
          <w:rFonts w:cs="Times New Roman"/>
          <w:b/>
          <w:sz w:val="24"/>
          <w:szCs w:val="24"/>
        </w:rPr>
        <w:t>Refereed Paper</w:t>
      </w:r>
    </w:p>
    <w:p w:rsidR="0039281C" w:rsidRDefault="0039281C" w:rsidP="00FC424C">
      <w:pPr>
        <w:spacing w:after="120" w:line="240" w:lineRule="auto"/>
        <w:rPr>
          <w:rFonts w:cs="Times New Roman"/>
          <w:b/>
          <w:sz w:val="24"/>
          <w:szCs w:val="24"/>
        </w:rPr>
      </w:pPr>
    </w:p>
    <w:p w:rsidR="000A7372" w:rsidRDefault="000A7372" w:rsidP="000A7372">
      <w:pPr>
        <w:spacing w:after="120" w:line="240" w:lineRule="auto"/>
        <w:jc w:val="center"/>
        <w:rPr>
          <w:rFonts w:cs="Times New Roman"/>
          <w:b/>
          <w:sz w:val="24"/>
          <w:szCs w:val="24"/>
        </w:rPr>
      </w:pPr>
    </w:p>
    <w:p w:rsidR="0039281C" w:rsidRDefault="0039281C" w:rsidP="00FC424C">
      <w:pPr>
        <w:spacing w:after="120" w:line="240" w:lineRule="auto"/>
        <w:rPr>
          <w:rFonts w:cs="Times New Roman"/>
          <w:b/>
          <w:sz w:val="24"/>
          <w:szCs w:val="24"/>
        </w:rPr>
      </w:pPr>
    </w:p>
    <w:p w:rsidR="00FC424C" w:rsidRPr="0039281C" w:rsidRDefault="0039281C" w:rsidP="00FC424C">
      <w:pPr>
        <w:spacing w:after="120" w:line="240" w:lineRule="auto"/>
        <w:rPr>
          <w:rFonts w:cs="Times New Roman"/>
          <w:b/>
          <w:sz w:val="24"/>
          <w:szCs w:val="24"/>
        </w:rPr>
      </w:pPr>
      <w:r>
        <w:rPr>
          <w:rFonts w:cs="Times New Roman"/>
          <w:b/>
          <w:sz w:val="24"/>
          <w:szCs w:val="24"/>
        </w:rPr>
        <w:t>ABSTRACT</w:t>
      </w:r>
    </w:p>
    <w:p w:rsidR="00BB711B" w:rsidRDefault="002B3A62">
      <w:r>
        <w:t xml:space="preserve">This paper </w:t>
      </w:r>
      <w:r w:rsidR="00D4553A">
        <w:t xml:space="preserve">examines the </w:t>
      </w:r>
      <w:r w:rsidR="00D7631F">
        <w:t xml:space="preserve">principles which underpin compensation in the acquisition of land in </w:t>
      </w:r>
      <w:r w:rsidR="00D94847">
        <w:t xml:space="preserve">Australia, </w:t>
      </w:r>
      <w:r w:rsidR="00710BE7">
        <w:t xml:space="preserve">and the evolving complexities </w:t>
      </w:r>
      <w:r w:rsidR="00D2358C">
        <w:t xml:space="preserve">in </w:t>
      </w:r>
      <w:r w:rsidR="00D7631F">
        <w:t xml:space="preserve">determining </w:t>
      </w:r>
      <w:r w:rsidR="00D2358C">
        <w:t xml:space="preserve">parity of </w:t>
      </w:r>
      <w:r w:rsidR="00D7631F">
        <w:t>compensation</w:t>
      </w:r>
      <w:r w:rsidR="00D2358C">
        <w:t xml:space="preserve"> to the dispossess</w:t>
      </w:r>
      <w:r w:rsidR="00CA0024">
        <w:t xml:space="preserve">ed party. Surveys used and cases are </w:t>
      </w:r>
      <w:r w:rsidR="00D2358C">
        <w:t xml:space="preserve">examined in </w:t>
      </w:r>
      <w:r w:rsidR="00D7631F">
        <w:t>outlining</w:t>
      </w:r>
      <w:r w:rsidR="00D2358C">
        <w:t xml:space="preserve"> </w:t>
      </w:r>
      <w:r w:rsidR="00D7631F">
        <w:t>the</w:t>
      </w:r>
      <w:r w:rsidR="00D2358C">
        <w:t xml:space="preserve"> purposes for </w:t>
      </w:r>
      <w:r w:rsidR="00D7631F">
        <w:t xml:space="preserve">which </w:t>
      </w:r>
      <w:r w:rsidR="00D2358C">
        <w:t>land is acquired as well as the types of acquisitions</w:t>
      </w:r>
      <w:r w:rsidR="00D7631F">
        <w:t xml:space="preserve"> which impact dispossessed parties</w:t>
      </w:r>
      <w:r w:rsidR="00D2358C">
        <w:t xml:space="preserve">. </w:t>
      </w:r>
      <w:r w:rsidR="00D12EA4">
        <w:t xml:space="preserve">This provides a basis for establishing a framework which </w:t>
      </w:r>
      <w:r w:rsidR="00D2358C">
        <w:t xml:space="preserve">better </w:t>
      </w:r>
      <w:r w:rsidR="00D12EA4">
        <w:t xml:space="preserve">supports </w:t>
      </w:r>
      <w:r w:rsidR="00D2358C">
        <w:t>the option</w:t>
      </w:r>
      <w:r w:rsidR="00C76A15">
        <w:t>s</w:t>
      </w:r>
      <w:r w:rsidR="00D2358C">
        <w:t xml:space="preserve"> for</w:t>
      </w:r>
      <w:r w:rsidR="00D12EA4">
        <w:t xml:space="preserve"> </w:t>
      </w:r>
      <w:r w:rsidR="00C76A15">
        <w:t>compensation</w:t>
      </w:r>
      <w:r w:rsidR="00D12EA4">
        <w:t xml:space="preserve"> </w:t>
      </w:r>
      <w:r w:rsidR="00FD24D5">
        <w:t xml:space="preserve">and asks whether </w:t>
      </w:r>
      <w:r w:rsidR="00D12EA4">
        <w:t xml:space="preserve">expanding </w:t>
      </w:r>
      <w:r w:rsidR="00C76A15">
        <w:t xml:space="preserve">existing </w:t>
      </w:r>
      <w:r w:rsidR="00D7631F">
        <w:t xml:space="preserve">heads of compensation </w:t>
      </w:r>
      <w:r w:rsidR="00C76A15">
        <w:t>other than market value provide parity to dispossessed parties</w:t>
      </w:r>
      <w:r w:rsidR="00366FDB">
        <w:t>.</w:t>
      </w:r>
    </w:p>
    <w:p w:rsidR="00FC5D51" w:rsidRDefault="00FC5D51">
      <w:r>
        <w:t>The paper makes it</w:t>
      </w:r>
      <w:r w:rsidR="00EC2404">
        <w:t>s</w:t>
      </w:r>
      <w:r>
        <w:t xml:space="preserve"> primary contribution </w:t>
      </w:r>
      <w:r w:rsidR="00C76A15">
        <w:t xml:space="preserve">by examining whether expanding compensation for disturbance and </w:t>
      </w:r>
      <w:proofErr w:type="spellStart"/>
      <w:r w:rsidR="00C76A15">
        <w:t>solatium</w:t>
      </w:r>
      <w:proofErr w:type="spellEnd"/>
      <w:r w:rsidR="00C76A15">
        <w:t xml:space="preserve"> are</w:t>
      </w:r>
      <w:r>
        <w:t xml:space="preserve"> </w:t>
      </w:r>
      <w:r w:rsidR="00D2358C">
        <w:t>options for reinstatement and</w:t>
      </w:r>
      <w:r>
        <w:t xml:space="preserve"> articulates </w:t>
      </w:r>
      <w:r w:rsidR="00D2358C">
        <w:t xml:space="preserve">factors </w:t>
      </w:r>
      <w:r w:rsidR="00CA0024">
        <w:t xml:space="preserve">which should be </w:t>
      </w:r>
      <w:r w:rsidR="00D2358C">
        <w:t>included under the</w:t>
      </w:r>
      <w:r w:rsidR="00C76A15">
        <w:t>se</w:t>
      </w:r>
      <w:r w:rsidR="00D2358C">
        <w:t xml:space="preserve"> heads of </w:t>
      </w:r>
      <w:r w:rsidR="00C76A15">
        <w:t>compensation</w:t>
      </w:r>
      <w:r w:rsidR="00D2358C">
        <w:t xml:space="preserve"> as distinct </w:t>
      </w:r>
      <w:r w:rsidR="00366FDB">
        <w:t>from market value</w:t>
      </w:r>
      <w:r w:rsidR="00D12EA4">
        <w:t xml:space="preserve">. </w:t>
      </w:r>
      <w:r w:rsidR="00366FDB">
        <w:t xml:space="preserve">It further builds a case for a share in the uplift in value </w:t>
      </w:r>
      <w:r w:rsidR="00CA0024">
        <w:t xml:space="preserve">between the dispossessed party and acquiring authority </w:t>
      </w:r>
      <w:r w:rsidR="00366FDB">
        <w:t xml:space="preserve">resulting from economic development </w:t>
      </w:r>
      <w:r w:rsidR="00CA0024">
        <w:t>as the purpose of the acquisition.</w:t>
      </w:r>
    </w:p>
    <w:p w:rsidR="00DC6257" w:rsidRDefault="00DC6257"/>
    <w:p w:rsidR="00DC6257" w:rsidRDefault="00DC6257">
      <w:r w:rsidRPr="00DC6257">
        <w:rPr>
          <w:b/>
        </w:rPr>
        <w:t>Keywords</w:t>
      </w:r>
      <w:r>
        <w:t xml:space="preserve">: Reinstatement, </w:t>
      </w:r>
      <w:proofErr w:type="spellStart"/>
      <w:r>
        <w:t>Solatium</w:t>
      </w:r>
      <w:proofErr w:type="spellEnd"/>
      <w:r>
        <w:t>, Disturbance, Tradit</w:t>
      </w:r>
      <w:r w:rsidR="00CA0024">
        <w:t>ional Purposes, Economic Development.</w:t>
      </w:r>
    </w:p>
    <w:p w:rsidR="0039281C" w:rsidRDefault="0039281C">
      <w:pPr>
        <w:rPr>
          <w:b/>
          <w:sz w:val="24"/>
          <w:szCs w:val="24"/>
        </w:rPr>
      </w:pPr>
      <w:r>
        <w:rPr>
          <w:b/>
          <w:sz w:val="24"/>
          <w:szCs w:val="24"/>
        </w:rPr>
        <w:br w:type="page"/>
      </w:r>
    </w:p>
    <w:p w:rsidR="00BB711B" w:rsidRPr="00AE4A26" w:rsidRDefault="00DC6257" w:rsidP="00D7631F">
      <w:pPr>
        <w:spacing w:after="120" w:line="240" w:lineRule="auto"/>
        <w:rPr>
          <w:b/>
          <w:sz w:val="24"/>
          <w:szCs w:val="24"/>
        </w:rPr>
      </w:pPr>
      <w:r>
        <w:rPr>
          <w:b/>
          <w:sz w:val="24"/>
          <w:szCs w:val="24"/>
        </w:rPr>
        <w:lastRenderedPageBreak/>
        <w:t>INTRODUCTION</w:t>
      </w:r>
    </w:p>
    <w:p w:rsidR="00D7631F" w:rsidRDefault="00637186" w:rsidP="00D7631F">
      <w:r>
        <w:t xml:space="preserve">It is highlighted by Brown (2010:3) that </w:t>
      </w:r>
      <w:r w:rsidR="00D55889">
        <w:t xml:space="preserve">across Australia </w:t>
      </w:r>
      <w:r>
        <w:t xml:space="preserve">‘none of the nine statutes governing </w:t>
      </w:r>
      <w:r w:rsidR="004D7770">
        <w:t xml:space="preserve">land </w:t>
      </w:r>
      <w:r>
        <w:t>acquisition are a model of excellence</w:t>
      </w:r>
      <w:r w:rsidR="00C76A15">
        <w:t>.</w:t>
      </w:r>
      <w:r>
        <w:t xml:space="preserve">’ </w:t>
      </w:r>
      <w:r w:rsidR="00C76A15">
        <w:t>W</w:t>
      </w:r>
      <w:r>
        <w:t xml:space="preserve">hile legislation was generally adequate, it is the ‘factual complexities surrounding the tasks for claimants, administrators, </w:t>
      </w:r>
      <w:proofErr w:type="spellStart"/>
      <w:r>
        <w:t>valuers</w:t>
      </w:r>
      <w:proofErr w:type="spellEnd"/>
      <w:r>
        <w:t xml:space="preserve"> and the courts</w:t>
      </w:r>
      <w:r w:rsidR="00C76A15">
        <w:t>,</w:t>
      </w:r>
      <w:r>
        <w:t>’</w:t>
      </w:r>
      <w:r w:rsidR="00C76A15">
        <w:t xml:space="preserve"> </w:t>
      </w:r>
      <w:r>
        <w:t>where the challenge arises</w:t>
      </w:r>
      <w:r w:rsidR="00C76A15">
        <w:t xml:space="preserve"> (Ibid)</w:t>
      </w:r>
      <w:r>
        <w:t>.</w:t>
      </w:r>
      <w:r w:rsidR="00B62A26">
        <w:t xml:space="preserve"> This is further compounded by the fact that the acquisition of land includes takings on either a partial or total acquisition </w:t>
      </w:r>
      <w:r w:rsidR="00D7631F">
        <w:t xml:space="preserve">basis and is undertaken by numerous government agencies across Australia. With the States responsible for over 80 per cent of all acquisition by volume, the acquisition of land for transportation </w:t>
      </w:r>
      <w:r w:rsidR="00EC2404">
        <w:t xml:space="preserve"> including road widening </w:t>
      </w:r>
      <w:r w:rsidR="00D7631F">
        <w:t>is the dominant acquisition purpose</w:t>
      </w:r>
      <w:r w:rsidR="00C76A15">
        <w:t xml:space="preserve"> in Australia</w:t>
      </w:r>
      <w:r w:rsidR="00D7631F">
        <w:t xml:space="preserve">, (Russell 2013:21). </w:t>
      </w:r>
    </w:p>
    <w:p w:rsidR="00AE4A26" w:rsidRDefault="00C76A15" w:rsidP="00FC424C">
      <w:r>
        <w:t>In</w:t>
      </w:r>
      <w:r w:rsidR="00891B58">
        <w:t xml:space="preserve"> the</w:t>
      </w:r>
      <w:r w:rsidR="00FC424C">
        <w:t xml:space="preserve"> capital cities of Australia, t</w:t>
      </w:r>
      <w:r w:rsidR="005831C5">
        <w:t xml:space="preserve">he </w:t>
      </w:r>
      <w:r w:rsidR="0081759F">
        <w:t>various</w:t>
      </w:r>
      <w:r w:rsidR="005831C5">
        <w:t xml:space="preserve"> </w:t>
      </w:r>
      <w:r>
        <w:t xml:space="preserve">acquisition </w:t>
      </w:r>
      <w:r w:rsidR="0081759F">
        <w:t>statutes</w:t>
      </w:r>
      <w:r w:rsidR="005831C5">
        <w:t xml:space="preserve"> </w:t>
      </w:r>
      <w:r w:rsidR="00891B58">
        <w:t>ha</w:t>
      </w:r>
      <w:r w:rsidR="0081759F">
        <w:t>ve</w:t>
      </w:r>
      <w:r w:rsidR="00891B58">
        <w:t xml:space="preserve"> been</w:t>
      </w:r>
      <w:r w:rsidR="005831C5">
        <w:t xml:space="preserve"> suited to the acquisition of land in an evolving city environment, where traditional public purposes precipitated the need for land to be acquired for infrastructure, health, education and other traditional public purposes. Since </w:t>
      </w:r>
      <w:r w:rsidR="00FC424C">
        <w:t xml:space="preserve">the early </w:t>
      </w:r>
      <w:r w:rsidR="005831C5">
        <w:t>199</w:t>
      </w:r>
      <w:r w:rsidR="00FC424C">
        <w:t>0s</w:t>
      </w:r>
      <w:r w:rsidR="005831C5">
        <w:t xml:space="preserve">, </w:t>
      </w:r>
      <w:r w:rsidR="00FC424C">
        <w:t>Melbourne,</w:t>
      </w:r>
      <w:r w:rsidR="005831C5">
        <w:t xml:space="preserve"> Sydney </w:t>
      </w:r>
      <w:r w:rsidR="00FC424C">
        <w:t xml:space="preserve">and parts of Brisbane </w:t>
      </w:r>
      <w:r w:rsidR="005831C5">
        <w:t>ha</w:t>
      </w:r>
      <w:r w:rsidR="00FC424C">
        <w:t>ve</w:t>
      </w:r>
      <w:r w:rsidR="005831C5">
        <w:t xml:space="preserve"> moved from the initial phase of land urbanisation, to a more complex rationale encompassing the regeneration and re-urbanisation of some land uses</w:t>
      </w:r>
      <w:r w:rsidR="004D7770">
        <w:t xml:space="preserve"> (Property Council of Australia 2010)</w:t>
      </w:r>
      <w:r w:rsidR="005831C5">
        <w:t>.</w:t>
      </w:r>
      <w:r w:rsidR="00FC424C">
        <w:t xml:space="preserve"> </w:t>
      </w:r>
    </w:p>
    <w:p w:rsidR="005831C5" w:rsidRDefault="005831C5" w:rsidP="00FC424C">
      <w:r>
        <w:t>As traditional public purposes now coexist with more complex rationales for acquisition, a more detailed and comprehensive response to the needs of dispossessed parties as stakeholders in the acquisition process is needed. Drafting for such evolution is not simple and requires expansion of the principles that have governed t</w:t>
      </w:r>
      <w:r w:rsidR="004D7770">
        <w:t xml:space="preserve">raditional acquisition purposes, when assessing compensation for more complex </w:t>
      </w:r>
      <w:r w:rsidR="00AE4A26">
        <w:t>and evolving public purposes</w:t>
      </w:r>
      <w:r w:rsidR="00891B58">
        <w:t xml:space="preserve"> which include </w:t>
      </w:r>
      <w:r w:rsidR="00D55889">
        <w:t>economic development</w:t>
      </w:r>
      <w:r w:rsidR="00AE4A26">
        <w:t>.</w:t>
      </w:r>
    </w:p>
    <w:p w:rsidR="00B62A26" w:rsidRDefault="0081759F" w:rsidP="00FC424C">
      <w:r>
        <w:t>T</w:t>
      </w:r>
      <w:r w:rsidR="00B62A26">
        <w:t>able 1</w:t>
      </w:r>
      <w:r>
        <w:t xml:space="preserve"> set’s out</w:t>
      </w:r>
      <w:r w:rsidR="00B62A26">
        <w:t xml:space="preserve">, the complexity surrounding the acquisition and the emerging purposes for which land is acquired is resulting in the need for principles which clearly define and adequately compensate dispossessed parties. </w:t>
      </w:r>
      <w:r w:rsidR="00E959CD">
        <w:t xml:space="preserve">This further amplifies the need for compensation to address the fact that market value is the only head of compensation in which the dispossessed party </w:t>
      </w:r>
      <w:r w:rsidR="00EC2404">
        <w:t>is</w:t>
      </w:r>
      <w:r w:rsidR="00E959CD">
        <w:t xml:space="preserve"> assumed to be a willing but not over anxious seller</w:t>
      </w:r>
      <w:r w:rsidR="00EC2404">
        <w:t>, which is an assumption of the legislation and not the dispossessed party</w:t>
      </w:r>
      <w:r w:rsidR="00E959CD">
        <w:t>. Beyond this, compensation principles must be modernised in addressing the overarching principle of equivalence in one form or another</w:t>
      </w:r>
      <w:r w:rsidR="00C945AE">
        <w:t xml:space="preserve"> through reforms to the other heads of compensation</w:t>
      </w:r>
      <w:r w:rsidR="00E959CD">
        <w:t>.</w:t>
      </w:r>
    </w:p>
    <w:p w:rsidR="00E959CD" w:rsidRPr="00E959CD" w:rsidRDefault="00366FDB" w:rsidP="00366FDB">
      <w:pPr>
        <w:spacing w:after="0" w:line="240" w:lineRule="auto"/>
        <w:ind w:firstLine="720"/>
        <w:rPr>
          <w:b/>
          <w:szCs w:val="20"/>
        </w:rPr>
      </w:pPr>
      <w:r>
        <w:rPr>
          <w:b/>
          <w:szCs w:val="20"/>
        </w:rPr>
        <w:t xml:space="preserve">      </w:t>
      </w:r>
      <w:r w:rsidR="00E959CD" w:rsidRPr="00E959CD">
        <w:rPr>
          <w:b/>
          <w:szCs w:val="20"/>
        </w:rPr>
        <w:t>Table 1: Acquisition types purposes</w:t>
      </w:r>
      <w:r w:rsidR="00570C92">
        <w:rPr>
          <w:b/>
          <w:szCs w:val="20"/>
        </w:rPr>
        <w:t xml:space="preserve"> and principles</w:t>
      </w:r>
    </w:p>
    <w:tbl>
      <w:tblPr>
        <w:tblStyle w:val="TableGrid"/>
        <w:tblW w:w="0" w:type="auto"/>
        <w:jc w:val="center"/>
        <w:tblLook w:val="04A0" w:firstRow="1" w:lastRow="0" w:firstColumn="1" w:lastColumn="0" w:noHBand="0" w:noVBand="1"/>
      </w:tblPr>
      <w:tblGrid>
        <w:gridCol w:w="1826"/>
        <w:gridCol w:w="2727"/>
        <w:gridCol w:w="2454"/>
      </w:tblGrid>
      <w:tr w:rsidR="00366FDB" w:rsidTr="00366FDB">
        <w:trPr>
          <w:jc w:val="center"/>
        </w:trPr>
        <w:tc>
          <w:tcPr>
            <w:tcW w:w="1826" w:type="dxa"/>
          </w:tcPr>
          <w:p w:rsidR="00366FDB" w:rsidRPr="00D62E04" w:rsidRDefault="00366FDB" w:rsidP="0007033B">
            <w:pPr>
              <w:spacing w:line="360" w:lineRule="auto"/>
              <w:jc w:val="center"/>
              <w:rPr>
                <w:rFonts w:eastAsia="Calibri" w:cs="Arial"/>
                <w:b/>
              </w:rPr>
            </w:pPr>
            <w:r w:rsidRPr="00D62E04">
              <w:rPr>
                <w:rFonts w:eastAsia="Calibri" w:cs="Arial"/>
                <w:b/>
              </w:rPr>
              <w:t>Acquisition Type</w:t>
            </w:r>
          </w:p>
        </w:tc>
        <w:tc>
          <w:tcPr>
            <w:tcW w:w="2727" w:type="dxa"/>
          </w:tcPr>
          <w:p w:rsidR="00366FDB" w:rsidRPr="00D62E04" w:rsidRDefault="00366FDB" w:rsidP="0007033B">
            <w:pPr>
              <w:spacing w:line="360" w:lineRule="auto"/>
              <w:jc w:val="center"/>
              <w:rPr>
                <w:rFonts w:eastAsia="Calibri" w:cs="Arial"/>
                <w:b/>
              </w:rPr>
            </w:pPr>
            <w:r w:rsidRPr="00D62E04">
              <w:rPr>
                <w:rFonts w:eastAsia="Calibri" w:cs="Arial"/>
                <w:b/>
              </w:rPr>
              <w:t>Acquisition Purpose</w:t>
            </w:r>
          </w:p>
        </w:tc>
        <w:tc>
          <w:tcPr>
            <w:tcW w:w="2454" w:type="dxa"/>
          </w:tcPr>
          <w:p w:rsidR="00366FDB" w:rsidRPr="00D62E04" w:rsidRDefault="00366FDB" w:rsidP="0007033B">
            <w:pPr>
              <w:spacing w:line="360" w:lineRule="auto"/>
              <w:jc w:val="center"/>
              <w:rPr>
                <w:rFonts w:eastAsia="Calibri" w:cs="Arial"/>
                <w:b/>
              </w:rPr>
            </w:pPr>
            <w:r>
              <w:rPr>
                <w:rFonts w:eastAsia="Calibri" w:cs="Arial"/>
                <w:b/>
              </w:rPr>
              <w:t>Basis of compensation</w:t>
            </w:r>
          </w:p>
        </w:tc>
      </w:tr>
      <w:tr w:rsidR="00366FDB" w:rsidTr="00366FDB">
        <w:trPr>
          <w:jc w:val="center"/>
        </w:trPr>
        <w:tc>
          <w:tcPr>
            <w:tcW w:w="1826" w:type="dxa"/>
          </w:tcPr>
          <w:p w:rsidR="00366FDB" w:rsidRPr="00DC6257" w:rsidRDefault="00366FDB" w:rsidP="00366FDB">
            <w:pPr>
              <w:jc w:val="center"/>
              <w:rPr>
                <w:rFonts w:eastAsia="Calibri" w:cs="Times New Roman"/>
                <w:szCs w:val="20"/>
              </w:rPr>
            </w:pPr>
            <w:r w:rsidRPr="00DC6257">
              <w:rPr>
                <w:rFonts w:eastAsia="Calibri" w:cs="Times New Roman"/>
                <w:szCs w:val="20"/>
              </w:rPr>
              <w:t>Total – Piecemeal Method</w:t>
            </w:r>
          </w:p>
        </w:tc>
        <w:tc>
          <w:tcPr>
            <w:tcW w:w="2727" w:type="dxa"/>
          </w:tcPr>
          <w:p w:rsidR="00366FDB" w:rsidRPr="00DC6257" w:rsidRDefault="00366FDB" w:rsidP="0007033B">
            <w:pPr>
              <w:spacing w:line="360" w:lineRule="auto"/>
              <w:rPr>
                <w:rFonts w:eastAsia="Calibri" w:cs="Times New Roman"/>
                <w:szCs w:val="20"/>
              </w:rPr>
            </w:pPr>
            <w:r w:rsidRPr="00DC6257">
              <w:rPr>
                <w:rFonts w:eastAsia="Calibri" w:cs="Times New Roman"/>
                <w:szCs w:val="20"/>
              </w:rPr>
              <w:t>Traditional - Infrastructure</w:t>
            </w:r>
          </w:p>
        </w:tc>
        <w:tc>
          <w:tcPr>
            <w:tcW w:w="2454" w:type="dxa"/>
            <w:vMerge w:val="restart"/>
          </w:tcPr>
          <w:p w:rsidR="00366FDB" w:rsidRPr="00DC6257" w:rsidRDefault="00366FDB" w:rsidP="00366FDB">
            <w:pPr>
              <w:jc w:val="center"/>
              <w:rPr>
                <w:rFonts w:eastAsia="Calibri" w:cs="Times New Roman"/>
                <w:szCs w:val="20"/>
              </w:rPr>
            </w:pPr>
          </w:p>
          <w:p w:rsidR="00366FDB" w:rsidRPr="00DC6257" w:rsidRDefault="00366FDB" w:rsidP="00366FDB">
            <w:pPr>
              <w:jc w:val="center"/>
              <w:rPr>
                <w:rFonts w:eastAsia="Calibri" w:cs="Times New Roman"/>
                <w:szCs w:val="20"/>
              </w:rPr>
            </w:pPr>
            <w:r w:rsidRPr="00DC6257">
              <w:rPr>
                <w:rFonts w:eastAsia="Calibri" w:cs="Times New Roman"/>
                <w:szCs w:val="20"/>
              </w:rPr>
              <w:t xml:space="preserve">Market Value + </w:t>
            </w:r>
            <w:proofErr w:type="spellStart"/>
            <w:r w:rsidRPr="00DC6257">
              <w:rPr>
                <w:rFonts w:eastAsia="Calibri" w:cs="Times New Roman"/>
                <w:szCs w:val="20"/>
              </w:rPr>
              <w:t>Solatium</w:t>
            </w:r>
            <w:proofErr w:type="spellEnd"/>
            <w:r w:rsidRPr="00DC6257">
              <w:rPr>
                <w:rFonts w:eastAsia="Calibri" w:cs="Times New Roman"/>
                <w:szCs w:val="20"/>
              </w:rPr>
              <w:t xml:space="preserve"> + Items of Disturbance</w:t>
            </w:r>
          </w:p>
        </w:tc>
      </w:tr>
      <w:tr w:rsidR="00366FDB" w:rsidTr="00366FDB">
        <w:trPr>
          <w:jc w:val="center"/>
        </w:trPr>
        <w:tc>
          <w:tcPr>
            <w:tcW w:w="1826" w:type="dxa"/>
          </w:tcPr>
          <w:p w:rsidR="00366FDB" w:rsidRPr="00DC6257" w:rsidRDefault="00366FDB" w:rsidP="00366FDB">
            <w:pPr>
              <w:pStyle w:val="NoSpacing"/>
              <w:jc w:val="center"/>
              <w:rPr>
                <w:rFonts w:ascii="Times New Roman" w:hAnsi="Times New Roman"/>
              </w:rPr>
            </w:pPr>
            <w:r w:rsidRPr="00DC6257">
              <w:rPr>
                <w:rFonts w:ascii="Times New Roman" w:hAnsi="Times New Roman"/>
              </w:rPr>
              <w:t>Partial – Before and After Method</w:t>
            </w:r>
          </w:p>
        </w:tc>
        <w:tc>
          <w:tcPr>
            <w:tcW w:w="2727" w:type="dxa"/>
          </w:tcPr>
          <w:p w:rsidR="00366FDB" w:rsidRPr="00DC6257" w:rsidRDefault="00366FDB" w:rsidP="0007033B">
            <w:pPr>
              <w:rPr>
                <w:rFonts w:eastAsia="Calibri" w:cs="Times New Roman"/>
                <w:szCs w:val="20"/>
              </w:rPr>
            </w:pPr>
            <w:r w:rsidRPr="00DC6257">
              <w:rPr>
                <w:rFonts w:eastAsia="Calibri" w:cs="Times New Roman"/>
                <w:szCs w:val="20"/>
              </w:rPr>
              <w:t>Non-traditional – economic development / alternate development.</w:t>
            </w:r>
          </w:p>
        </w:tc>
        <w:tc>
          <w:tcPr>
            <w:tcW w:w="2454" w:type="dxa"/>
            <w:vMerge/>
          </w:tcPr>
          <w:p w:rsidR="00366FDB" w:rsidRPr="00DC6257" w:rsidRDefault="00366FDB" w:rsidP="0007033B">
            <w:pPr>
              <w:rPr>
                <w:rFonts w:eastAsia="Calibri" w:cs="Times New Roman"/>
                <w:szCs w:val="20"/>
              </w:rPr>
            </w:pPr>
          </w:p>
        </w:tc>
      </w:tr>
      <w:tr w:rsidR="00366FDB" w:rsidTr="00366FDB">
        <w:trPr>
          <w:jc w:val="center"/>
        </w:trPr>
        <w:tc>
          <w:tcPr>
            <w:tcW w:w="4553" w:type="dxa"/>
            <w:gridSpan w:val="2"/>
          </w:tcPr>
          <w:p w:rsidR="00366FDB" w:rsidRPr="00DC6257" w:rsidRDefault="00366FDB" w:rsidP="00570C92">
            <w:pPr>
              <w:jc w:val="center"/>
              <w:rPr>
                <w:rFonts w:eastAsia="Calibri" w:cs="Times New Roman"/>
                <w:szCs w:val="20"/>
              </w:rPr>
            </w:pPr>
            <w:r w:rsidRPr="00DC6257">
              <w:rPr>
                <w:rFonts w:eastAsia="Calibri" w:cs="Times New Roman"/>
                <w:szCs w:val="20"/>
              </w:rPr>
              <w:t>Existing and Alternate Application of the Principles of Compensation</w:t>
            </w:r>
          </w:p>
        </w:tc>
        <w:tc>
          <w:tcPr>
            <w:tcW w:w="2454" w:type="dxa"/>
          </w:tcPr>
          <w:p w:rsidR="00366FDB" w:rsidRPr="00DC6257" w:rsidRDefault="00366FDB" w:rsidP="00570C92">
            <w:pPr>
              <w:jc w:val="center"/>
              <w:rPr>
                <w:rFonts w:eastAsia="Calibri" w:cs="Times New Roman"/>
                <w:szCs w:val="20"/>
              </w:rPr>
            </w:pPr>
            <w:r w:rsidRPr="00DC6257">
              <w:rPr>
                <w:rFonts w:eastAsia="Calibri" w:cs="Times New Roman"/>
                <w:szCs w:val="20"/>
              </w:rPr>
              <w:t>Reinstatement</w:t>
            </w:r>
          </w:p>
        </w:tc>
      </w:tr>
    </w:tbl>
    <w:p w:rsidR="0081759F" w:rsidRDefault="0081759F" w:rsidP="0081759F">
      <w:pPr>
        <w:spacing w:after="0"/>
      </w:pPr>
    </w:p>
    <w:p w:rsidR="00E959CD" w:rsidRDefault="00E959CD" w:rsidP="00F6312C">
      <w:pPr>
        <w:spacing w:before="120"/>
      </w:pPr>
      <w:r>
        <w:t>The following sections of this paper examine the types of acquisition</w:t>
      </w:r>
      <w:r w:rsidR="00E53061">
        <w:t>, me</w:t>
      </w:r>
      <w:r w:rsidR="00D55889">
        <w:t>thods of assessing compensation</w:t>
      </w:r>
      <w:r>
        <w:t xml:space="preserve"> in which the principles of </w:t>
      </w:r>
      <w:r w:rsidR="0081759F">
        <w:t xml:space="preserve">disturbance and </w:t>
      </w:r>
      <w:proofErr w:type="spellStart"/>
      <w:r w:rsidR="0081759F">
        <w:t>solatium</w:t>
      </w:r>
      <w:proofErr w:type="spellEnd"/>
      <w:r>
        <w:t xml:space="preserve"> a</w:t>
      </w:r>
      <w:r w:rsidR="00D55889">
        <w:t>re</w:t>
      </w:r>
      <w:r>
        <w:t xml:space="preserve"> examined</w:t>
      </w:r>
      <w:r w:rsidR="00543218">
        <w:t xml:space="preserve">. </w:t>
      </w:r>
      <w:r w:rsidR="00E53061">
        <w:t>This is undertaken within the context of traditional</w:t>
      </w:r>
      <w:r w:rsidR="0081759F">
        <w:t xml:space="preserve"> purposes which encompass acquisitions for transportation and health,</w:t>
      </w:r>
      <w:r w:rsidR="00E53061">
        <w:t xml:space="preserve"> and </w:t>
      </w:r>
      <w:r w:rsidR="0081759F">
        <w:t xml:space="preserve">then for </w:t>
      </w:r>
      <w:r w:rsidR="00D96D49">
        <w:t>non-traditional</w:t>
      </w:r>
      <w:r w:rsidR="00E53061">
        <w:t xml:space="preserve"> purposes which encompass</w:t>
      </w:r>
      <w:r w:rsidR="00543218">
        <w:t xml:space="preserve"> economic development</w:t>
      </w:r>
      <w:r w:rsidR="0081759F">
        <w:t xml:space="preserve"> and business</w:t>
      </w:r>
      <w:r w:rsidR="00E53061">
        <w:t xml:space="preserve">. This examination lays the platform for expanding existing principles of </w:t>
      </w:r>
      <w:r w:rsidR="00543218">
        <w:t xml:space="preserve">compensation </w:t>
      </w:r>
      <w:r w:rsidR="00E53061">
        <w:t xml:space="preserve">in providing equivalence to dispossessed parties </w:t>
      </w:r>
      <w:r w:rsidR="00543218">
        <w:t xml:space="preserve">which </w:t>
      </w:r>
      <w:r w:rsidR="00E53061">
        <w:t>extend</w:t>
      </w:r>
      <w:r w:rsidR="00543218">
        <w:t>s</w:t>
      </w:r>
      <w:r w:rsidR="00E53061">
        <w:t xml:space="preserve"> beyond market value and conciliatory compensation </w:t>
      </w:r>
      <w:r w:rsidR="0081759F">
        <w:t>which constitutes a form of reinstatement</w:t>
      </w:r>
      <w:r w:rsidR="00A1208D">
        <w:t>.</w:t>
      </w:r>
    </w:p>
    <w:p w:rsidR="000D0913" w:rsidRDefault="000D0913" w:rsidP="00F6312C">
      <w:pPr>
        <w:spacing w:before="120"/>
      </w:pPr>
    </w:p>
    <w:p w:rsidR="00D7631F" w:rsidRDefault="000D0913" w:rsidP="000D0913">
      <w:pPr>
        <w:spacing w:after="120" w:line="240" w:lineRule="auto"/>
        <w:rPr>
          <w:b/>
          <w:sz w:val="24"/>
          <w:szCs w:val="24"/>
        </w:rPr>
      </w:pPr>
      <w:r>
        <w:rPr>
          <w:b/>
          <w:sz w:val="24"/>
          <w:szCs w:val="24"/>
        </w:rPr>
        <w:t>BEYOND MARKET VALUE: THE ROLE OF SOLATIUM AND DISTURBANCE</w:t>
      </w:r>
    </w:p>
    <w:p w:rsidR="002D3819" w:rsidRDefault="000D0913" w:rsidP="000D0913">
      <w:r>
        <w:t xml:space="preserve">Much of the </w:t>
      </w:r>
      <w:r w:rsidR="002D3819">
        <w:t>attention</w:t>
      </w:r>
      <w:r>
        <w:t xml:space="preserve"> on compensation </w:t>
      </w:r>
      <w:r w:rsidR="002D3819">
        <w:t xml:space="preserve">has focused on market value and whether it has been assessed correctly and in line with valuation principles. A further dimension exists in addressing the broader question of whether a </w:t>
      </w:r>
      <w:r w:rsidR="002D3819">
        <w:lastRenderedPageBreak/>
        <w:t xml:space="preserve">dispossessed party has received compensation not solely on parity of market value but in placing them in the same position they were in prior to the acquisition of their property. This brings into question the purpose and application of </w:t>
      </w:r>
      <w:proofErr w:type="spellStart"/>
      <w:r w:rsidR="002D3819">
        <w:t>s</w:t>
      </w:r>
      <w:r>
        <w:t>olatium</w:t>
      </w:r>
      <w:proofErr w:type="spellEnd"/>
      <w:r>
        <w:t xml:space="preserve"> </w:t>
      </w:r>
      <w:r w:rsidR="002D3819">
        <w:t xml:space="preserve">and disturbance </w:t>
      </w:r>
      <w:r>
        <w:t xml:space="preserve">in establishing parity of compensation </w:t>
      </w:r>
      <w:r w:rsidR="002D3819">
        <w:t xml:space="preserve">rather than parity of market value </w:t>
      </w:r>
      <w:r>
        <w:t>in Australia</w:t>
      </w:r>
      <w:r w:rsidR="002D3819">
        <w:t xml:space="preserve">. Prior to examining their application within statutes across Australia, it is first apt to review their meaning and intent within </w:t>
      </w:r>
      <w:r w:rsidR="00C52C4B">
        <w:t>compensation principles.</w:t>
      </w:r>
    </w:p>
    <w:p w:rsidR="00C52C4B" w:rsidRDefault="00C52C4B" w:rsidP="000D0913">
      <w:r>
        <w:t xml:space="preserve">The overriding principle of parity encompasses the necessity for recognition that not every unforeseen loss can be accounted for or recognised, this </w:t>
      </w:r>
      <w:r w:rsidR="00791D79">
        <w:t>point</w:t>
      </w:r>
      <w:r>
        <w:t xml:space="preserve"> is broadly recognised under the principle of </w:t>
      </w:r>
      <w:proofErr w:type="spellStart"/>
      <w:r>
        <w:t>solatium</w:t>
      </w:r>
      <w:proofErr w:type="spellEnd"/>
      <w:r>
        <w:t xml:space="preserve">. Brown (2004:172) defines its purpose as ensuring “that the former is no worse off and, on occasions, may be better </w:t>
      </w:r>
      <w:r w:rsidR="00791D79">
        <w:t>off” and further defines it as s “sweetener, perhaps, reflecting some kind of apology.” In a more practical sense, it recognises the different impacts the acquisition might have on adjoining property owners:</w:t>
      </w:r>
    </w:p>
    <w:p w:rsidR="00791D79" w:rsidRDefault="00791D79" w:rsidP="00791D79">
      <w:pPr>
        <w:ind w:left="720"/>
      </w:pPr>
      <w:r>
        <w:t>“There may be an awareness that the former owner has had to surrender his or her land whereas other nearby owners have been allowed to continue in uninterrupted and peaceful enjoyment” (Ibid).</w:t>
      </w:r>
    </w:p>
    <w:p w:rsidR="00A450AF" w:rsidRDefault="00A450AF" w:rsidP="00A450AF">
      <w:r>
        <w:t>In summary,</w:t>
      </w:r>
      <w:r w:rsidR="0014346C">
        <w:t xml:space="preserve"> </w:t>
      </w:r>
      <w:proofErr w:type="spellStart"/>
      <w:r w:rsidR="0014346C">
        <w:t>solatium</w:t>
      </w:r>
      <w:proofErr w:type="spellEnd"/>
      <w:r>
        <w:t xml:space="preserve"> is compensation for non-financial loss resulting from the acquisition of land</w:t>
      </w:r>
      <w:r w:rsidR="0014346C">
        <w:t xml:space="preserve"> and is paid in addition to other heads of compensation to which a loss or reinstatement can be reconciled.</w:t>
      </w:r>
    </w:p>
    <w:p w:rsidR="000D0913" w:rsidRDefault="000D0913" w:rsidP="000D0913">
      <w:r>
        <w:t xml:space="preserve">As set out in Table 2, these heads of compensation vary across the State of Australia, being determined on various bases. In addition to their operation in Australia, they exist in various forms internationally. Table 2 highlights the breadth of application of these two heads of compensation across Australia. It is noted the main divide in the provision for </w:t>
      </w:r>
      <w:proofErr w:type="spellStart"/>
      <w:r>
        <w:t>solatium</w:t>
      </w:r>
      <w:proofErr w:type="spellEnd"/>
      <w:r>
        <w:t>, being a fixed amount versus a percentage of the total compensation, of which 10 per cent is used in Queensland and Western Australia.</w:t>
      </w:r>
    </w:p>
    <w:p w:rsidR="000D0913" w:rsidRPr="00985802" w:rsidRDefault="000D0913" w:rsidP="000D0913">
      <w:pPr>
        <w:spacing w:after="0" w:line="240" w:lineRule="auto"/>
        <w:ind w:firstLine="720"/>
        <w:rPr>
          <w:b/>
          <w:szCs w:val="20"/>
        </w:rPr>
      </w:pPr>
      <w:r w:rsidRPr="00985802">
        <w:rPr>
          <w:b/>
          <w:szCs w:val="20"/>
        </w:rPr>
        <w:t xml:space="preserve">Table </w:t>
      </w:r>
      <w:r>
        <w:rPr>
          <w:b/>
          <w:szCs w:val="20"/>
        </w:rPr>
        <w:t xml:space="preserve">2: </w:t>
      </w:r>
      <w:proofErr w:type="spellStart"/>
      <w:r>
        <w:rPr>
          <w:b/>
          <w:szCs w:val="20"/>
        </w:rPr>
        <w:t>Solatium</w:t>
      </w:r>
      <w:proofErr w:type="spellEnd"/>
      <w:r>
        <w:rPr>
          <w:b/>
          <w:szCs w:val="20"/>
        </w:rPr>
        <w:t xml:space="preserve"> &amp; Disturbance s</w:t>
      </w:r>
      <w:r w:rsidRPr="00985802">
        <w:rPr>
          <w:b/>
          <w:szCs w:val="20"/>
        </w:rPr>
        <w:t>ummary across Australia</w:t>
      </w:r>
    </w:p>
    <w:tbl>
      <w:tblPr>
        <w:tblStyle w:val="TableGrid"/>
        <w:tblW w:w="0" w:type="auto"/>
        <w:tblInd w:w="534" w:type="dxa"/>
        <w:tblLook w:val="04A0" w:firstRow="1" w:lastRow="0" w:firstColumn="1" w:lastColumn="0" w:noHBand="0" w:noVBand="1"/>
      </w:tblPr>
      <w:tblGrid>
        <w:gridCol w:w="2409"/>
        <w:gridCol w:w="1985"/>
        <w:gridCol w:w="2410"/>
        <w:gridCol w:w="1701"/>
      </w:tblGrid>
      <w:tr w:rsidR="000D0913" w:rsidTr="00FC187D">
        <w:tc>
          <w:tcPr>
            <w:tcW w:w="2409" w:type="dxa"/>
          </w:tcPr>
          <w:p w:rsidR="000D0913" w:rsidRPr="006A221A" w:rsidRDefault="000D0913" w:rsidP="00FC187D">
            <w:pPr>
              <w:ind w:firstLine="720"/>
              <w:jc w:val="center"/>
              <w:rPr>
                <w:rFonts w:ascii="Arial" w:hAnsi="Arial" w:cs="Arial"/>
                <w:b/>
                <w:sz w:val="18"/>
                <w:szCs w:val="18"/>
              </w:rPr>
            </w:pPr>
            <w:r w:rsidRPr="006A221A">
              <w:rPr>
                <w:rFonts w:ascii="Arial" w:hAnsi="Arial" w:cs="Arial"/>
                <w:b/>
                <w:sz w:val="18"/>
                <w:szCs w:val="18"/>
              </w:rPr>
              <w:t>Jurisdiction</w:t>
            </w:r>
          </w:p>
        </w:tc>
        <w:tc>
          <w:tcPr>
            <w:tcW w:w="1985" w:type="dxa"/>
          </w:tcPr>
          <w:p w:rsidR="000D0913" w:rsidRPr="006A221A" w:rsidRDefault="000D0913" w:rsidP="00FC187D">
            <w:pPr>
              <w:jc w:val="center"/>
              <w:rPr>
                <w:rFonts w:ascii="Arial" w:hAnsi="Arial" w:cs="Arial"/>
                <w:b/>
                <w:sz w:val="18"/>
                <w:szCs w:val="18"/>
              </w:rPr>
            </w:pPr>
            <w:proofErr w:type="spellStart"/>
            <w:r w:rsidRPr="006A221A">
              <w:rPr>
                <w:rFonts w:ascii="Arial" w:hAnsi="Arial" w:cs="Arial"/>
                <w:b/>
                <w:sz w:val="18"/>
                <w:szCs w:val="18"/>
              </w:rPr>
              <w:t>Solatium</w:t>
            </w:r>
            <w:proofErr w:type="spellEnd"/>
          </w:p>
        </w:tc>
        <w:tc>
          <w:tcPr>
            <w:tcW w:w="2410" w:type="dxa"/>
          </w:tcPr>
          <w:p w:rsidR="000D0913" w:rsidRPr="006A221A" w:rsidRDefault="000D0913" w:rsidP="00FC187D">
            <w:pPr>
              <w:jc w:val="center"/>
              <w:rPr>
                <w:rFonts w:ascii="Arial" w:hAnsi="Arial" w:cs="Arial"/>
                <w:b/>
                <w:sz w:val="18"/>
                <w:szCs w:val="18"/>
              </w:rPr>
            </w:pPr>
            <w:r w:rsidRPr="006A221A">
              <w:rPr>
                <w:rFonts w:ascii="Arial" w:hAnsi="Arial" w:cs="Arial"/>
                <w:b/>
                <w:sz w:val="18"/>
                <w:szCs w:val="18"/>
              </w:rPr>
              <w:t>Disturbance</w:t>
            </w:r>
          </w:p>
        </w:tc>
        <w:tc>
          <w:tcPr>
            <w:tcW w:w="1701" w:type="dxa"/>
          </w:tcPr>
          <w:p w:rsidR="000D0913" w:rsidRPr="006A221A" w:rsidRDefault="000D0913" w:rsidP="00FC187D">
            <w:pPr>
              <w:jc w:val="center"/>
              <w:rPr>
                <w:rFonts w:ascii="Arial" w:hAnsi="Arial" w:cs="Arial"/>
                <w:b/>
                <w:sz w:val="18"/>
                <w:szCs w:val="18"/>
              </w:rPr>
            </w:pPr>
            <w:r w:rsidRPr="006A221A">
              <w:rPr>
                <w:rFonts w:ascii="Arial" w:hAnsi="Arial" w:cs="Arial"/>
                <w:b/>
                <w:sz w:val="18"/>
                <w:szCs w:val="18"/>
              </w:rPr>
              <w:t>Reinstatement</w:t>
            </w:r>
          </w:p>
        </w:tc>
      </w:tr>
      <w:tr w:rsidR="000D0913" w:rsidTr="00FC187D">
        <w:tc>
          <w:tcPr>
            <w:tcW w:w="2409" w:type="dxa"/>
          </w:tcPr>
          <w:p w:rsidR="000D0913" w:rsidRPr="00B029BC" w:rsidRDefault="000D0913" w:rsidP="00FC187D">
            <w:pPr>
              <w:rPr>
                <w:rFonts w:cs="Times New Roman"/>
                <w:szCs w:val="20"/>
              </w:rPr>
            </w:pPr>
            <w:r w:rsidRPr="00B029BC">
              <w:rPr>
                <w:rFonts w:cs="Times New Roman"/>
                <w:b/>
                <w:szCs w:val="20"/>
              </w:rPr>
              <w:t>VIC</w:t>
            </w:r>
            <w:r w:rsidRPr="00B029BC">
              <w:rPr>
                <w:rFonts w:cs="Times New Roman"/>
                <w:szCs w:val="20"/>
              </w:rPr>
              <w:t xml:space="preserve"> </w:t>
            </w:r>
          </w:p>
          <w:p w:rsidR="000D0913" w:rsidRPr="00B029BC" w:rsidRDefault="000D0913" w:rsidP="00FC187D">
            <w:pPr>
              <w:rPr>
                <w:rFonts w:cs="Times New Roman"/>
                <w:szCs w:val="20"/>
              </w:rPr>
            </w:pPr>
            <w:r w:rsidRPr="00B029BC">
              <w:rPr>
                <w:rFonts w:cs="Times New Roman"/>
                <w:szCs w:val="20"/>
              </w:rPr>
              <w:t>Land Acquisition &amp;</w:t>
            </w:r>
            <w:r w:rsidRPr="00B029BC">
              <w:rPr>
                <w:rFonts w:eastAsia="Calibri" w:cs="Times New Roman"/>
                <w:szCs w:val="20"/>
              </w:rPr>
              <w:t xml:space="preserve"> Compensation Act 1986</w:t>
            </w:r>
          </w:p>
        </w:tc>
        <w:tc>
          <w:tcPr>
            <w:tcW w:w="1985" w:type="dxa"/>
          </w:tcPr>
          <w:p w:rsidR="000D0913" w:rsidRPr="00B029BC" w:rsidRDefault="000D0913" w:rsidP="00FC187D">
            <w:pPr>
              <w:rPr>
                <w:rFonts w:cs="Times New Roman"/>
                <w:szCs w:val="20"/>
              </w:rPr>
            </w:pPr>
            <w:r w:rsidRPr="00B029BC">
              <w:rPr>
                <w:rFonts w:cs="Times New Roman"/>
                <w:szCs w:val="20"/>
              </w:rPr>
              <w:t>Up to 10% of total compensation</w:t>
            </w:r>
          </w:p>
        </w:tc>
        <w:tc>
          <w:tcPr>
            <w:tcW w:w="2410" w:type="dxa"/>
          </w:tcPr>
          <w:p w:rsidR="000D0913" w:rsidRPr="00B029BC" w:rsidRDefault="000D0913" w:rsidP="00FC187D">
            <w:pPr>
              <w:jc w:val="center"/>
              <w:rPr>
                <w:rFonts w:cs="Times New Roman"/>
                <w:szCs w:val="20"/>
              </w:rPr>
            </w:pPr>
            <w:r w:rsidRPr="00B029BC">
              <w:rPr>
                <w:rFonts w:cs="Times New Roman"/>
                <w:szCs w:val="20"/>
              </w:rPr>
              <w:t>Section 41</w:t>
            </w:r>
          </w:p>
          <w:p w:rsidR="000D0913" w:rsidRPr="00B029BC" w:rsidRDefault="000D0913" w:rsidP="00FC187D">
            <w:pPr>
              <w:rPr>
                <w:rFonts w:cs="Times New Roman"/>
                <w:szCs w:val="20"/>
              </w:rPr>
            </w:pPr>
            <w:r w:rsidRPr="00B029BC">
              <w:rPr>
                <w:rFonts w:cs="Times New Roman"/>
                <w:szCs w:val="20"/>
              </w:rPr>
              <w:t>Professional costs</w:t>
            </w:r>
          </w:p>
        </w:tc>
        <w:tc>
          <w:tcPr>
            <w:tcW w:w="1701" w:type="dxa"/>
          </w:tcPr>
          <w:p w:rsidR="000D0913" w:rsidRPr="00B029BC" w:rsidRDefault="000D0913" w:rsidP="00FC187D">
            <w:pPr>
              <w:jc w:val="center"/>
              <w:rPr>
                <w:rFonts w:cs="Times New Roman"/>
                <w:szCs w:val="20"/>
              </w:rPr>
            </w:pPr>
            <w:r w:rsidRPr="00B029BC">
              <w:rPr>
                <w:rFonts w:eastAsia="Calibri" w:cs="Times New Roman"/>
                <w:szCs w:val="20"/>
              </w:rPr>
              <w:t>Section 42</w:t>
            </w:r>
          </w:p>
          <w:p w:rsidR="000D0913" w:rsidRPr="00B029BC" w:rsidRDefault="000D0913" w:rsidP="00FC187D">
            <w:pPr>
              <w:jc w:val="center"/>
              <w:rPr>
                <w:rFonts w:eastAsia="Calibri" w:cs="Times New Roman"/>
                <w:szCs w:val="20"/>
              </w:rPr>
            </w:pPr>
            <w:r w:rsidRPr="00B029BC">
              <w:rPr>
                <w:rFonts w:cs="Times New Roman"/>
                <w:szCs w:val="20"/>
              </w:rPr>
              <w:t>Purchase or intended purchase</w:t>
            </w:r>
          </w:p>
        </w:tc>
      </w:tr>
      <w:tr w:rsidR="000D0913" w:rsidTr="00FC187D">
        <w:tc>
          <w:tcPr>
            <w:tcW w:w="2409" w:type="dxa"/>
          </w:tcPr>
          <w:p w:rsidR="000D0913" w:rsidRPr="00B029BC" w:rsidRDefault="000D0913" w:rsidP="00FC187D">
            <w:pPr>
              <w:rPr>
                <w:rFonts w:cs="Times New Roman"/>
                <w:szCs w:val="20"/>
              </w:rPr>
            </w:pPr>
            <w:r w:rsidRPr="00B029BC">
              <w:rPr>
                <w:rFonts w:cs="Times New Roman"/>
                <w:b/>
                <w:szCs w:val="20"/>
              </w:rPr>
              <w:t>Qld</w:t>
            </w:r>
            <w:r w:rsidRPr="00B029BC">
              <w:rPr>
                <w:rFonts w:cs="Times New Roman"/>
                <w:szCs w:val="20"/>
              </w:rPr>
              <w:t xml:space="preserve"> </w:t>
            </w:r>
          </w:p>
          <w:p w:rsidR="000D0913" w:rsidRPr="00B029BC" w:rsidRDefault="000D0913" w:rsidP="00FC187D">
            <w:pPr>
              <w:rPr>
                <w:rFonts w:cs="Times New Roman"/>
                <w:szCs w:val="20"/>
              </w:rPr>
            </w:pPr>
            <w:r w:rsidRPr="00B029BC">
              <w:rPr>
                <w:rFonts w:eastAsia="Calibri" w:cs="Times New Roman"/>
                <w:szCs w:val="20"/>
              </w:rPr>
              <w:t>Acquisition of Land Act 1967</w:t>
            </w:r>
          </w:p>
        </w:tc>
        <w:tc>
          <w:tcPr>
            <w:tcW w:w="1985" w:type="dxa"/>
          </w:tcPr>
          <w:p w:rsidR="000D0913" w:rsidRPr="00B029BC" w:rsidRDefault="000D0913" w:rsidP="00FC187D">
            <w:pPr>
              <w:rPr>
                <w:rFonts w:cs="Times New Roman"/>
                <w:szCs w:val="20"/>
              </w:rPr>
            </w:pPr>
            <w:r w:rsidRPr="00B029BC">
              <w:rPr>
                <w:rFonts w:cs="Times New Roman"/>
                <w:szCs w:val="20"/>
              </w:rPr>
              <w:t>No Provision</w:t>
            </w:r>
          </w:p>
        </w:tc>
        <w:tc>
          <w:tcPr>
            <w:tcW w:w="2410" w:type="dxa"/>
          </w:tcPr>
          <w:p w:rsidR="000D0913" w:rsidRPr="00B029BC" w:rsidRDefault="000D0913" w:rsidP="00FC187D">
            <w:pPr>
              <w:jc w:val="center"/>
              <w:rPr>
                <w:rFonts w:cs="Times New Roman"/>
                <w:szCs w:val="20"/>
              </w:rPr>
            </w:pPr>
            <w:r w:rsidRPr="00B029BC">
              <w:rPr>
                <w:rFonts w:cs="Times New Roman"/>
                <w:szCs w:val="20"/>
              </w:rPr>
              <w:t>Section 20</w:t>
            </w:r>
          </w:p>
          <w:p w:rsidR="000D0913" w:rsidRPr="00B029BC" w:rsidRDefault="000D0913" w:rsidP="00FC187D">
            <w:pPr>
              <w:rPr>
                <w:rFonts w:cs="Times New Roman"/>
                <w:szCs w:val="20"/>
              </w:rPr>
            </w:pPr>
            <w:r w:rsidRPr="00B029BC">
              <w:rPr>
                <w:rFonts w:cs="Times New Roman"/>
                <w:szCs w:val="20"/>
              </w:rPr>
              <w:t>Reasonable professional &amp; financial costs</w:t>
            </w:r>
          </w:p>
        </w:tc>
        <w:tc>
          <w:tcPr>
            <w:tcW w:w="1701" w:type="dxa"/>
          </w:tcPr>
          <w:p w:rsidR="000D0913" w:rsidRPr="00B029BC" w:rsidRDefault="000D0913" w:rsidP="00FC187D">
            <w:pPr>
              <w:jc w:val="center"/>
              <w:rPr>
                <w:rFonts w:eastAsia="Calibri" w:cs="Times New Roman"/>
                <w:szCs w:val="20"/>
              </w:rPr>
            </w:pPr>
            <w:r w:rsidRPr="00B029BC">
              <w:rPr>
                <w:rFonts w:eastAsia="Calibri" w:cs="Times New Roman"/>
                <w:szCs w:val="20"/>
              </w:rPr>
              <w:t>No provision</w:t>
            </w:r>
          </w:p>
        </w:tc>
      </w:tr>
      <w:tr w:rsidR="000D0913" w:rsidTr="00FC187D">
        <w:tc>
          <w:tcPr>
            <w:tcW w:w="2409" w:type="dxa"/>
          </w:tcPr>
          <w:p w:rsidR="000D0913" w:rsidRPr="00B029BC" w:rsidRDefault="000D0913" w:rsidP="00FC187D">
            <w:pPr>
              <w:rPr>
                <w:rFonts w:cs="Times New Roman"/>
                <w:szCs w:val="20"/>
              </w:rPr>
            </w:pPr>
            <w:r w:rsidRPr="00B029BC">
              <w:rPr>
                <w:rFonts w:cs="Times New Roman"/>
                <w:b/>
                <w:szCs w:val="20"/>
              </w:rPr>
              <w:t>NSW</w:t>
            </w:r>
            <w:r w:rsidRPr="00B029BC">
              <w:rPr>
                <w:rFonts w:cs="Times New Roman"/>
                <w:szCs w:val="20"/>
              </w:rPr>
              <w:t xml:space="preserve"> </w:t>
            </w:r>
          </w:p>
          <w:p w:rsidR="000D0913" w:rsidRPr="00B029BC" w:rsidRDefault="000D0913" w:rsidP="00FC187D">
            <w:pPr>
              <w:rPr>
                <w:rFonts w:cs="Times New Roman"/>
                <w:szCs w:val="20"/>
              </w:rPr>
            </w:pPr>
            <w:r w:rsidRPr="00B029BC">
              <w:rPr>
                <w:rFonts w:eastAsia="Calibri" w:cs="Times New Roman"/>
                <w:szCs w:val="20"/>
              </w:rPr>
              <w:t>Land Acquisition (Just Terms Compensation) Act 1991</w:t>
            </w:r>
          </w:p>
        </w:tc>
        <w:tc>
          <w:tcPr>
            <w:tcW w:w="1985" w:type="dxa"/>
          </w:tcPr>
          <w:p w:rsidR="000D0913" w:rsidRPr="00B029BC" w:rsidRDefault="000D0913" w:rsidP="00FC187D">
            <w:pPr>
              <w:rPr>
                <w:rFonts w:cs="Times New Roman"/>
                <w:szCs w:val="20"/>
              </w:rPr>
            </w:pPr>
            <w:r w:rsidRPr="00B029BC">
              <w:rPr>
                <w:rFonts w:cs="Times New Roman"/>
                <w:szCs w:val="20"/>
              </w:rPr>
              <w:t>Up to $25,500</w:t>
            </w:r>
          </w:p>
        </w:tc>
        <w:tc>
          <w:tcPr>
            <w:tcW w:w="2410" w:type="dxa"/>
          </w:tcPr>
          <w:p w:rsidR="000D0913" w:rsidRPr="00B029BC" w:rsidRDefault="000D0913" w:rsidP="00FC187D">
            <w:pPr>
              <w:jc w:val="center"/>
              <w:rPr>
                <w:rFonts w:cs="Times New Roman"/>
                <w:szCs w:val="20"/>
              </w:rPr>
            </w:pPr>
            <w:r w:rsidRPr="00B029BC">
              <w:rPr>
                <w:rFonts w:cs="Times New Roman"/>
                <w:szCs w:val="20"/>
              </w:rPr>
              <w:t>Section 59</w:t>
            </w:r>
          </w:p>
          <w:p w:rsidR="000D0913" w:rsidRPr="00B029BC" w:rsidRDefault="000D0913" w:rsidP="00FC187D">
            <w:pPr>
              <w:rPr>
                <w:rFonts w:cs="Times New Roman"/>
                <w:szCs w:val="20"/>
              </w:rPr>
            </w:pPr>
            <w:r w:rsidRPr="00B029BC">
              <w:rPr>
                <w:rFonts w:cs="Times New Roman"/>
                <w:szCs w:val="20"/>
              </w:rPr>
              <w:t>Items reasonably incurred for relocation, finance and acquisition costs.</w:t>
            </w:r>
          </w:p>
        </w:tc>
        <w:tc>
          <w:tcPr>
            <w:tcW w:w="1701" w:type="dxa"/>
          </w:tcPr>
          <w:p w:rsidR="000D0913" w:rsidRPr="00B029BC" w:rsidRDefault="000D0913" w:rsidP="00FC187D">
            <w:pPr>
              <w:jc w:val="center"/>
              <w:rPr>
                <w:rFonts w:eastAsia="Calibri" w:cs="Times New Roman"/>
                <w:szCs w:val="20"/>
              </w:rPr>
            </w:pPr>
            <w:r w:rsidRPr="00B029BC">
              <w:rPr>
                <w:rFonts w:cs="Times New Roman"/>
                <w:szCs w:val="20"/>
              </w:rPr>
              <w:t>No provision</w:t>
            </w:r>
          </w:p>
        </w:tc>
      </w:tr>
      <w:tr w:rsidR="000D0913" w:rsidTr="00FC187D">
        <w:tc>
          <w:tcPr>
            <w:tcW w:w="2409" w:type="dxa"/>
          </w:tcPr>
          <w:p w:rsidR="000D0913" w:rsidRPr="00B029BC" w:rsidRDefault="000D0913" w:rsidP="00FC187D">
            <w:pPr>
              <w:rPr>
                <w:rFonts w:cs="Times New Roman"/>
                <w:b/>
                <w:szCs w:val="20"/>
              </w:rPr>
            </w:pPr>
            <w:r w:rsidRPr="00B029BC">
              <w:rPr>
                <w:rFonts w:cs="Times New Roman"/>
                <w:b/>
                <w:szCs w:val="20"/>
              </w:rPr>
              <w:t>South Australia</w:t>
            </w:r>
          </w:p>
          <w:p w:rsidR="000D0913" w:rsidRPr="00B029BC" w:rsidRDefault="000D0913" w:rsidP="00FC187D">
            <w:pPr>
              <w:rPr>
                <w:rFonts w:cs="Times New Roman"/>
                <w:szCs w:val="20"/>
              </w:rPr>
            </w:pPr>
            <w:r w:rsidRPr="00B029BC">
              <w:rPr>
                <w:rFonts w:eastAsia="Calibri" w:cs="Times New Roman"/>
                <w:szCs w:val="20"/>
              </w:rPr>
              <w:t>Land Acquisition Act 1969</w:t>
            </w:r>
          </w:p>
        </w:tc>
        <w:tc>
          <w:tcPr>
            <w:tcW w:w="1985" w:type="dxa"/>
          </w:tcPr>
          <w:p w:rsidR="000D0913" w:rsidRPr="00B029BC" w:rsidRDefault="000D0913" w:rsidP="00FC187D">
            <w:pPr>
              <w:rPr>
                <w:rFonts w:cs="Times New Roman"/>
                <w:szCs w:val="20"/>
              </w:rPr>
            </w:pPr>
            <w:r w:rsidRPr="00B029BC">
              <w:rPr>
                <w:rFonts w:cs="Times New Roman"/>
                <w:szCs w:val="20"/>
              </w:rPr>
              <w:t>No Provision</w:t>
            </w:r>
          </w:p>
        </w:tc>
        <w:tc>
          <w:tcPr>
            <w:tcW w:w="2410" w:type="dxa"/>
          </w:tcPr>
          <w:p w:rsidR="000D0913" w:rsidRPr="00B029BC" w:rsidRDefault="000D0913" w:rsidP="00FC187D">
            <w:pPr>
              <w:jc w:val="center"/>
              <w:rPr>
                <w:rFonts w:cs="Times New Roman"/>
                <w:szCs w:val="20"/>
              </w:rPr>
            </w:pPr>
            <w:r w:rsidRPr="00B029BC">
              <w:rPr>
                <w:rFonts w:cs="Times New Roman"/>
                <w:szCs w:val="20"/>
              </w:rPr>
              <w:t>Section 25</w:t>
            </w:r>
          </w:p>
          <w:p w:rsidR="000D0913" w:rsidRPr="00B029BC" w:rsidRDefault="000D0913" w:rsidP="00FC187D">
            <w:pPr>
              <w:rPr>
                <w:rFonts w:cs="Times New Roman"/>
                <w:szCs w:val="20"/>
              </w:rPr>
            </w:pPr>
            <w:r w:rsidRPr="00B029BC">
              <w:rPr>
                <w:rFonts w:cs="Times New Roman"/>
                <w:szCs w:val="20"/>
              </w:rPr>
              <w:t>Not detailed</w:t>
            </w:r>
          </w:p>
        </w:tc>
        <w:tc>
          <w:tcPr>
            <w:tcW w:w="1701" w:type="dxa"/>
          </w:tcPr>
          <w:p w:rsidR="000D0913" w:rsidRPr="00B029BC" w:rsidRDefault="000D0913" w:rsidP="00FC187D">
            <w:pPr>
              <w:jc w:val="center"/>
              <w:rPr>
                <w:rFonts w:cs="Times New Roman"/>
                <w:szCs w:val="20"/>
              </w:rPr>
            </w:pPr>
            <w:r w:rsidRPr="00B029BC">
              <w:rPr>
                <w:rFonts w:cs="Times New Roman"/>
                <w:szCs w:val="20"/>
              </w:rPr>
              <w:t>Section25</w:t>
            </w:r>
          </w:p>
          <w:p w:rsidR="000D0913" w:rsidRPr="00B029BC" w:rsidRDefault="000D0913" w:rsidP="00FC187D">
            <w:pPr>
              <w:jc w:val="center"/>
              <w:rPr>
                <w:rFonts w:eastAsia="Calibri" w:cs="Times New Roman"/>
                <w:szCs w:val="20"/>
              </w:rPr>
            </w:pPr>
            <w:r w:rsidRPr="00B029BC">
              <w:rPr>
                <w:rFonts w:cs="Times New Roman"/>
                <w:szCs w:val="20"/>
              </w:rPr>
              <w:t>Similar to disturbance</w:t>
            </w:r>
          </w:p>
        </w:tc>
      </w:tr>
      <w:tr w:rsidR="000D0913" w:rsidTr="00FC187D">
        <w:tc>
          <w:tcPr>
            <w:tcW w:w="2409" w:type="dxa"/>
          </w:tcPr>
          <w:p w:rsidR="000D0913" w:rsidRPr="00B029BC" w:rsidRDefault="000D0913" w:rsidP="00FC187D">
            <w:pPr>
              <w:rPr>
                <w:rFonts w:cs="Times New Roman"/>
                <w:b/>
                <w:szCs w:val="20"/>
              </w:rPr>
            </w:pPr>
            <w:r w:rsidRPr="00B029BC">
              <w:rPr>
                <w:rFonts w:cs="Times New Roman"/>
                <w:b/>
                <w:szCs w:val="20"/>
              </w:rPr>
              <w:t>Western Australia</w:t>
            </w:r>
          </w:p>
          <w:p w:rsidR="000D0913" w:rsidRPr="00B029BC" w:rsidRDefault="000D0913" w:rsidP="00FC187D">
            <w:pPr>
              <w:rPr>
                <w:rFonts w:cs="Times New Roman"/>
                <w:szCs w:val="20"/>
              </w:rPr>
            </w:pPr>
            <w:r w:rsidRPr="00B029BC">
              <w:rPr>
                <w:rFonts w:eastAsia="Calibri" w:cs="Times New Roman"/>
                <w:szCs w:val="20"/>
              </w:rPr>
              <w:t>Land Administration Act 1997</w:t>
            </w:r>
          </w:p>
        </w:tc>
        <w:tc>
          <w:tcPr>
            <w:tcW w:w="1985" w:type="dxa"/>
          </w:tcPr>
          <w:p w:rsidR="000D0913" w:rsidRPr="00B029BC" w:rsidRDefault="000D0913" w:rsidP="00FC187D">
            <w:pPr>
              <w:rPr>
                <w:rFonts w:cs="Times New Roman"/>
                <w:szCs w:val="20"/>
              </w:rPr>
            </w:pPr>
            <w:r w:rsidRPr="00B029BC">
              <w:rPr>
                <w:rFonts w:cs="Times New Roman"/>
                <w:szCs w:val="20"/>
              </w:rPr>
              <w:t>Up to 10% of total compensation</w:t>
            </w:r>
          </w:p>
        </w:tc>
        <w:tc>
          <w:tcPr>
            <w:tcW w:w="2410" w:type="dxa"/>
          </w:tcPr>
          <w:p w:rsidR="000D0913" w:rsidRPr="00B029BC" w:rsidRDefault="000D0913" w:rsidP="00FC187D">
            <w:pPr>
              <w:jc w:val="center"/>
              <w:rPr>
                <w:rFonts w:cs="Times New Roman"/>
                <w:szCs w:val="20"/>
              </w:rPr>
            </w:pPr>
            <w:r w:rsidRPr="00B029BC">
              <w:rPr>
                <w:rFonts w:cs="Times New Roman"/>
                <w:szCs w:val="20"/>
              </w:rPr>
              <w:t>Section 241</w:t>
            </w:r>
          </w:p>
          <w:p w:rsidR="000D0913" w:rsidRPr="00B029BC" w:rsidRDefault="000D0913" w:rsidP="00FC187D">
            <w:pPr>
              <w:rPr>
                <w:rFonts w:cs="Times New Roman"/>
                <w:szCs w:val="20"/>
              </w:rPr>
            </w:pPr>
            <w:r w:rsidRPr="00B029BC">
              <w:rPr>
                <w:rFonts w:cs="Times New Roman"/>
                <w:szCs w:val="20"/>
              </w:rPr>
              <w:t>Removal &amp; professional</w:t>
            </w:r>
          </w:p>
        </w:tc>
        <w:tc>
          <w:tcPr>
            <w:tcW w:w="1701" w:type="dxa"/>
          </w:tcPr>
          <w:p w:rsidR="000D0913" w:rsidRPr="00B029BC" w:rsidRDefault="000D0913" w:rsidP="00FC187D">
            <w:pPr>
              <w:jc w:val="center"/>
              <w:rPr>
                <w:rFonts w:cs="Times New Roman"/>
                <w:szCs w:val="20"/>
              </w:rPr>
            </w:pPr>
            <w:r w:rsidRPr="00B029BC">
              <w:rPr>
                <w:rFonts w:eastAsia="Calibri" w:cs="Times New Roman"/>
                <w:szCs w:val="20"/>
              </w:rPr>
              <w:t xml:space="preserve">No </w:t>
            </w:r>
            <w:r w:rsidRPr="00B029BC">
              <w:rPr>
                <w:rFonts w:cs="Times New Roman"/>
                <w:szCs w:val="20"/>
              </w:rPr>
              <w:t xml:space="preserve">specific </w:t>
            </w:r>
            <w:r w:rsidRPr="00B029BC">
              <w:rPr>
                <w:rFonts w:eastAsia="Calibri" w:cs="Times New Roman"/>
                <w:szCs w:val="20"/>
              </w:rPr>
              <w:t>provision</w:t>
            </w:r>
          </w:p>
          <w:p w:rsidR="000D0913" w:rsidRPr="00B029BC" w:rsidRDefault="000D0913" w:rsidP="00FC187D">
            <w:pPr>
              <w:jc w:val="center"/>
              <w:rPr>
                <w:rFonts w:eastAsia="Calibri" w:cs="Times New Roman"/>
                <w:szCs w:val="20"/>
              </w:rPr>
            </w:pPr>
          </w:p>
        </w:tc>
      </w:tr>
      <w:tr w:rsidR="000D0913" w:rsidTr="00FC187D">
        <w:tc>
          <w:tcPr>
            <w:tcW w:w="2409" w:type="dxa"/>
          </w:tcPr>
          <w:p w:rsidR="000D0913" w:rsidRPr="00B029BC" w:rsidRDefault="000D0913" w:rsidP="00FC187D">
            <w:pPr>
              <w:rPr>
                <w:rFonts w:cs="Times New Roman"/>
                <w:szCs w:val="20"/>
              </w:rPr>
            </w:pPr>
            <w:r w:rsidRPr="00B029BC">
              <w:rPr>
                <w:rFonts w:cs="Times New Roman"/>
                <w:b/>
                <w:szCs w:val="20"/>
              </w:rPr>
              <w:t>TAS</w:t>
            </w:r>
            <w:r w:rsidRPr="00B029BC">
              <w:rPr>
                <w:rFonts w:cs="Times New Roman"/>
                <w:szCs w:val="20"/>
              </w:rPr>
              <w:t xml:space="preserve"> </w:t>
            </w:r>
          </w:p>
          <w:p w:rsidR="000D0913" w:rsidRPr="00B029BC" w:rsidRDefault="000D0913" w:rsidP="00FC187D">
            <w:pPr>
              <w:rPr>
                <w:rFonts w:cs="Times New Roman"/>
                <w:szCs w:val="20"/>
              </w:rPr>
            </w:pPr>
            <w:r w:rsidRPr="00B029BC">
              <w:rPr>
                <w:rFonts w:eastAsia="Calibri" w:cs="Times New Roman"/>
                <w:szCs w:val="20"/>
              </w:rPr>
              <w:t>Land Acquisition Act 1993</w:t>
            </w:r>
          </w:p>
        </w:tc>
        <w:tc>
          <w:tcPr>
            <w:tcW w:w="1985" w:type="dxa"/>
          </w:tcPr>
          <w:p w:rsidR="000D0913" w:rsidRPr="00B029BC" w:rsidRDefault="000D0913" w:rsidP="00FC187D">
            <w:pPr>
              <w:rPr>
                <w:rFonts w:cs="Times New Roman"/>
                <w:szCs w:val="20"/>
              </w:rPr>
            </w:pPr>
            <w:r w:rsidRPr="00B029BC">
              <w:rPr>
                <w:rFonts w:cs="Times New Roman"/>
                <w:szCs w:val="20"/>
              </w:rPr>
              <w:t>Limited circumstances</w:t>
            </w:r>
          </w:p>
        </w:tc>
        <w:tc>
          <w:tcPr>
            <w:tcW w:w="2410" w:type="dxa"/>
          </w:tcPr>
          <w:p w:rsidR="000D0913" w:rsidRPr="00B029BC" w:rsidRDefault="000D0913" w:rsidP="00FC187D">
            <w:pPr>
              <w:jc w:val="center"/>
              <w:rPr>
                <w:rFonts w:cs="Times New Roman"/>
                <w:szCs w:val="20"/>
              </w:rPr>
            </w:pPr>
            <w:r w:rsidRPr="00B029BC">
              <w:rPr>
                <w:rFonts w:cs="Times New Roman"/>
                <w:szCs w:val="20"/>
              </w:rPr>
              <w:t>Section 27</w:t>
            </w:r>
          </w:p>
          <w:p w:rsidR="000D0913" w:rsidRPr="00B029BC" w:rsidRDefault="000D0913" w:rsidP="00FC187D">
            <w:pPr>
              <w:rPr>
                <w:rFonts w:cs="Times New Roman"/>
                <w:szCs w:val="20"/>
              </w:rPr>
            </w:pPr>
            <w:r w:rsidRPr="00B029BC">
              <w:rPr>
                <w:rFonts w:cs="Times New Roman"/>
                <w:szCs w:val="20"/>
              </w:rPr>
              <w:t>Reasonable costs</w:t>
            </w:r>
          </w:p>
        </w:tc>
        <w:tc>
          <w:tcPr>
            <w:tcW w:w="1701" w:type="dxa"/>
          </w:tcPr>
          <w:p w:rsidR="000D0913" w:rsidRPr="00B029BC" w:rsidRDefault="000D0913" w:rsidP="00FC187D">
            <w:pPr>
              <w:jc w:val="center"/>
              <w:rPr>
                <w:rFonts w:cs="Times New Roman"/>
                <w:szCs w:val="20"/>
              </w:rPr>
            </w:pPr>
            <w:r w:rsidRPr="00B029BC">
              <w:rPr>
                <w:rFonts w:cs="Times New Roman"/>
                <w:szCs w:val="20"/>
              </w:rPr>
              <w:t>Section 31</w:t>
            </w:r>
          </w:p>
          <w:p w:rsidR="000D0913" w:rsidRPr="00B029BC" w:rsidRDefault="000D0913" w:rsidP="00FC187D">
            <w:pPr>
              <w:jc w:val="center"/>
              <w:rPr>
                <w:rFonts w:eastAsia="Calibri" w:cs="Times New Roman"/>
                <w:szCs w:val="20"/>
              </w:rPr>
            </w:pPr>
            <w:r w:rsidRPr="00B029BC">
              <w:rPr>
                <w:rFonts w:cs="Times New Roman"/>
                <w:szCs w:val="20"/>
              </w:rPr>
              <w:t>Where no market</w:t>
            </w:r>
          </w:p>
        </w:tc>
      </w:tr>
      <w:tr w:rsidR="000D0913" w:rsidTr="00FC187D">
        <w:tc>
          <w:tcPr>
            <w:tcW w:w="2409" w:type="dxa"/>
          </w:tcPr>
          <w:p w:rsidR="000D0913" w:rsidRPr="00B029BC" w:rsidRDefault="000D0913" w:rsidP="00FC187D">
            <w:pPr>
              <w:rPr>
                <w:rFonts w:cs="Times New Roman"/>
                <w:b/>
                <w:szCs w:val="20"/>
              </w:rPr>
            </w:pPr>
            <w:r w:rsidRPr="00B029BC">
              <w:rPr>
                <w:rFonts w:cs="Times New Roman"/>
                <w:b/>
                <w:szCs w:val="20"/>
              </w:rPr>
              <w:t>ACT / Commonwealth</w:t>
            </w:r>
          </w:p>
          <w:p w:rsidR="000D0913" w:rsidRPr="00B029BC" w:rsidRDefault="000D0913" w:rsidP="00FC187D">
            <w:pPr>
              <w:rPr>
                <w:rFonts w:cs="Times New Roman"/>
                <w:szCs w:val="20"/>
              </w:rPr>
            </w:pPr>
            <w:r w:rsidRPr="00B029BC">
              <w:rPr>
                <w:rFonts w:eastAsia="Calibri" w:cs="Times New Roman"/>
                <w:szCs w:val="20"/>
              </w:rPr>
              <w:t>Lands Acquisition Act 1989</w:t>
            </w:r>
          </w:p>
        </w:tc>
        <w:tc>
          <w:tcPr>
            <w:tcW w:w="1985" w:type="dxa"/>
          </w:tcPr>
          <w:p w:rsidR="000D0913" w:rsidRPr="00B029BC" w:rsidRDefault="000D0913" w:rsidP="00FC187D">
            <w:pPr>
              <w:rPr>
                <w:rFonts w:cs="Times New Roman"/>
                <w:szCs w:val="20"/>
              </w:rPr>
            </w:pPr>
            <w:r w:rsidRPr="00B029BC">
              <w:rPr>
                <w:rFonts w:cs="Times New Roman"/>
                <w:szCs w:val="20"/>
              </w:rPr>
              <w:t>Yes, as decided by the authority or court</w:t>
            </w:r>
          </w:p>
        </w:tc>
        <w:tc>
          <w:tcPr>
            <w:tcW w:w="2410" w:type="dxa"/>
          </w:tcPr>
          <w:p w:rsidR="000D0913" w:rsidRPr="00B029BC" w:rsidRDefault="000D0913" w:rsidP="00FC187D">
            <w:pPr>
              <w:jc w:val="center"/>
              <w:rPr>
                <w:rFonts w:cs="Times New Roman"/>
                <w:szCs w:val="20"/>
              </w:rPr>
            </w:pPr>
            <w:r w:rsidRPr="00B029BC">
              <w:rPr>
                <w:rFonts w:cs="Times New Roman"/>
                <w:szCs w:val="20"/>
              </w:rPr>
              <w:t>Section 55</w:t>
            </w:r>
          </w:p>
          <w:p w:rsidR="000D0913" w:rsidRPr="00B029BC" w:rsidRDefault="000D0913" w:rsidP="00FC187D">
            <w:pPr>
              <w:rPr>
                <w:rFonts w:cs="Times New Roman"/>
                <w:szCs w:val="20"/>
              </w:rPr>
            </w:pPr>
            <w:r w:rsidRPr="00B029BC">
              <w:rPr>
                <w:rFonts w:cs="Times New Roman"/>
                <w:szCs w:val="20"/>
              </w:rPr>
              <w:t>Reasonable expenses</w:t>
            </w:r>
          </w:p>
        </w:tc>
        <w:tc>
          <w:tcPr>
            <w:tcW w:w="1701" w:type="dxa"/>
          </w:tcPr>
          <w:p w:rsidR="000D0913" w:rsidRPr="00B029BC" w:rsidRDefault="000D0913" w:rsidP="00FC187D">
            <w:pPr>
              <w:jc w:val="center"/>
              <w:rPr>
                <w:rFonts w:cs="Times New Roman"/>
                <w:szCs w:val="20"/>
              </w:rPr>
            </w:pPr>
            <w:r w:rsidRPr="00B029BC">
              <w:rPr>
                <w:rFonts w:eastAsia="Calibri" w:cs="Times New Roman"/>
                <w:szCs w:val="20"/>
              </w:rPr>
              <w:t>Section 58</w:t>
            </w:r>
          </w:p>
          <w:p w:rsidR="000D0913" w:rsidRPr="00B029BC" w:rsidRDefault="000D0913" w:rsidP="00FC187D">
            <w:pPr>
              <w:jc w:val="center"/>
              <w:rPr>
                <w:rFonts w:eastAsia="Calibri" w:cs="Times New Roman"/>
                <w:szCs w:val="20"/>
              </w:rPr>
            </w:pPr>
            <w:r w:rsidRPr="00B029BC">
              <w:rPr>
                <w:rFonts w:cs="Times New Roman"/>
                <w:szCs w:val="20"/>
              </w:rPr>
              <w:t>No general market</w:t>
            </w:r>
          </w:p>
        </w:tc>
      </w:tr>
    </w:tbl>
    <w:p w:rsidR="000D0913" w:rsidRDefault="000D0913" w:rsidP="000D0913"/>
    <w:p w:rsidR="000D0913" w:rsidRDefault="000D0913" w:rsidP="000D0913">
      <w:r>
        <w:t>In Hong Kong an alternate safety net exists, referred to as the Home Purchase Allowance (HPA). The Home Purchase Appeals Committee (2007) sets out provisions for domestic property being an ex gratia HPA based on the replacement cost of a notional 7 year old property in the same location as the acquired property. This provides some recognition of the issues facing dispossessed parties and a measure of restoring dispossessed parties with an alternate property within the same location. The Hong Kong model is a tangible step towards reinstatement compensation.</w:t>
      </w:r>
    </w:p>
    <w:p w:rsidR="000D0913" w:rsidRPr="00E36064" w:rsidRDefault="000D0913" w:rsidP="000D0913">
      <w:pPr>
        <w:rPr>
          <w:color w:val="000000" w:themeColor="text1"/>
          <w:lang w:val="en-NZ"/>
        </w:rPr>
      </w:pPr>
      <w:r w:rsidRPr="00E36064">
        <w:rPr>
          <w:color w:val="000000" w:themeColor="text1"/>
          <w:lang w:val="en-NZ"/>
        </w:rPr>
        <w:lastRenderedPageBreak/>
        <w:t xml:space="preserve">In New Zealand, </w:t>
      </w:r>
      <w:proofErr w:type="spellStart"/>
      <w:r w:rsidRPr="00E36064">
        <w:rPr>
          <w:color w:val="000000" w:themeColor="text1"/>
          <w:lang w:val="en-NZ"/>
        </w:rPr>
        <w:t>solatium</w:t>
      </w:r>
      <w:proofErr w:type="spellEnd"/>
      <w:r w:rsidRPr="00E36064">
        <w:rPr>
          <w:color w:val="000000" w:themeColor="text1"/>
          <w:lang w:val="en-NZ"/>
        </w:rPr>
        <w:t xml:space="preserve"> for the purchase of a dwelling has </w:t>
      </w:r>
      <w:r>
        <w:rPr>
          <w:color w:val="000000" w:themeColor="text1"/>
          <w:lang w:val="en-NZ"/>
        </w:rPr>
        <w:t xml:space="preserve">recently </w:t>
      </w:r>
      <w:r w:rsidR="00D161CB">
        <w:rPr>
          <w:color w:val="000000" w:themeColor="text1"/>
          <w:lang w:val="en-NZ"/>
        </w:rPr>
        <w:t>come under review from its existing amount of</w:t>
      </w:r>
      <w:r w:rsidRPr="00E36064">
        <w:rPr>
          <w:color w:val="000000" w:themeColor="text1"/>
          <w:lang w:val="en-NZ"/>
        </w:rPr>
        <w:t xml:space="preserve"> NZ$2,000.  The $2</w:t>
      </w:r>
      <w:r>
        <w:rPr>
          <w:color w:val="000000" w:themeColor="text1"/>
          <w:lang w:val="en-NZ"/>
        </w:rPr>
        <w:t>,000</w:t>
      </w:r>
      <w:r w:rsidRPr="00E36064">
        <w:rPr>
          <w:color w:val="000000" w:themeColor="text1"/>
          <w:lang w:val="en-NZ"/>
        </w:rPr>
        <w:t xml:space="preserve"> figure had not been updated since 1975 and </w:t>
      </w:r>
      <w:r w:rsidR="00D161CB">
        <w:rPr>
          <w:color w:val="000000" w:themeColor="text1"/>
          <w:lang w:val="en-NZ"/>
        </w:rPr>
        <w:t>a review of this amount</w:t>
      </w:r>
      <w:r w:rsidRPr="00E36064">
        <w:rPr>
          <w:color w:val="000000" w:themeColor="text1"/>
          <w:lang w:val="en-NZ"/>
        </w:rPr>
        <w:t xml:space="preserve"> </w:t>
      </w:r>
      <w:r w:rsidR="00D161CB">
        <w:rPr>
          <w:color w:val="000000" w:themeColor="text1"/>
          <w:lang w:val="en-NZ"/>
        </w:rPr>
        <w:t>is being considered</w:t>
      </w:r>
      <w:r w:rsidRPr="00E36064">
        <w:rPr>
          <w:color w:val="000000" w:themeColor="text1"/>
          <w:lang w:val="en-NZ"/>
        </w:rPr>
        <w:t xml:space="preserve"> </w:t>
      </w:r>
      <w:r w:rsidR="00D161CB">
        <w:rPr>
          <w:color w:val="000000" w:themeColor="text1"/>
          <w:lang w:val="en-NZ"/>
        </w:rPr>
        <w:t>in</w:t>
      </w:r>
      <w:r w:rsidRPr="00E36064">
        <w:rPr>
          <w:color w:val="000000" w:themeColor="text1"/>
          <w:lang w:val="en-NZ"/>
        </w:rPr>
        <w:t xml:space="preserve"> </w:t>
      </w:r>
      <w:bookmarkStart w:id="0" w:name="_GoBack"/>
      <w:bookmarkEnd w:id="0"/>
      <w:r w:rsidRPr="00E36064">
        <w:rPr>
          <w:color w:val="000000" w:themeColor="text1"/>
          <w:lang w:val="en-NZ"/>
        </w:rPr>
        <w:t>moder</w:t>
      </w:r>
      <w:r w:rsidR="00D161CB">
        <w:rPr>
          <w:color w:val="000000" w:themeColor="text1"/>
          <w:lang w:val="en-NZ"/>
        </w:rPr>
        <w:t>nising</w:t>
      </w:r>
      <w:r w:rsidRPr="00E36064">
        <w:rPr>
          <w:color w:val="000000" w:themeColor="text1"/>
          <w:lang w:val="en-NZ"/>
        </w:rPr>
        <w:t xml:space="preserve"> </w:t>
      </w:r>
      <w:r w:rsidR="00D161CB">
        <w:rPr>
          <w:color w:val="000000" w:themeColor="text1"/>
          <w:lang w:val="en-NZ"/>
        </w:rPr>
        <w:t>this head of compensation</w:t>
      </w:r>
      <w:r w:rsidRPr="00E36064">
        <w:rPr>
          <w:color w:val="000000" w:themeColor="text1"/>
          <w:lang w:val="en-NZ"/>
        </w:rPr>
        <w:t xml:space="preserve">. Rather a set amount, </w:t>
      </w:r>
      <w:proofErr w:type="spellStart"/>
      <w:r w:rsidR="00D161CB">
        <w:rPr>
          <w:color w:val="000000" w:themeColor="text1"/>
          <w:lang w:val="en-NZ"/>
        </w:rPr>
        <w:t>solatium</w:t>
      </w:r>
      <w:proofErr w:type="spellEnd"/>
      <w:r w:rsidR="00D161CB">
        <w:rPr>
          <w:color w:val="000000" w:themeColor="text1"/>
          <w:lang w:val="en-NZ"/>
        </w:rPr>
        <w:t xml:space="preserve"> may operate as</w:t>
      </w:r>
      <w:r w:rsidRPr="00E36064">
        <w:rPr>
          <w:color w:val="000000" w:themeColor="text1"/>
          <w:lang w:val="en-NZ"/>
        </w:rPr>
        <w:t xml:space="preserve"> a sliding scale </w:t>
      </w:r>
      <w:r w:rsidR="00D161CB">
        <w:rPr>
          <w:color w:val="000000" w:themeColor="text1"/>
          <w:lang w:val="en-NZ"/>
        </w:rPr>
        <w:t xml:space="preserve">and further defining </w:t>
      </w:r>
      <w:r w:rsidRPr="00E36064">
        <w:rPr>
          <w:color w:val="000000" w:themeColor="text1"/>
          <w:lang w:val="en-NZ"/>
        </w:rPr>
        <w:t>criteria to determine how much is paid in each case</w:t>
      </w:r>
      <w:r w:rsidR="00D161CB">
        <w:rPr>
          <w:color w:val="000000" w:themeColor="text1"/>
          <w:lang w:val="en-NZ"/>
        </w:rPr>
        <w:t xml:space="preserve"> is to be considered</w:t>
      </w:r>
      <w:r w:rsidRPr="00E36064">
        <w:rPr>
          <w:color w:val="000000" w:themeColor="text1"/>
          <w:lang w:val="en-NZ"/>
        </w:rPr>
        <w:t xml:space="preserve">.  One option </w:t>
      </w:r>
      <w:r w:rsidR="00D161CB">
        <w:rPr>
          <w:color w:val="000000" w:themeColor="text1"/>
          <w:lang w:val="en-NZ"/>
        </w:rPr>
        <w:t>is</w:t>
      </w:r>
      <w:r w:rsidRPr="00E36064">
        <w:rPr>
          <w:color w:val="000000" w:themeColor="text1"/>
          <w:lang w:val="en-NZ"/>
        </w:rPr>
        <w:t xml:space="preserve"> whether a component of </w:t>
      </w:r>
      <w:proofErr w:type="spellStart"/>
      <w:r w:rsidRPr="00E36064">
        <w:rPr>
          <w:color w:val="000000" w:themeColor="text1"/>
          <w:lang w:val="en-NZ"/>
        </w:rPr>
        <w:t>solatium</w:t>
      </w:r>
      <w:proofErr w:type="spellEnd"/>
      <w:r w:rsidRPr="00E36064">
        <w:rPr>
          <w:color w:val="000000" w:themeColor="text1"/>
          <w:lang w:val="en-NZ"/>
        </w:rPr>
        <w:t xml:space="preserve"> could be paid on early agreement </w:t>
      </w:r>
      <w:r>
        <w:rPr>
          <w:color w:val="000000" w:themeColor="text1"/>
          <w:lang w:val="en-NZ"/>
        </w:rPr>
        <w:t>i.e.</w:t>
      </w:r>
      <w:r w:rsidRPr="00E36064">
        <w:rPr>
          <w:color w:val="000000" w:themeColor="text1"/>
          <w:lang w:val="en-NZ"/>
        </w:rPr>
        <w:t xml:space="preserve"> within 6 mon</w:t>
      </w:r>
      <w:r>
        <w:rPr>
          <w:color w:val="000000" w:themeColor="text1"/>
          <w:lang w:val="en-NZ"/>
        </w:rPr>
        <w:t>ths of negotiations commencing, (Land Information New Zealand 2013</w:t>
      </w:r>
      <w:r w:rsidR="00D161CB">
        <w:rPr>
          <w:color w:val="000000" w:themeColor="text1"/>
          <w:lang w:val="en-NZ"/>
        </w:rPr>
        <w:t xml:space="preserve"> Pers. Com</w:t>
      </w:r>
      <w:r>
        <w:rPr>
          <w:color w:val="000000" w:themeColor="text1"/>
          <w:lang w:val="en-NZ"/>
        </w:rPr>
        <w:t>).</w:t>
      </w:r>
    </w:p>
    <w:p w:rsidR="000D0913" w:rsidRPr="002329A3" w:rsidRDefault="000D0913" w:rsidP="000D0913">
      <w:pPr>
        <w:rPr>
          <w:color w:val="1F497D"/>
          <w:lang w:val="en-NZ"/>
        </w:rPr>
      </w:pPr>
      <w:r w:rsidRPr="00E36064">
        <w:rPr>
          <w:color w:val="000000" w:themeColor="text1"/>
          <w:lang w:val="en-NZ"/>
        </w:rPr>
        <w:t>In addition, a new land-loss payment will be introduced, at 10% of the land value acquired to a maximum of NZ$25,000 for any one property (and minimum of $250).  This reflects the view that an owner suffers disruption not just from losing a home but also if land is taken.  This mirrors the UK practice.  If there is more than one owner, or more than one interest (e.g. freehold, lease) then the land loss payment is to be divided between those qualifying ow</w:t>
      </w:r>
      <w:r>
        <w:rPr>
          <w:color w:val="000000" w:themeColor="text1"/>
          <w:lang w:val="en-NZ"/>
        </w:rPr>
        <w:t>ners, (Ibid 2013).</w:t>
      </w:r>
    </w:p>
    <w:p w:rsidR="00594CB8" w:rsidRPr="00AE4A26" w:rsidRDefault="00DC6257" w:rsidP="00C04FC3">
      <w:pPr>
        <w:spacing w:after="0" w:line="240" w:lineRule="auto"/>
        <w:rPr>
          <w:b/>
          <w:sz w:val="24"/>
          <w:szCs w:val="24"/>
        </w:rPr>
      </w:pPr>
      <w:r>
        <w:rPr>
          <w:b/>
          <w:sz w:val="24"/>
          <w:szCs w:val="24"/>
        </w:rPr>
        <w:t>ACQUISITION</w:t>
      </w:r>
      <w:r w:rsidR="002969C1">
        <w:rPr>
          <w:b/>
          <w:sz w:val="24"/>
          <w:szCs w:val="24"/>
        </w:rPr>
        <w:t xml:space="preserve"> TYPES</w:t>
      </w:r>
    </w:p>
    <w:p w:rsidR="00761284" w:rsidRDefault="00BB711B" w:rsidP="00262D0E">
      <w:r>
        <w:t xml:space="preserve">The acquisition of land </w:t>
      </w:r>
      <w:r w:rsidR="002969C1">
        <w:t xml:space="preserve">may be either </w:t>
      </w:r>
      <w:r>
        <w:t xml:space="preserve">partial </w:t>
      </w:r>
      <w:r w:rsidR="0081759F">
        <w:t>or</w:t>
      </w:r>
      <w:r w:rsidR="00AE4A26">
        <w:t xml:space="preserve"> total </w:t>
      </w:r>
      <w:r w:rsidR="00EC2404">
        <w:t>of which this</w:t>
      </w:r>
      <w:r w:rsidR="002969C1">
        <w:t xml:space="preserve"> factor is primarily determined by the acquiring authority</w:t>
      </w:r>
      <w:r>
        <w:t xml:space="preserve">. Within each </w:t>
      </w:r>
      <w:r w:rsidR="00D96D49">
        <w:t>type</w:t>
      </w:r>
      <w:r>
        <w:t xml:space="preserve"> of acquisition, different principles and legislative provisions have evolved in assess</w:t>
      </w:r>
      <w:r w:rsidR="00AE4A26">
        <w:t>ing</w:t>
      </w:r>
      <w:r>
        <w:t xml:space="preserve"> compensation</w:t>
      </w:r>
      <w:r w:rsidR="00A12EF8">
        <w:t xml:space="preserve"> across the various jurisdictions</w:t>
      </w:r>
      <w:r>
        <w:t xml:space="preserve">. </w:t>
      </w:r>
      <w:r w:rsidR="0015313B">
        <w:t>Common to</w:t>
      </w:r>
      <w:r w:rsidR="00451FFA">
        <w:t xml:space="preserve"> </w:t>
      </w:r>
      <w:r w:rsidR="0015313B">
        <w:t>both</w:t>
      </w:r>
      <w:r w:rsidR="00451FFA">
        <w:t xml:space="preserve"> </w:t>
      </w:r>
      <w:r w:rsidR="00D55889">
        <w:t>types</w:t>
      </w:r>
      <w:r>
        <w:t xml:space="preserve"> of acquisition</w:t>
      </w:r>
      <w:r w:rsidR="0015313B">
        <w:t xml:space="preserve"> is the </w:t>
      </w:r>
      <w:r w:rsidR="00891B58">
        <w:t xml:space="preserve">overriding </w:t>
      </w:r>
      <w:r w:rsidR="0015313B">
        <w:t xml:space="preserve">principle of </w:t>
      </w:r>
      <w:r w:rsidR="00262D0E">
        <w:t xml:space="preserve">compensation for the </w:t>
      </w:r>
      <w:r w:rsidR="0015313B">
        <w:t xml:space="preserve">market value </w:t>
      </w:r>
      <w:r w:rsidR="00262D0E">
        <w:t xml:space="preserve">of </w:t>
      </w:r>
      <w:r w:rsidR="0015313B">
        <w:t>land taken, being a</w:t>
      </w:r>
      <w:r w:rsidR="00BB3763">
        <w:t xml:space="preserve"> contestable </w:t>
      </w:r>
      <w:r>
        <w:t xml:space="preserve">measure on which </w:t>
      </w:r>
      <w:r w:rsidR="00AE4A26">
        <w:t xml:space="preserve">part of </w:t>
      </w:r>
      <w:r w:rsidR="00A12EF8">
        <w:t xml:space="preserve">the </w:t>
      </w:r>
      <w:r w:rsidR="00BB3763">
        <w:t>compensation is assessed</w:t>
      </w:r>
      <w:r w:rsidR="00D55889">
        <w:t xml:space="preserve"> (</w:t>
      </w:r>
      <w:proofErr w:type="spellStart"/>
      <w:r w:rsidR="00D55889">
        <w:t>Hyam</w:t>
      </w:r>
      <w:proofErr w:type="spellEnd"/>
      <w:r w:rsidR="00D55889">
        <w:t xml:space="preserve"> 2009)</w:t>
      </w:r>
      <w:r w:rsidR="00BB3763">
        <w:t xml:space="preserve">. </w:t>
      </w:r>
      <w:r w:rsidR="00AE4A26">
        <w:t>It</w:t>
      </w:r>
      <w:r w:rsidR="00451FFA">
        <w:t xml:space="preserve"> is </w:t>
      </w:r>
      <w:r w:rsidR="00AE4A26">
        <w:t xml:space="preserve">at this point </w:t>
      </w:r>
      <w:r w:rsidR="00891B58">
        <w:t>that</w:t>
      </w:r>
      <w:r w:rsidR="00451FFA">
        <w:t xml:space="preserve"> these </w:t>
      </w:r>
      <w:r w:rsidR="00AE4A26">
        <w:t xml:space="preserve">two </w:t>
      </w:r>
      <w:r w:rsidR="00451FFA">
        <w:t xml:space="preserve">forms of acquisition </w:t>
      </w:r>
      <w:r w:rsidR="00BB3763">
        <w:t xml:space="preserve">diverge in practice, but are assumed to be one </w:t>
      </w:r>
      <w:r w:rsidR="00891B58">
        <w:t xml:space="preserve">resulting </w:t>
      </w:r>
      <w:r w:rsidR="00A12EF8">
        <w:t>from</w:t>
      </w:r>
      <w:r w:rsidR="00BB3763">
        <w:t xml:space="preserve"> the notion </w:t>
      </w:r>
      <w:r w:rsidR="00891B58">
        <w:t>that value is determined on the</w:t>
      </w:r>
      <w:r w:rsidR="00BB3763">
        <w:t xml:space="preserve"> </w:t>
      </w:r>
      <w:r w:rsidR="00A12EF8">
        <w:t xml:space="preserve">basis of the </w:t>
      </w:r>
      <w:r w:rsidR="00BB3763">
        <w:t xml:space="preserve">parties </w:t>
      </w:r>
      <w:r w:rsidR="0015313B">
        <w:t xml:space="preserve">being </w:t>
      </w:r>
      <w:r w:rsidR="00BB3763">
        <w:t>willing to but not anxious to trade on a given day</w:t>
      </w:r>
      <w:r w:rsidR="00891B58">
        <w:t>.</w:t>
      </w:r>
      <w:r w:rsidR="0015313B">
        <w:t xml:space="preserve"> </w:t>
      </w:r>
      <w:r w:rsidR="00891B58">
        <w:t>This</w:t>
      </w:r>
      <w:r w:rsidR="00BB3763">
        <w:t xml:space="preserve"> </w:t>
      </w:r>
      <w:r w:rsidR="00761284">
        <w:t xml:space="preserve">factor </w:t>
      </w:r>
      <w:r w:rsidR="00BB3763">
        <w:t>solely relate</w:t>
      </w:r>
      <w:r w:rsidR="0015313B">
        <w:t>s</w:t>
      </w:r>
      <w:r w:rsidR="00BB3763">
        <w:t xml:space="preserve"> to </w:t>
      </w:r>
      <w:r w:rsidR="00451FFA">
        <w:t>value in exchange, as defin</w:t>
      </w:r>
      <w:r w:rsidR="00AE4A26">
        <w:t>ed under the Spencer Principle of mark</w:t>
      </w:r>
      <w:r w:rsidR="00C04FC3">
        <w:t>et value, which features in both partial and total acquisition cases.</w:t>
      </w:r>
    </w:p>
    <w:p w:rsidR="00665AAC" w:rsidRDefault="00262D0E" w:rsidP="00665AAC">
      <w:r>
        <w:t>Beyond the market value of the land taken, t</w:t>
      </w:r>
      <w:r w:rsidR="00C04FC3">
        <w:t xml:space="preserve">he basis of a claim for compensation will depend on the </w:t>
      </w:r>
      <w:r w:rsidR="00D55889">
        <w:t>type</w:t>
      </w:r>
      <w:r w:rsidR="00A12EF8">
        <w:t xml:space="preserve"> of </w:t>
      </w:r>
      <w:r w:rsidR="00C04FC3">
        <w:t xml:space="preserve">acquisition </w:t>
      </w:r>
      <w:r w:rsidR="00D55889">
        <w:t xml:space="preserve">and </w:t>
      </w:r>
      <w:r w:rsidR="00C04FC3">
        <w:t>the impact of the acquisition on the dispossessed party</w:t>
      </w:r>
      <w:r w:rsidR="00D96D49">
        <w:t>.</w:t>
      </w:r>
      <w:r w:rsidR="00C04FC3">
        <w:t xml:space="preserve"> The </w:t>
      </w:r>
      <w:r w:rsidR="00A12EF8">
        <w:t xml:space="preserve">form of acquisition </w:t>
      </w:r>
      <w:r w:rsidR="00C04FC3">
        <w:t>will impact on the Heads of Compensation claimable and most importantly will drive the methodology used in the assessment of compensation.</w:t>
      </w:r>
      <w:r w:rsidR="00EC2404">
        <w:t xml:space="preserve"> </w:t>
      </w:r>
      <w:r w:rsidR="00665AAC">
        <w:t>In assessing compensation in partial and total acquisition cases, Hornby (1996:307)</w:t>
      </w:r>
      <w:r w:rsidR="002C71F0">
        <w:t xml:space="preserve"> sets out the formula </w:t>
      </w:r>
      <w:r w:rsidR="00D96D49">
        <w:t>in</w:t>
      </w:r>
      <w:r w:rsidR="002C71F0">
        <w:t xml:space="preserve"> </w:t>
      </w:r>
      <w:r w:rsidR="00B67677">
        <w:t xml:space="preserve">assessing </w:t>
      </w:r>
      <w:r w:rsidR="002C71F0">
        <w:t xml:space="preserve">each </w:t>
      </w:r>
      <w:r w:rsidR="00D96D49">
        <w:t xml:space="preserve">type of acquisition </w:t>
      </w:r>
      <w:r w:rsidR="002C71F0">
        <w:t xml:space="preserve">in accounting for the </w:t>
      </w:r>
      <w:r w:rsidR="00E97A70">
        <w:t>various heads of compensation as follows:</w:t>
      </w:r>
    </w:p>
    <w:p w:rsidR="00656A13" w:rsidRDefault="00656A13" w:rsidP="00656A13">
      <w:pPr>
        <w:spacing w:after="120" w:line="240" w:lineRule="auto"/>
        <w:rPr>
          <w:b/>
        </w:rPr>
      </w:pPr>
      <w:r>
        <w:rPr>
          <w:b/>
        </w:rPr>
        <w:t>Figure 1: Total v. Partial Acquisitions</w:t>
      </w:r>
    </w:p>
    <w:p w:rsidR="000D5C7B" w:rsidRPr="00B133E9" w:rsidRDefault="000D5C7B" w:rsidP="002C71F0">
      <w:pPr>
        <w:spacing w:after="0" w:line="240" w:lineRule="auto"/>
        <w:rPr>
          <w:b/>
        </w:rPr>
      </w:pPr>
      <w:r w:rsidRPr="00B133E9">
        <w:rPr>
          <w:b/>
        </w:rPr>
        <w:t>Partial Acquisition – Before and After Method</w:t>
      </w:r>
      <w:r>
        <w:rPr>
          <w:b/>
        </w:rPr>
        <w:t>:</w:t>
      </w:r>
    </w:p>
    <w:p w:rsidR="000D5C7B" w:rsidRDefault="000D5C7B" w:rsidP="000D5C7B">
      <w:r>
        <w:t xml:space="preserve">(Before value </w:t>
      </w:r>
      <w:r w:rsidRPr="0022411F">
        <w:rPr>
          <w:b/>
          <w:sz w:val="18"/>
          <w:szCs w:val="18"/>
        </w:rPr>
        <w:t>less</w:t>
      </w:r>
      <w:r>
        <w:t xml:space="preserve"> </w:t>
      </w:r>
      <w:proofErr w:type="gramStart"/>
      <w:r>
        <w:t>After</w:t>
      </w:r>
      <w:proofErr w:type="gramEnd"/>
      <w:r>
        <w:t xml:space="preserve"> value) </w:t>
      </w:r>
      <w:r w:rsidRPr="0022411F">
        <w:rPr>
          <w:b/>
          <w:sz w:val="18"/>
          <w:szCs w:val="18"/>
        </w:rPr>
        <w:t>plus</w:t>
      </w:r>
      <w:r>
        <w:t xml:space="preserve"> Di</w:t>
      </w:r>
      <w:r w:rsidR="00D96D49">
        <w:t>sturbance = Sum of Compensation</w:t>
      </w:r>
    </w:p>
    <w:p w:rsidR="00D96D49" w:rsidRPr="00133E77" w:rsidRDefault="00D96D49" w:rsidP="00D96D49">
      <w:pPr>
        <w:spacing w:after="0" w:line="240" w:lineRule="auto"/>
        <w:rPr>
          <w:b/>
        </w:rPr>
      </w:pPr>
      <w:r>
        <w:rPr>
          <w:b/>
        </w:rPr>
        <w:t>Total Acquisition - Piecemeal Method:</w:t>
      </w:r>
    </w:p>
    <w:p w:rsidR="00D96D49" w:rsidRPr="00B133E9" w:rsidRDefault="00D96D49" w:rsidP="00D96D49">
      <w:pPr>
        <w:spacing w:line="360" w:lineRule="auto"/>
      </w:pPr>
      <w:r w:rsidRPr="00B133E9">
        <w:t xml:space="preserve">Market Value </w:t>
      </w:r>
      <w:r w:rsidRPr="0022411F">
        <w:rPr>
          <w:b/>
          <w:sz w:val="18"/>
          <w:szCs w:val="18"/>
        </w:rPr>
        <w:t>plus</w:t>
      </w:r>
      <w:r w:rsidRPr="00B133E9">
        <w:t xml:space="preserve"> Special Value </w:t>
      </w:r>
      <w:r w:rsidRPr="0022411F">
        <w:rPr>
          <w:b/>
          <w:sz w:val="18"/>
          <w:szCs w:val="18"/>
        </w:rPr>
        <w:t>plus</w:t>
      </w:r>
      <w:r w:rsidRPr="00B133E9">
        <w:t xml:space="preserve"> Severance </w:t>
      </w:r>
      <w:r w:rsidRPr="0022411F">
        <w:rPr>
          <w:b/>
          <w:sz w:val="18"/>
          <w:szCs w:val="18"/>
        </w:rPr>
        <w:t>plus</w:t>
      </w:r>
      <w:r>
        <w:t xml:space="preserve"> </w:t>
      </w:r>
      <w:proofErr w:type="spellStart"/>
      <w:r>
        <w:t>Solatium</w:t>
      </w:r>
      <w:proofErr w:type="spellEnd"/>
      <w:r>
        <w:t xml:space="preserve"> </w:t>
      </w:r>
      <w:r w:rsidRPr="0022411F">
        <w:rPr>
          <w:b/>
          <w:sz w:val="18"/>
          <w:szCs w:val="18"/>
        </w:rPr>
        <w:t>plus</w:t>
      </w:r>
      <w:r>
        <w:t xml:space="preserve"> Disturbance </w:t>
      </w:r>
      <w:r w:rsidRPr="00B133E9">
        <w:t>= Sum of Compensation</w:t>
      </w:r>
    </w:p>
    <w:p w:rsidR="000E5D64" w:rsidRDefault="00D96D49" w:rsidP="00262D0E">
      <w:r>
        <w:t>In the case of a partial acquisition</w:t>
      </w:r>
      <w:r w:rsidR="00B00983">
        <w:t>,</w:t>
      </w:r>
      <w:r>
        <w:t xml:space="preserve"> the use to which the acquired land is put </w:t>
      </w:r>
      <w:r w:rsidR="00B00983">
        <w:t>and the impact of that use</w:t>
      </w:r>
      <w:r>
        <w:t xml:space="preserve"> on the land retained by the dispossessed </w:t>
      </w:r>
      <w:r w:rsidR="00B00983">
        <w:t xml:space="preserve">is to be accounted for in the after value and hence the compensation paid for head of market value. This includes </w:t>
      </w:r>
      <w:r>
        <w:t>any uplift in value where the retained land benefits from the use to</w:t>
      </w:r>
      <w:r w:rsidR="00B00983">
        <w:t xml:space="preserve"> which the acquired land is put or conversely</w:t>
      </w:r>
      <w:r>
        <w:t xml:space="preserve">, any loss resulting from an adverse use of the acquired land and its </w:t>
      </w:r>
      <w:r w:rsidR="00B00983">
        <w:t>use</w:t>
      </w:r>
      <w:r>
        <w:t xml:space="preserve">. The method of capturing </w:t>
      </w:r>
      <w:r w:rsidR="000E5D64">
        <w:t xml:space="preserve">either a positive or adverse impact is defined by </w:t>
      </w:r>
      <w:proofErr w:type="spellStart"/>
      <w:r w:rsidR="000E5D64">
        <w:t>Hyam</w:t>
      </w:r>
      <w:proofErr w:type="spellEnd"/>
      <w:r w:rsidR="000E5D64">
        <w:t xml:space="preserve"> (2009) as the ‘Before and After Method</w:t>
      </w:r>
      <w:r w:rsidR="00B00983">
        <w:t>’</w:t>
      </w:r>
      <w:r w:rsidR="000E5D64">
        <w:t xml:space="preserve"> of assessment. This method measures the value of the property before the acquisition and again after the acquisition where a portion of the land is retained by the dispossessed party. The difference in the before and after value captures each of the heads of compensation as set out in Figure 1, with the exception of items of disturbance.</w:t>
      </w:r>
    </w:p>
    <w:p w:rsidR="00D13C56" w:rsidRDefault="00D13C56" w:rsidP="00262D0E">
      <w:r>
        <w:t xml:space="preserve">In contrast to a partial acquisition, in cases of total acquisition of land, compensation is assessed by adding the sum of each applicable head of compensation as shown in Figure 1 to determine the dispossessed </w:t>
      </w:r>
      <w:proofErr w:type="gramStart"/>
      <w:r>
        <w:t>parties</w:t>
      </w:r>
      <w:proofErr w:type="gramEnd"/>
      <w:r>
        <w:t xml:space="preserve"> total compensation. It is noted that </w:t>
      </w:r>
      <w:proofErr w:type="spellStart"/>
      <w:r>
        <w:t>Solatium</w:t>
      </w:r>
      <w:proofErr w:type="spellEnd"/>
      <w:r>
        <w:t xml:space="preserve"> only appears in total acquisition, however, where a partial acquisition results in the loss of a residence </w:t>
      </w:r>
      <w:r w:rsidR="00B00983">
        <w:t>o</w:t>
      </w:r>
      <w:r>
        <w:t xml:space="preserve">n a large parcel of land, in which the residence cannot be relocated on the </w:t>
      </w:r>
      <w:r>
        <w:lastRenderedPageBreak/>
        <w:t xml:space="preserve">retained land, </w:t>
      </w:r>
      <w:proofErr w:type="spellStart"/>
      <w:r>
        <w:t>Solatium</w:t>
      </w:r>
      <w:proofErr w:type="spellEnd"/>
      <w:r>
        <w:t xml:space="preserve"> may also apply. This </w:t>
      </w:r>
      <w:r w:rsidR="0017654C">
        <w:t xml:space="preserve">now </w:t>
      </w:r>
      <w:r>
        <w:t xml:space="preserve">leads to the important question of how </w:t>
      </w:r>
      <w:r w:rsidR="0017654C">
        <w:t>a total versus partial acquisition is determined.</w:t>
      </w:r>
    </w:p>
    <w:p w:rsidR="00D62E04" w:rsidRDefault="00C04FC3" w:rsidP="00262D0E">
      <w:r w:rsidRPr="00262D0E">
        <w:t xml:space="preserve">The acquisition of land and the </w:t>
      </w:r>
      <w:r w:rsidR="004A53F4">
        <w:t xml:space="preserve">type </w:t>
      </w:r>
      <w:r w:rsidRPr="00262D0E">
        <w:t>of acquisition is primarily determined by the requirements of an acquiring authority</w:t>
      </w:r>
      <w:r w:rsidR="004A53F4">
        <w:t xml:space="preserve"> which is dictated</w:t>
      </w:r>
      <w:r w:rsidR="002C71F0">
        <w:t xml:space="preserve"> by the purpose and extent of the</w:t>
      </w:r>
      <w:r w:rsidR="004A53F4">
        <w:t xml:space="preserve"> acquisition</w:t>
      </w:r>
      <w:r w:rsidRPr="00262D0E">
        <w:t>. An acquiring authority is not compelled to acquire any more land than is required for the public purpose</w:t>
      </w:r>
      <w:r w:rsidR="00262D0E" w:rsidRPr="00262D0E">
        <w:t xml:space="preserve"> for which it is acquired</w:t>
      </w:r>
      <w:r w:rsidR="00A12EF8">
        <w:t xml:space="preserve"> </w:t>
      </w:r>
      <w:r w:rsidR="00C945AE">
        <w:t xml:space="preserve">as set out in </w:t>
      </w:r>
      <w:r w:rsidR="00A12EF8" w:rsidRPr="00262D0E">
        <w:t>Minister for Public Works (NSW) v Duggan (1951) 83 CLR 824 and Thompson v Randwick Corporation (1950) 81 CLR 87</w:t>
      </w:r>
      <w:r w:rsidRPr="00262D0E">
        <w:t>. Whilst case law prohibits the taking of any additional land tha</w:t>
      </w:r>
      <w:r w:rsidR="00C945AE">
        <w:t>t</w:t>
      </w:r>
      <w:r w:rsidRPr="00262D0E">
        <w:t xml:space="preserve"> is required for the public purpose, the State of Tasmania has the statutory power to enter into agreement under section 10 Land Acquisition Act 1993 to acquire more land</w:t>
      </w:r>
      <w:r w:rsidR="002C71F0">
        <w:t xml:space="preserve"> than is required by agreement.</w:t>
      </w:r>
    </w:p>
    <w:p w:rsidR="00C04FC3" w:rsidRDefault="00C04FC3" w:rsidP="00262D0E">
      <w:r w:rsidRPr="00262D0E">
        <w:t>In NSW, it is not uncommon for an acquiring authority to negotiate the acquisition of the total property, particularly in the case of residential property where a partial acquisition has been proposed and is not in the best interest of the dispossessed party</w:t>
      </w:r>
      <w:r w:rsidR="00A12EF8">
        <w:t xml:space="preserve"> to remain in occupation</w:t>
      </w:r>
      <w:r w:rsidR="0017654C">
        <w:t xml:space="preserve"> (Prentice 2002). Similarly, in cases of partial acquisition where the use of the acquired land so detrimentally impacts the retailed land, for example where the retained land is land-locked and loses all access, the difference between the before and after value may be close to the total value prior to the acquisition.</w:t>
      </w:r>
    </w:p>
    <w:p w:rsidR="00451FFA" w:rsidRDefault="00105B7B" w:rsidP="00594CB8">
      <w:r>
        <w:t xml:space="preserve">To this end, </w:t>
      </w:r>
      <w:r w:rsidR="00B00983">
        <w:t xml:space="preserve">in addressing the full impact of the taking, </w:t>
      </w:r>
      <w:r>
        <w:t>the principles of compensation extend beyond market value to encompass items s</w:t>
      </w:r>
      <w:r w:rsidR="00B00983">
        <w:t xml:space="preserve">uch as disturbance and </w:t>
      </w:r>
      <w:proofErr w:type="spellStart"/>
      <w:r w:rsidR="00B00983">
        <w:t>solatium</w:t>
      </w:r>
      <w:proofErr w:type="spellEnd"/>
      <w:r>
        <w:t xml:space="preserve"> </w:t>
      </w:r>
      <w:r w:rsidR="00B00983">
        <w:t>and are</w:t>
      </w:r>
      <w:r w:rsidR="00A473CA">
        <w:t xml:space="preserve"> a</w:t>
      </w:r>
      <w:r w:rsidR="00B00983">
        <w:t xml:space="preserve"> safety net</w:t>
      </w:r>
      <w:r>
        <w:t xml:space="preserve"> in recognition that the willing buyer willing seller hypothesis is only relevant to the assessment of the market value head of compensation.</w:t>
      </w:r>
      <w:r w:rsidR="00761284">
        <w:t xml:space="preserve"> By virtue of the fact that market value is treated as a separate head of compensation, across </w:t>
      </w:r>
      <w:r w:rsidR="00B00983">
        <w:t xml:space="preserve">all </w:t>
      </w:r>
      <w:r w:rsidR="00761284">
        <w:t>State acquisition legislation is recognition that the parties, particularly the dispossessed party is not willing and has no intention of selling when the acquisition notice is issued, unless the property is on the market for sale at that time.</w:t>
      </w:r>
    </w:p>
    <w:p w:rsidR="00262D0E" w:rsidRDefault="0086315E" w:rsidP="00594CB8">
      <w:r>
        <w:t>I</w:t>
      </w:r>
      <w:r w:rsidR="0017654C">
        <w:t xml:space="preserve">n distinguishing between partial and total acquisition, </w:t>
      </w:r>
      <w:r w:rsidR="00262D0E">
        <w:t xml:space="preserve">is the option for </w:t>
      </w:r>
      <w:r w:rsidR="00FD2D42">
        <w:t>reinstatement where a party continues to reside or occupy the retained portion of the land</w:t>
      </w:r>
      <w:r w:rsidR="0017654C">
        <w:t xml:space="preserve"> </w:t>
      </w:r>
      <w:r w:rsidR="00FD2D42">
        <w:t xml:space="preserve">not acquired. This is in contrast to a dispossessed party whose land is totally acquired and hence are forced to purchase an alternate property particularly in the case of a principle </w:t>
      </w:r>
      <w:r w:rsidR="00926E86">
        <w:t xml:space="preserve">place </w:t>
      </w:r>
      <w:r w:rsidR="00FD2D42">
        <w:t>of residence. In the case of partial acquisition</w:t>
      </w:r>
      <w:r w:rsidR="00926E86">
        <w:t xml:space="preserve"> for road widening</w:t>
      </w:r>
      <w:r w:rsidR="00FD2D42">
        <w:t xml:space="preserve">, the principle of disturbance may extend to include items of capital expenditure such as double glazing, air-conditioning and other noise minimisation remedies. In other cases, this may extend to include </w:t>
      </w:r>
      <w:r w:rsidR="005B071C">
        <w:t xml:space="preserve">the relocation of </w:t>
      </w:r>
      <w:r w:rsidR="00A473CA">
        <w:t>an</w:t>
      </w:r>
      <w:r w:rsidR="005B071C">
        <w:t xml:space="preserve"> existing house on t</w:t>
      </w:r>
      <w:r w:rsidR="00A00BE8">
        <w:t>he retained portion of the land where practical.</w:t>
      </w:r>
    </w:p>
    <w:p w:rsidR="00A00BE8" w:rsidRDefault="00A00BE8" w:rsidP="00594CB8">
      <w:r>
        <w:t>The above point</w:t>
      </w:r>
      <w:r w:rsidR="00A473CA">
        <w:t>s</w:t>
      </w:r>
      <w:r>
        <w:t xml:space="preserve"> mark the primary difference between partial and total acquisition, and in particular where a dispossessed party is able to reinstate themselves in a partial acquisition. This is in contrast to a party</w:t>
      </w:r>
      <w:r w:rsidR="00A473CA">
        <w:t xml:space="preserve"> which is the</w:t>
      </w:r>
      <w:r>
        <w:t xml:space="preserve"> subject of a total acquisition of which the total compensation is insufficient to reinstate their home or business </w:t>
      </w:r>
      <w:r w:rsidR="00A473CA">
        <w:t xml:space="preserve">and </w:t>
      </w:r>
      <w:r>
        <w:t xml:space="preserve">where such interest is located in a marginal value location. This point is the subject of the next section of this paper and </w:t>
      </w:r>
      <w:r w:rsidR="00926E86">
        <w:t xml:space="preserve">is </w:t>
      </w:r>
      <w:r>
        <w:t>elaborated on in the cases which follow.</w:t>
      </w:r>
    </w:p>
    <w:p w:rsidR="0086315E" w:rsidRDefault="0086315E" w:rsidP="00277033">
      <w:pPr>
        <w:spacing w:after="0" w:line="240" w:lineRule="auto"/>
        <w:rPr>
          <w:rFonts w:eastAsia="Calibri" w:cs="Arial"/>
          <w:b/>
          <w:sz w:val="24"/>
          <w:szCs w:val="24"/>
        </w:rPr>
      </w:pPr>
    </w:p>
    <w:p w:rsidR="00AE4A26" w:rsidRDefault="00DC6257" w:rsidP="00277033">
      <w:pPr>
        <w:spacing w:after="0" w:line="240" w:lineRule="auto"/>
        <w:rPr>
          <w:rFonts w:eastAsia="Calibri" w:cs="Arial"/>
          <w:b/>
          <w:sz w:val="24"/>
          <w:szCs w:val="24"/>
        </w:rPr>
      </w:pPr>
      <w:r>
        <w:rPr>
          <w:rFonts w:eastAsia="Calibri" w:cs="Arial"/>
          <w:b/>
          <w:sz w:val="24"/>
          <w:szCs w:val="24"/>
        </w:rPr>
        <w:t>AC</w:t>
      </w:r>
      <w:r w:rsidR="002969C1">
        <w:rPr>
          <w:rFonts w:eastAsia="Calibri" w:cs="Arial"/>
          <w:b/>
          <w:sz w:val="24"/>
          <w:szCs w:val="24"/>
        </w:rPr>
        <w:t>QUISITION PURPOSES</w:t>
      </w:r>
    </w:p>
    <w:p w:rsidR="00A24524" w:rsidRDefault="002969C1" w:rsidP="00E47D7E">
      <w:r>
        <w:t>E</w:t>
      </w:r>
      <w:r w:rsidR="00E47D7E">
        <w:t>conomic development</w:t>
      </w:r>
      <w:r>
        <w:t xml:space="preserve"> </w:t>
      </w:r>
      <w:r w:rsidR="00A473CA">
        <w:t xml:space="preserve">is recognised </w:t>
      </w:r>
      <w:r>
        <w:t>as a fast evolving acquisition purpose both within Australia and indeed abroad</w:t>
      </w:r>
      <w:r w:rsidR="00E47D7E">
        <w:t xml:space="preserve">. This </w:t>
      </w:r>
      <w:r>
        <w:t xml:space="preserve">purpose </w:t>
      </w:r>
      <w:r w:rsidR="00E47D7E">
        <w:t xml:space="preserve">is defined as a </w:t>
      </w:r>
      <w:r>
        <w:t>one</w:t>
      </w:r>
      <w:r w:rsidR="00E47D7E">
        <w:t xml:space="preserve"> which the contribution to the public is </w:t>
      </w:r>
      <w:r w:rsidR="00A24524">
        <w:t xml:space="preserve">the </w:t>
      </w:r>
      <w:r w:rsidR="00E47D7E">
        <w:t>regeneration of locations which stimulate employment and economic activity</w:t>
      </w:r>
      <w:r w:rsidR="000B3C02">
        <w:t xml:space="preserve"> and is not viewed as a traditional public purpose</w:t>
      </w:r>
      <w:r w:rsidR="00926E86">
        <w:t xml:space="preserve"> (</w:t>
      </w:r>
      <w:proofErr w:type="spellStart"/>
      <w:r w:rsidR="00926E86">
        <w:t>Miceli</w:t>
      </w:r>
      <w:proofErr w:type="spellEnd"/>
      <w:r w:rsidR="00926E86">
        <w:t xml:space="preserve"> 2004)</w:t>
      </w:r>
      <w:r w:rsidR="00E47D7E">
        <w:t xml:space="preserve">. In examining traditional and non-traditional public purposes a survey and </w:t>
      </w:r>
      <w:r w:rsidR="00A24524">
        <w:t xml:space="preserve">court </w:t>
      </w:r>
      <w:r w:rsidR="00E47D7E">
        <w:t xml:space="preserve">cases are used to distinguish the perceived differences and outcomes aligned with each </w:t>
      </w:r>
      <w:r w:rsidR="00A24524">
        <w:t>traditional and non-traditional purposes</w:t>
      </w:r>
      <w:r w:rsidR="00E47D7E">
        <w:t>.</w:t>
      </w:r>
      <w:r w:rsidR="00A24524">
        <w:t xml:space="preserve"> </w:t>
      </w:r>
    </w:p>
    <w:p w:rsidR="0022411F" w:rsidRDefault="00A24524" w:rsidP="00E47D7E">
      <w:r>
        <w:t xml:space="preserve">Within the constructs of acquisition legislation there are wide ranging differences in articulating what </w:t>
      </w:r>
      <w:r w:rsidR="00926E86">
        <w:t xml:space="preserve">a </w:t>
      </w:r>
      <w:r>
        <w:t>specific public purpose constitute</w:t>
      </w:r>
      <w:r w:rsidR="00926E86">
        <w:t>s</w:t>
      </w:r>
      <w:r>
        <w:t xml:space="preserve">. Table 2 shows that public purposes are not specifically stated within acquisition statutes, with Queensland </w:t>
      </w:r>
      <w:r w:rsidR="00926E86">
        <w:t xml:space="preserve">and to some degree Western Australia </w:t>
      </w:r>
      <w:r>
        <w:t xml:space="preserve">being the exception. While it is not possible to consider examples </w:t>
      </w:r>
      <w:r w:rsidR="000A34BE">
        <w:t>or</w:t>
      </w:r>
      <w:r>
        <w:t xml:space="preserve"> cases covering the rang</w:t>
      </w:r>
      <w:r w:rsidR="000A34BE">
        <w:t>e of</w:t>
      </w:r>
      <w:r>
        <w:t xml:space="preserve"> </w:t>
      </w:r>
      <w:r w:rsidR="000A34BE">
        <w:t xml:space="preserve">public </w:t>
      </w:r>
      <w:r>
        <w:t>purposes</w:t>
      </w:r>
      <w:r w:rsidR="000A34BE">
        <w:t>,</w:t>
      </w:r>
      <w:r>
        <w:t xml:space="preserve"> the acquisition of land for road widening </w:t>
      </w:r>
      <w:r>
        <w:lastRenderedPageBreak/>
        <w:t xml:space="preserve">purposes has been </w:t>
      </w:r>
      <w:r w:rsidR="000A34BE">
        <w:t xml:space="preserve">selected </w:t>
      </w:r>
      <w:r>
        <w:t xml:space="preserve">as a traditional public purpose </w:t>
      </w:r>
      <w:r w:rsidR="000A34BE">
        <w:t>and two cases examining acquisition for econom</w:t>
      </w:r>
      <w:r w:rsidR="00926E86">
        <w:t>ic development are used to examine non-traditional public purposes.</w:t>
      </w:r>
    </w:p>
    <w:p w:rsidR="006D37CD" w:rsidRPr="00DC6257" w:rsidRDefault="00A24524" w:rsidP="006D37CD">
      <w:pPr>
        <w:pStyle w:val="NoSpacing"/>
        <w:rPr>
          <w:rFonts w:ascii="Times New Roman" w:hAnsi="Times New Roman"/>
          <w:b/>
          <w:sz w:val="20"/>
          <w:szCs w:val="20"/>
        </w:rPr>
      </w:pPr>
      <w:r w:rsidRPr="00DC6257">
        <w:rPr>
          <w:rFonts w:ascii="Times New Roman" w:hAnsi="Times New Roman"/>
          <w:b/>
          <w:sz w:val="20"/>
          <w:szCs w:val="20"/>
        </w:rPr>
        <w:t xml:space="preserve">Table </w:t>
      </w:r>
      <w:r w:rsidR="006D37CD" w:rsidRPr="00DC6257">
        <w:rPr>
          <w:rFonts w:ascii="Times New Roman" w:hAnsi="Times New Roman"/>
          <w:b/>
          <w:sz w:val="20"/>
          <w:szCs w:val="20"/>
        </w:rPr>
        <w:t>2: Legislative comparison of acquisition provisions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604"/>
        <w:gridCol w:w="2970"/>
      </w:tblGrid>
      <w:tr w:rsidR="006D37CD" w:rsidRPr="00BC411F" w:rsidTr="00DC6257">
        <w:tc>
          <w:tcPr>
            <w:tcW w:w="1560" w:type="dxa"/>
          </w:tcPr>
          <w:p w:rsidR="006D37CD" w:rsidRPr="00BC411F" w:rsidRDefault="006D37CD" w:rsidP="0007033B">
            <w:pPr>
              <w:spacing w:after="0"/>
              <w:jc w:val="center"/>
              <w:rPr>
                <w:rFonts w:ascii="Calibri" w:eastAsia="Calibri" w:hAnsi="Calibri" w:cs="Times New Roman"/>
                <w:b/>
              </w:rPr>
            </w:pPr>
            <w:r w:rsidRPr="00BC411F">
              <w:rPr>
                <w:rFonts w:ascii="Calibri" w:eastAsia="Calibri" w:hAnsi="Calibri" w:cs="Times New Roman"/>
                <w:b/>
              </w:rPr>
              <w:t>State</w:t>
            </w:r>
          </w:p>
        </w:tc>
        <w:tc>
          <w:tcPr>
            <w:tcW w:w="4604" w:type="dxa"/>
          </w:tcPr>
          <w:p w:rsidR="006D37CD" w:rsidRPr="00BC411F" w:rsidRDefault="006D37CD" w:rsidP="0007033B">
            <w:pPr>
              <w:spacing w:after="0"/>
              <w:jc w:val="center"/>
              <w:rPr>
                <w:rFonts w:ascii="Calibri" w:eastAsia="Calibri" w:hAnsi="Calibri" w:cs="Times New Roman"/>
                <w:b/>
              </w:rPr>
            </w:pPr>
            <w:r w:rsidRPr="00BC411F">
              <w:rPr>
                <w:rFonts w:ascii="Calibri" w:eastAsia="Calibri" w:hAnsi="Calibri" w:cs="Times New Roman"/>
                <w:b/>
              </w:rPr>
              <w:t>Legislation</w:t>
            </w:r>
          </w:p>
        </w:tc>
        <w:tc>
          <w:tcPr>
            <w:tcW w:w="2970" w:type="dxa"/>
          </w:tcPr>
          <w:p w:rsidR="006D37CD" w:rsidRPr="00BC411F" w:rsidRDefault="006D37CD" w:rsidP="0007033B">
            <w:pPr>
              <w:spacing w:after="0"/>
              <w:jc w:val="center"/>
              <w:rPr>
                <w:rFonts w:ascii="Calibri" w:eastAsia="Calibri" w:hAnsi="Calibri" w:cs="Times New Roman"/>
                <w:b/>
              </w:rPr>
            </w:pPr>
            <w:r w:rsidRPr="00BC411F">
              <w:rPr>
                <w:rFonts w:ascii="Calibri" w:eastAsia="Calibri" w:hAnsi="Calibri" w:cs="Times New Roman"/>
                <w:b/>
              </w:rPr>
              <w:t>Provisions</w:t>
            </w:r>
          </w:p>
        </w:tc>
      </w:tr>
      <w:tr w:rsidR="006D37CD" w:rsidRPr="00BC411F" w:rsidTr="00DC6257">
        <w:tc>
          <w:tcPr>
            <w:tcW w:w="156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Western Australia</w:t>
            </w:r>
          </w:p>
        </w:tc>
        <w:tc>
          <w:tcPr>
            <w:tcW w:w="4604"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 xml:space="preserve">Local Government Act 1995 refers to Public Works Act 1902 s2 </w:t>
            </w:r>
            <w:r w:rsidR="00931BD0">
              <w:rPr>
                <w:rStyle w:val="Strong"/>
                <w:rFonts w:ascii="Times New Roman" w:eastAsia="Calibri" w:hAnsi="Times New Roman"/>
              </w:rPr>
              <w:t>–</w:t>
            </w:r>
            <w:r w:rsidRPr="00DC6257">
              <w:rPr>
                <w:rStyle w:val="Strong"/>
                <w:rFonts w:ascii="Times New Roman" w:eastAsia="Calibri" w:hAnsi="Times New Roman"/>
              </w:rPr>
              <w:t xml:space="preserve"> Terms</w:t>
            </w:r>
          </w:p>
        </w:tc>
        <w:tc>
          <w:tcPr>
            <w:tcW w:w="297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Specific purposes stated</w:t>
            </w:r>
          </w:p>
        </w:tc>
      </w:tr>
      <w:tr w:rsidR="006D37CD" w:rsidRPr="00BC411F" w:rsidTr="00DC6257">
        <w:tc>
          <w:tcPr>
            <w:tcW w:w="156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Queensland</w:t>
            </w:r>
          </w:p>
        </w:tc>
        <w:tc>
          <w:tcPr>
            <w:tcW w:w="4604"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Land Acquisition Act 1967 ss45 &amp; 47</w:t>
            </w:r>
          </w:p>
        </w:tc>
        <w:tc>
          <w:tcPr>
            <w:tcW w:w="297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Specific purposes stated</w:t>
            </w:r>
          </w:p>
        </w:tc>
      </w:tr>
      <w:tr w:rsidR="006D37CD" w:rsidRPr="00BC411F" w:rsidTr="00DC6257">
        <w:tc>
          <w:tcPr>
            <w:tcW w:w="156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New South Wales</w:t>
            </w:r>
          </w:p>
        </w:tc>
        <w:tc>
          <w:tcPr>
            <w:tcW w:w="4604"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Local Government Act 1993 s186</w:t>
            </w:r>
          </w:p>
        </w:tc>
        <w:tc>
          <w:tcPr>
            <w:tcW w:w="297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Non-specific purposes stated</w:t>
            </w:r>
          </w:p>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s188 prohibits acquisition and resale of land acquired</w:t>
            </w:r>
          </w:p>
        </w:tc>
      </w:tr>
      <w:tr w:rsidR="006D37CD" w:rsidRPr="00BC411F" w:rsidTr="00DC6257">
        <w:tc>
          <w:tcPr>
            <w:tcW w:w="156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Victoria</w:t>
            </w:r>
          </w:p>
        </w:tc>
        <w:tc>
          <w:tcPr>
            <w:tcW w:w="4604"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Local Government Act 1989 s187</w:t>
            </w:r>
          </w:p>
        </w:tc>
        <w:tc>
          <w:tcPr>
            <w:tcW w:w="297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Non-specific purposes stated</w:t>
            </w:r>
          </w:p>
        </w:tc>
      </w:tr>
      <w:tr w:rsidR="006D37CD" w:rsidRPr="00BC411F" w:rsidTr="00DC6257">
        <w:tc>
          <w:tcPr>
            <w:tcW w:w="156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South Australia</w:t>
            </w:r>
          </w:p>
        </w:tc>
        <w:tc>
          <w:tcPr>
            <w:tcW w:w="4604"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Local Government Act 1999 s191</w:t>
            </w:r>
          </w:p>
        </w:tc>
        <w:tc>
          <w:tcPr>
            <w:tcW w:w="2970" w:type="dxa"/>
          </w:tcPr>
          <w:p w:rsidR="006D37CD" w:rsidRPr="00DC6257" w:rsidRDefault="006D37CD" w:rsidP="0007033B">
            <w:pPr>
              <w:pStyle w:val="NoSpacing"/>
              <w:rPr>
                <w:rStyle w:val="Strong"/>
                <w:rFonts w:ascii="Times New Roman" w:eastAsia="Calibri" w:hAnsi="Times New Roman"/>
              </w:rPr>
            </w:pPr>
            <w:r w:rsidRPr="00DC6257">
              <w:rPr>
                <w:rStyle w:val="Strong"/>
                <w:rFonts w:ascii="Times New Roman" w:eastAsia="Calibri" w:hAnsi="Times New Roman"/>
              </w:rPr>
              <w:t>Non-specific purposes stated</w:t>
            </w:r>
          </w:p>
        </w:tc>
      </w:tr>
    </w:tbl>
    <w:p w:rsidR="006D37CD" w:rsidRPr="00DC6257" w:rsidRDefault="006D37CD" w:rsidP="006D37CD">
      <w:pPr>
        <w:pStyle w:val="NoSpacing"/>
        <w:rPr>
          <w:rFonts w:ascii="Times New Roman" w:hAnsi="Times New Roman"/>
          <w:b/>
          <w:sz w:val="20"/>
          <w:szCs w:val="20"/>
        </w:rPr>
      </w:pPr>
      <w:r w:rsidRPr="00DC6257">
        <w:rPr>
          <w:rFonts w:ascii="Times New Roman" w:hAnsi="Times New Roman"/>
          <w:b/>
          <w:sz w:val="20"/>
          <w:szCs w:val="20"/>
        </w:rPr>
        <w:t>Source: Austlii.edu.au</w:t>
      </w:r>
    </w:p>
    <w:p w:rsidR="002969C1" w:rsidRDefault="002969C1" w:rsidP="00AE4A26">
      <w:pPr>
        <w:spacing w:after="0" w:line="360" w:lineRule="auto"/>
        <w:rPr>
          <w:rFonts w:eastAsia="Calibri" w:cs="Times New Roman"/>
          <w:b/>
          <w:sz w:val="22"/>
        </w:rPr>
      </w:pPr>
    </w:p>
    <w:p w:rsidR="00AE4A26" w:rsidRPr="00DC6257" w:rsidRDefault="002969C1" w:rsidP="00AE4A26">
      <w:pPr>
        <w:spacing w:after="0" w:line="360" w:lineRule="auto"/>
        <w:rPr>
          <w:rFonts w:eastAsia="Calibri" w:cs="Times New Roman"/>
          <w:b/>
          <w:sz w:val="22"/>
        </w:rPr>
      </w:pPr>
      <w:r>
        <w:rPr>
          <w:rFonts w:eastAsia="Calibri" w:cs="Times New Roman"/>
          <w:b/>
          <w:sz w:val="22"/>
        </w:rPr>
        <w:t>Infrastructure: A traditional Public Purpose</w:t>
      </w:r>
    </w:p>
    <w:p w:rsidR="00BF2FFD" w:rsidRDefault="00BF2FFD" w:rsidP="00277033">
      <w:r>
        <w:t xml:space="preserve">Traditional public purposes </w:t>
      </w:r>
      <w:r w:rsidR="000B3C02">
        <w:t xml:space="preserve">for which land is acquired include public infrastructure </w:t>
      </w:r>
      <w:r w:rsidR="000A34BE">
        <w:t>which encompass</w:t>
      </w:r>
      <w:r w:rsidR="000B3C02">
        <w:t xml:space="preserve"> sewerage treatments and desalination plants, health and educational facilities and road widening works. </w:t>
      </w:r>
      <w:r w:rsidR="000A34BE">
        <w:t>As was highlighted in the introduction, the dominant purpose for which land is acquired in Australia is for widening purposes.</w:t>
      </w:r>
    </w:p>
    <w:p w:rsidR="00277033" w:rsidRDefault="00B67677" w:rsidP="00277033">
      <w:r>
        <w:t>R</w:t>
      </w:r>
      <w:r w:rsidR="00E47D7E">
        <w:t>esearch</w:t>
      </w:r>
      <w:r w:rsidR="00D15C07" w:rsidRPr="00E63E01">
        <w:t xml:space="preserve"> </w:t>
      </w:r>
      <w:r w:rsidR="00E47D7E">
        <w:t>undertaken by</w:t>
      </w:r>
      <w:r w:rsidR="00D15C07" w:rsidRPr="00E63E01">
        <w:t xml:space="preserve"> Prentice (2002) measure</w:t>
      </w:r>
      <w:r>
        <w:t>s</w:t>
      </w:r>
      <w:r w:rsidR="00D15C07" w:rsidRPr="00E63E01">
        <w:t xml:space="preserve"> </w:t>
      </w:r>
      <w:r>
        <w:t xml:space="preserve">the </w:t>
      </w:r>
      <w:proofErr w:type="spellStart"/>
      <w:r>
        <w:t>dispossessed’s</w:t>
      </w:r>
      <w:proofErr w:type="spellEnd"/>
      <w:r>
        <w:t xml:space="preserve"> satisfaction of the process and</w:t>
      </w:r>
      <w:r w:rsidR="00D15C07" w:rsidRPr="00E63E01">
        <w:t xml:space="preserve"> </w:t>
      </w:r>
      <w:r w:rsidR="000A34BE">
        <w:t xml:space="preserve">compensation </w:t>
      </w:r>
      <w:r>
        <w:t xml:space="preserve">paid </w:t>
      </w:r>
      <w:r w:rsidR="00D15C07" w:rsidRPr="00E63E01">
        <w:t xml:space="preserve">in achieving </w:t>
      </w:r>
      <w:r w:rsidR="000A34BE">
        <w:t>the</w:t>
      </w:r>
      <w:r w:rsidR="00D15C07" w:rsidRPr="00E63E01">
        <w:t xml:space="preserve"> objectives</w:t>
      </w:r>
      <w:r w:rsidR="00277033">
        <w:t xml:space="preserve"> </w:t>
      </w:r>
      <w:r>
        <w:t>of</w:t>
      </w:r>
      <w:r w:rsidR="000A34BE">
        <w:t xml:space="preserve"> acquisition for</w:t>
      </w:r>
      <w:r w:rsidR="00277033">
        <w:t xml:space="preserve"> road w</w:t>
      </w:r>
      <w:r>
        <w:t>orks</w:t>
      </w:r>
      <w:r w:rsidR="00D15C07" w:rsidRPr="00E63E01">
        <w:t xml:space="preserve">. </w:t>
      </w:r>
      <w:r>
        <w:t>In undertaking this research a</w:t>
      </w:r>
      <w:r w:rsidR="00D15C07" w:rsidRPr="00E63E01">
        <w:t xml:space="preserve"> survey of 23 </w:t>
      </w:r>
      <w:r w:rsidR="00277033">
        <w:t xml:space="preserve">dispossessed </w:t>
      </w:r>
      <w:r w:rsidR="00D15C07" w:rsidRPr="00E63E01">
        <w:t xml:space="preserve">property owners </w:t>
      </w:r>
      <w:r>
        <w:t>was undertaken</w:t>
      </w:r>
      <w:r w:rsidR="00277033">
        <w:t xml:space="preserve"> on a number of key points which encompassed the acquisition process and principles used in assessing compensation</w:t>
      </w:r>
      <w:r w:rsidR="00D15C07" w:rsidRPr="00E63E01">
        <w:t>. The 23 property owners surveyed were randomly selected from a pool of dispossessed residential property owners</w:t>
      </w:r>
      <w:r w:rsidR="00277033">
        <w:t xml:space="preserve"> in which the </w:t>
      </w:r>
      <w:r w:rsidR="000A34BE">
        <w:t>acquiring a</w:t>
      </w:r>
      <w:r w:rsidR="00277033">
        <w:t xml:space="preserve">uthority provided details and access to parties </w:t>
      </w:r>
      <w:r w:rsidR="000A34BE">
        <w:t>from which</w:t>
      </w:r>
      <w:r w:rsidR="00277033">
        <w:t xml:space="preserve"> land</w:t>
      </w:r>
      <w:r w:rsidR="000A34BE">
        <w:t xml:space="preserve"> was acquired</w:t>
      </w:r>
      <w:r w:rsidR="00277033">
        <w:t>.</w:t>
      </w:r>
    </w:p>
    <w:p w:rsidR="00D15C07" w:rsidRPr="00E63E01" w:rsidRDefault="000A34BE" w:rsidP="00277033">
      <w:r>
        <w:t>In this survey, it is acknowledged that the sample of</w:t>
      </w:r>
      <w:r w:rsidR="00D15C07" w:rsidRPr="00E63E01">
        <w:t xml:space="preserve"> three percent of dispossessed owners </w:t>
      </w:r>
      <w:r w:rsidR="00277033">
        <w:t xml:space="preserve">in NSW </w:t>
      </w:r>
      <w:r w:rsidR="00D15C07" w:rsidRPr="00E63E01">
        <w:t xml:space="preserve">gives an indicative opinion of the success of the </w:t>
      </w:r>
      <w:r w:rsidR="00B67677">
        <w:t>acquisition process</w:t>
      </w:r>
      <w:r w:rsidR="00277033">
        <w:t xml:space="preserve"> and compensation principles</w:t>
      </w:r>
      <w:r w:rsidR="00D15C07" w:rsidRPr="00E63E01">
        <w:t xml:space="preserve">. A summary of the key </w:t>
      </w:r>
      <w:r w:rsidR="00277033">
        <w:t>survey questions and results</w:t>
      </w:r>
      <w:r w:rsidR="00D15C07" w:rsidRPr="00E63E01">
        <w:t xml:space="preserve"> </w:t>
      </w:r>
      <w:r w:rsidR="00362507">
        <w:t>are set out in Tables 3 and 4 with discussion following</w:t>
      </w:r>
      <w:r w:rsidR="00D15C07" w:rsidRPr="00E63E01">
        <w:t>:</w:t>
      </w:r>
    </w:p>
    <w:p w:rsidR="00D15C07" w:rsidRPr="00DC6257" w:rsidRDefault="00D15C07" w:rsidP="006A0946">
      <w:pPr>
        <w:spacing w:after="0" w:line="240" w:lineRule="auto"/>
        <w:rPr>
          <w:rFonts w:eastAsia="Calibri" w:cs="Times New Roman"/>
          <w:b/>
          <w:szCs w:val="20"/>
        </w:rPr>
      </w:pPr>
      <w:r w:rsidRPr="00DC6257">
        <w:rPr>
          <w:rFonts w:eastAsia="Calibri" w:cs="Times New Roman"/>
          <w:b/>
          <w:szCs w:val="20"/>
        </w:rPr>
        <w:t xml:space="preserve">Table </w:t>
      </w:r>
      <w:r w:rsidR="00E36064" w:rsidRPr="00DC6257">
        <w:rPr>
          <w:rFonts w:eastAsia="Calibri" w:cs="Times New Roman"/>
          <w:b/>
          <w:szCs w:val="20"/>
        </w:rPr>
        <w:t>3</w:t>
      </w:r>
      <w:r w:rsidRPr="00DC6257">
        <w:rPr>
          <w:rFonts w:eastAsia="Calibri" w:cs="Times New Roman"/>
          <w:b/>
          <w:szCs w:val="20"/>
        </w:rPr>
        <w:t>: Survey summary with results expressed as a percentage</w:t>
      </w:r>
    </w:p>
    <w:tbl>
      <w:tblPr>
        <w:tblStyle w:val="TableGrid"/>
        <w:tblW w:w="8591" w:type="dxa"/>
        <w:tblInd w:w="108" w:type="dxa"/>
        <w:tblLook w:val="01E0" w:firstRow="1" w:lastRow="1" w:firstColumn="1" w:lastColumn="1" w:noHBand="0" w:noVBand="0"/>
      </w:tblPr>
      <w:tblGrid>
        <w:gridCol w:w="5103"/>
        <w:gridCol w:w="1119"/>
        <w:gridCol w:w="1339"/>
        <w:gridCol w:w="1030"/>
      </w:tblGrid>
      <w:tr w:rsidR="00D15C07" w:rsidRPr="00E63E01" w:rsidTr="00B67677">
        <w:tc>
          <w:tcPr>
            <w:tcW w:w="5103" w:type="dxa"/>
          </w:tcPr>
          <w:p w:rsidR="00D15C07" w:rsidRPr="00E63E01" w:rsidRDefault="00D15C07" w:rsidP="0007033B">
            <w:pPr>
              <w:spacing w:line="360" w:lineRule="auto"/>
              <w:jc w:val="center"/>
              <w:rPr>
                <w:rFonts w:ascii="Arial" w:eastAsia="Calibri" w:hAnsi="Arial" w:cs="Arial"/>
                <w:b/>
                <w:szCs w:val="20"/>
              </w:rPr>
            </w:pPr>
            <w:r w:rsidRPr="00E63E01">
              <w:rPr>
                <w:rFonts w:ascii="Arial" w:eastAsia="Calibri" w:hAnsi="Arial" w:cs="Arial"/>
                <w:b/>
                <w:szCs w:val="20"/>
              </w:rPr>
              <w:t>Question</w:t>
            </w:r>
          </w:p>
        </w:tc>
        <w:tc>
          <w:tcPr>
            <w:tcW w:w="1119" w:type="dxa"/>
          </w:tcPr>
          <w:p w:rsidR="00D15C07" w:rsidRPr="00E63E01" w:rsidRDefault="00D15C07" w:rsidP="0007033B">
            <w:pPr>
              <w:spacing w:line="360" w:lineRule="auto"/>
              <w:jc w:val="center"/>
              <w:rPr>
                <w:rFonts w:ascii="Arial" w:eastAsia="Calibri" w:hAnsi="Arial" w:cs="Arial"/>
                <w:b/>
                <w:szCs w:val="20"/>
              </w:rPr>
            </w:pPr>
            <w:r w:rsidRPr="00E63E01">
              <w:rPr>
                <w:rFonts w:ascii="Arial" w:eastAsia="Calibri" w:hAnsi="Arial" w:cs="Arial"/>
                <w:b/>
                <w:szCs w:val="20"/>
              </w:rPr>
              <w:t xml:space="preserve"> Satisfied</w:t>
            </w:r>
          </w:p>
        </w:tc>
        <w:tc>
          <w:tcPr>
            <w:tcW w:w="1339" w:type="dxa"/>
          </w:tcPr>
          <w:p w:rsidR="00D15C07" w:rsidRPr="00E63E01" w:rsidRDefault="00D15C07" w:rsidP="0007033B">
            <w:pPr>
              <w:spacing w:line="360" w:lineRule="auto"/>
              <w:jc w:val="center"/>
              <w:rPr>
                <w:rFonts w:ascii="Arial" w:eastAsia="Calibri" w:hAnsi="Arial" w:cs="Arial"/>
                <w:b/>
                <w:szCs w:val="20"/>
              </w:rPr>
            </w:pPr>
            <w:r w:rsidRPr="00E63E01">
              <w:rPr>
                <w:rFonts w:ascii="Arial" w:eastAsia="Calibri" w:hAnsi="Arial" w:cs="Arial"/>
                <w:b/>
                <w:szCs w:val="20"/>
              </w:rPr>
              <w:t>Dissatisfied</w:t>
            </w:r>
          </w:p>
        </w:tc>
        <w:tc>
          <w:tcPr>
            <w:tcW w:w="1030" w:type="dxa"/>
          </w:tcPr>
          <w:p w:rsidR="00D15C07" w:rsidRPr="00E63E01" w:rsidRDefault="00D15C07" w:rsidP="0007033B">
            <w:pPr>
              <w:spacing w:line="360" w:lineRule="auto"/>
              <w:jc w:val="center"/>
              <w:rPr>
                <w:rFonts w:ascii="Arial" w:eastAsia="Calibri" w:hAnsi="Arial" w:cs="Arial"/>
                <w:b/>
                <w:szCs w:val="20"/>
              </w:rPr>
            </w:pPr>
            <w:r w:rsidRPr="00E63E01">
              <w:rPr>
                <w:rFonts w:ascii="Arial" w:eastAsia="Calibri" w:hAnsi="Arial" w:cs="Arial"/>
                <w:b/>
                <w:szCs w:val="20"/>
              </w:rPr>
              <w:t xml:space="preserve"> Neutral</w:t>
            </w:r>
          </w:p>
        </w:tc>
      </w:tr>
      <w:tr w:rsidR="00D15C07" w:rsidRPr="00296389" w:rsidTr="00B67677">
        <w:tc>
          <w:tcPr>
            <w:tcW w:w="5103" w:type="dxa"/>
          </w:tcPr>
          <w:p w:rsidR="00D15C07" w:rsidRPr="00296389" w:rsidRDefault="00D15C07" w:rsidP="0007033B">
            <w:pPr>
              <w:rPr>
                <w:rFonts w:eastAsia="Calibri" w:cs="Times New Roman"/>
                <w:szCs w:val="20"/>
              </w:rPr>
            </w:pPr>
            <w:r w:rsidRPr="00296389">
              <w:rPr>
                <w:rFonts w:eastAsia="Calibri" w:cs="Times New Roman"/>
                <w:szCs w:val="20"/>
              </w:rPr>
              <w:t>1) How satisfied were you with the amount of compensation paid?</w:t>
            </w:r>
          </w:p>
        </w:tc>
        <w:tc>
          <w:tcPr>
            <w:tcW w:w="111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74</w:t>
            </w:r>
          </w:p>
        </w:tc>
        <w:tc>
          <w:tcPr>
            <w:tcW w:w="133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22</w:t>
            </w:r>
          </w:p>
        </w:tc>
        <w:tc>
          <w:tcPr>
            <w:tcW w:w="1030"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4</w:t>
            </w:r>
          </w:p>
        </w:tc>
      </w:tr>
      <w:tr w:rsidR="00D15C07" w:rsidRPr="00296389" w:rsidTr="00B67677">
        <w:tc>
          <w:tcPr>
            <w:tcW w:w="5103" w:type="dxa"/>
          </w:tcPr>
          <w:p w:rsidR="00D15C07" w:rsidRPr="00296389" w:rsidRDefault="00D15C07" w:rsidP="0007033B">
            <w:pPr>
              <w:rPr>
                <w:rFonts w:eastAsia="Calibri" w:cs="Times New Roman"/>
                <w:szCs w:val="20"/>
              </w:rPr>
            </w:pPr>
            <w:r w:rsidRPr="00296389">
              <w:rPr>
                <w:rFonts w:eastAsia="Calibri" w:cs="Times New Roman"/>
                <w:szCs w:val="20"/>
              </w:rPr>
              <w:t>2) Do you think the timeframe for the acquisition process was suitable</w:t>
            </w:r>
          </w:p>
        </w:tc>
        <w:tc>
          <w:tcPr>
            <w:tcW w:w="111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83</w:t>
            </w:r>
          </w:p>
        </w:tc>
        <w:tc>
          <w:tcPr>
            <w:tcW w:w="133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17</w:t>
            </w:r>
          </w:p>
        </w:tc>
        <w:tc>
          <w:tcPr>
            <w:tcW w:w="1030"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nil</w:t>
            </w:r>
          </w:p>
        </w:tc>
      </w:tr>
    </w:tbl>
    <w:p w:rsidR="00D15C07" w:rsidRPr="00296389" w:rsidRDefault="00D15C07" w:rsidP="00D15C07">
      <w:pPr>
        <w:spacing w:line="360" w:lineRule="auto"/>
        <w:rPr>
          <w:rFonts w:eastAsia="Calibri" w:cs="Times New Roman"/>
          <w:szCs w:val="20"/>
        </w:rPr>
      </w:pPr>
    </w:p>
    <w:p w:rsidR="00D15C07" w:rsidRPr="00296389" w:rsidRDefault="00D15C07" w:rsidP="006A0946">
      <w:pPr>
        <w:spacing w:after="0" w:line="240" w:lineRule="auto"/>
        <w:rPr>
          <w:rFonts w:eastAsia="Calibri" w:cs="Times New Roman"/>
          <w:b/>
          <w:szCs w:val="20"/>
        </w:rPr>
      </w:pPr>
      <w:r w:rsidRPr="00296389">
        <w:rPr>
          <w:rFonts w:eastAsia="Calibri" w:cs="Times New Roman"/>
          <w:b/>
          <w:szCs w:val="20"/>
        </w:rPr>
        <w:t xml:space="preserve">Table </w:t>
      </w:r>
      <w:r w:rsidR="00E36064" w:rsidRPr="00296389">
        <w:rPr>
          <w:rFonts w:eastAsia="Calibri" w:cs="Times New Roman"/>
          <w:b/>
          <w:szCs w:val="20"/>
        </w:rPr>
        <w:t>4</w:t>
      </w:r>
      <w:r w:rsidRPr="00296389">
        <w:rPr>
          <w:rFonts w:eastAsia="Calibri" w:cs="Times New Roman"/>
          <w:b/>
          <w:szCs w:val="20"/>
        </w:rPr>
        <w:t xml:space="preserve">: Survey summary to questions expressed as a Yes or No </w:t>
      </w:r>
      <w:r w:rsidR="00277033" w:rsidRPr="00296389">
        <w:rPr>
          <w:rFonts w:eastAsia="Calibri" w:cs="Times New Roman"/>
          <w:b/>
          <w:szCs w:val="20"/>
        </w:rPr>
        <w:t xml:space="preserve">as a </w:t>
      </w:r>
      <w:r w:rsidRPr="00296389">
        <w:rPr>
          <w:rFonts w:eastAsia="Calibri" w:cs="Times New Roman"/>
          <w:b/>
          <w:szCs w:val="20"/>
        </w:rPr>
        <w:t>percentage</w:t>
      </w:r>
    </w:p>
    <w:tbl>
      <w:tblPr>
        <w:tblStyle w:val="TableGrid"/>
        <w:tblW w:w="8591" w:type="dxa"/>
        <w:tblInd w:w="108" w:type="dxa"/>
        <w:tblLook w:val="01E0" w:firstRow="1" w:lastRow="1" w:firstColumn="1" w:lastColumn="1" w:noHBand="0" w:noVBand="0"/>
      </w:tblPr>
      <w:tblGrid>
        <w:gridCol w:w="5387"/>
        <w:gridCol w:w="1134"/>
        <w:gridCol w:w="1039"/>
        <w:gridCol w:w="1031"/>
      </w:tblGrid>
      <w:tr w:rsidR="00D15C07" w:rsidRPr="00296389" w:rsidTr="00B67677">
        <w:tc>
          <w:tcPr>
            <w:tcW w:w="5387" w:type="dxa"/>
          </w:tcPr>
          <w:p w:rsidR="00D15C07" w:rsidRPr="00296389" w:rsidRDefault="00D15C07" w:rsidP="0007033B">
            <w:pPr>
              <w:spacing w:line="360" w:lineRule="auto"/>
              <w:jc w:val="center"/>
              <w:rPr>
                <w:rFonts w:eastAsia="Calibri" w:cs="Times New Roman"/>
                <w:b/>
                <w:szCs w:val="20"/>
              </w:rPr>
            </w:pPr>
            <w:r w:rsidRPr="00296389">
              <w:rPr>
                <w:rFonts w:eastAsia="Calibri" w:cs="Times New Roman"/>
                <w:b/>
                <w:szCs w:val="20"/>
              </w:rPr>
              <w:t>Question</w:t>
            </w:r>
          </w:p>
        </w:tc>
        <w:tc>
          <w:tcPr>
            <w:tcW w:w="1134" w:type="dxa"/>
          </w:tcPr>
          <w:p w:rsidR="00D15C07" w:rsidRPr="00296389" w:rsidRDefault="00D15C07" w:rsidP="0007033B">
            <w:pPr>
              <w:spacing w:line="360" w:lineRule="auto"/>
              <w:jc w:val="center"/>
              <w:rPr>
                <w:rFonts w:eastAsia="Calibri" w:cs="Times New Roman"/>
                <w:b/>
                <w:szCs w:val="20"/>
              </w:rPr>
            </w:pPr>
            <w:r w:rsidRPr="00296389">
              <w:rPr>
                <w:rFonts w:eastAsia="Calibri" w:cs="Times New Roman"/>
                <w:b/>
                <w:szCs w:val="20"/>
              </w:rPr>
              <w:t>Yes</w:t>
            </w:r>
          </w:p>
        </w:tc>
        <w:tc>
          <w:tcPr>
            <w:tcW w:w="1039" w:type="dxa"/>
          </w:tcPr>
          <w:p w:rsidR="00D15C07" w:rsidRPr="00296389" w:rsidRDefault="00D15C07" w:rsidP="0007033B">
            <w:pPr>
              <w:spacing w:line="360" w:lineRule="auto"/>
              <w:jc w:val="center"/>
              <w:rPr>
                <w:rFonts w:eastAsia="Calibri" w:cs="Times New Roman"/>
                <w:b/>
                <w:szCs w:val="20"/>
              </w:rPr>
            </w:pPr>
            <w:r w:rsidRPr="00296389">
              <w:rPr>
                <w:rFonts w:eastAsia="Calibri" w:cs="Times New Roman"/>
                <w:b/>
                <w:szCs w:val="20"/>
              </w:rPr>
              <w:t>No</w:t>
            </w:r>
          </w:p>
        </w:tc>
        <w:tc>
          <w:tcPr>
            <w:tcW w:w="1031" w:type="dxa"/>
          </w:tcPr>
          <w:p w:rsidR="00D15C07" w:rsidRPr="00296389" w:rsidRDefault="00D15C07" w:rsidP="0007033B">
            <w:pPr>
              <w:spacing w:line="360" w:lineRule="auto"/>
              <w:jc w:val="center"/>
              <w:rPr>
                <w:rFonts w:eastAsia="Calibri" w:cs="Times New Roman"/>
                <w:b/>
                <w:szCs w:val="20"/>
              </w:rPr>
            </w:pPr>
            <w:r w:rsidRPr="00296389">
              <w:rPr>
                <w:rFonts w:eastAsia="Calibri" w:cs="Times New Roman"/>
                <w:b/>
                <w:szCs w:val="20"/>
              </w:rPr>
              <w:t>Unsure</w:t>
            </w:r>
          </w:p>
        </w:tc>
      </w:tr>
      <w:tr w:rsidR="00D15C07" w:rsidRPr="00296389" w:rsidTr="00B67677">
        <w:tc>
          <w:tcPr>
            <w:tcW w:w="5387" w:type="dxa"/>
          </w:tcPr>
          <w:p w:rsidR="00D15C07" w:rsidRPr="00296389" w:rsidRDefault="00D15C07" w:rsidP="0007033B">
            <w:pPr>
              <w:rPr>
                <w:rFonts w:eastAsia="Calibri" w:cs="Times New Roman"/>
                <w:szCs w:val="20"/>
              </w:rPr>
            </w:pPr>
            <w:r w:rsidRPr="00296389">
              <w:rPr>
                <w:rFonts w:eastAsia="Calibri" w:cs="Times New Roman"/>
                <w:szCs w:val="20"/>
              </w:rPr>
              <w:t>3) If the underground of your land were acquired for a tunnel or easement would you expect compensation?</w:t>
            </w:r>
          </w:p>
        </w:tc>
        <w:tc>
          <w:tcPr>
            <w:tcW w:w="1134"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100</w:t>
            </w:r>
          </w:p>
        </w:tc>
        <w:tc>
          <w:tcPr>
            <w:tcW w:w="103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nil</w:t>
            </w:r>
          </w:p>
        </w:tc>
        <w:tc>
          <w:tcPr>
            <w:tcW w:w="1031"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nil</w:t>
            </w:r>
          </w:p>
        </w:tc>
      </w:tr>
      <w:tr w:rsidR="00D15C07" w:rsidRPr="00296389" w:rsidTr="00B67677">
        <w:tc>
          <w:tcPr>
            <w:tcW w:w="5387" w:type="dxa"/>
          </w:tcPr>
          <w:p w:rsidR="00D15C07" w:rsidRPr="00296389" w:rsidRDefault="00D15C07" w:rsidP="0007033B">
            <w:pPr>
              <w:rPr>
                <w:rFonts w:eastAsia="Calibri" w:cs="Times New Roman"/>
                <w:szCs w:val="20"/>
              </w:rPr>
            </w:pPr>
            <w:r w:rsidRPr="00296389">
              <w:rPr>
                <w:rFonts w:eastAsia="Calibri" w:cs="Times New Roman"/>
                <w:szCs w:val="20"/>
              </w:rPr>
              <w:t>4) Did you object to the amount of compensation that was initially offered by the acquiring authority?</w:t>
            </w:r>
          </w:p>
        </w:tc>
        <w:tc>
          <w:tcPr>
            <w:tcW w:w="1134"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61</w:t>
            </w:r>
          </w:p>
        </w:tc>
        <w:tc>
          <w:tcPr>
            <w:tcW w:w="103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39</w:t>
            </w:r>
          </w:p>
        </w:tc>
        <w:tc>
          <w:tcPr>
            <w:tcW w:w="1031"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n/a</w:t>
            </w:r>
          </w:p>
        </w:tc>
      </w:tr>
      <w:tr w:rsidR="00D15C07" w:rsidRPr="00296389" w:rsidTr="00B67677">
        <w:tc>
          <w:tcPr>
            <w:tcW w:w="5387" w:type="dxa"/>
          </w:tcPr>
          <w:p w:rsidR="00D15C07" w:rsidRPr="00296389" w:rsidRDefault="00D15C07" w:rsidP="0007033B">
            <w:pPr>
              <w:rPr>
                <w:rFonts w:eastAsia="Calibri" w:cs="Times New Roman"/>
                <w:szCs w:val="20"/>
              </w:rPr>
            </w:pPr>
            <w:r w:rsidRPr="00296389">
              <w:rPr>
                <w:rFonts w:eastAsia="Calibri" w:cs="Times New Roman"/>
                <w:szCs w:val="20"/>
              </w:rPr>
              <w:t>5) Question to the 61 percent who objected in Q 4) above: Did your compensation amount increase?</w:t>
            </w:r>
          </w:p>
        </w:tc>
        <w:tc>
          <w:tcPr>
            <w:tcW w:w="1134"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36</w:t>
            </w:r>
          </w:p>
        </w:tc>
        <w:tc>
          <w:tcPr>
            <w:tcW w:w="103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64</w:t>
            </w:r>
          </w:p>
        </w:tc>
        <w:tc>
          <w:tcPr>
            <w:tcW w:w="1031"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n/a</w:t>
            </w:r>
          </w:p>
        </w:tc>
      </w:tr>
      <w:tr w:rsidR="00D15C07" w:rsidRPr="00296389" w:rsidTr="00B67677">
        <w:tc>
          <w:tcPr>
            <w:tcW w:w="5387" w:type="dxa"/>
          </w:tcPr>
          <w:p w:rsidR="00D15C07" w:rsidRPr="00296389" w:rsidRDefault="00D15C07" w:rsidP="0007033B">
            <w:pPr>
              <w:rPr>
                <w:rFonts w:eastAsia="Calibri" w:cs="Times New Roman"/>
                <w:szCs w:val="20"/>
              </w:rPr>
            </w:pPr>
            <w:r w:rsidRPr="00296389">
              <w:rPr>
                <w:rFonts w:eastAsia="Calibri" w:cs="Times New Roman"/>
                <w:szCs w:val="20"/>
              </w:rPr>
              <w:t>6) In your opinion, do you think that the Commonwealth or State Government should have the power to acquire land?</w:t>
            </w:r>
          </w:p>
        </w:tc>
        <w:tc>
          <w:tcPr>
            <w:tcW w:w="1134"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22</w:t>
            </w:r>
          </w:p>
        </w:tc>
        <w:tc>
          <w:tcPr>
            <w:tcW w:w="1039"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78</w:t>
            </w:r>
          </w:p>
        </w:tc>
        <w:tc>
          <w:tcPr>
            <w:tcW w:w="1031" w:type="dxa"/>
          </w:tcPr>
          <w:p w:rsidR="00D15C07" w:rsidRPr="00296389" w:rsidRDefault="00D15C07" w:rsidP="0007033B">
            <w:pPr>
              <w:jc w:val="center"/>
              <w:rPr>
                <w:rFonts w:eastAsia="Calibri" w:cs="Times New Roman"/>
                <w:szCs w:val="20"/>
              </w:rPr>
            </w:pPr>
          </w:p>
          <w:p w:rsidR="00D15C07" w:rsidRPr="00296389" w:rsidRDefault="00D15C07" w:rsidP="0007033B">
            <w:pPr>
              <w:jc w:val="center"/>
              <w:rPr>
                <w:rFonts w:eastAsia="Calibri" w:cs="Times New Roman"/>
                <w:szCs w:val="20"/>
              </w:rPr>
            </w:pPr>
            <w:r w:rsidRPr="00296389">
              <w:rPr>
                <w:rFonts w:eastAsia="Calibri" w:cs="Times New Roman"/>
                <w:szCs w:val="20"/>
              </w:rPr>
              <w:t>nil</w:t>
            </w:r>
          </w:p>
        </w:tc>
      </w:tr>
    </w:tbl>
    <w:p w:rsidR="00D15C07" w:rsidRPr="00DC6257" w:rsidRDefault="00D15C07" w:rsidP="00D15C07">
      <w:pPr>
        <w:spacing w:line="360" w:lineRule="auto"/>
        <w:rPr>
          <w:rFonts w:eastAsia="Calibri" w:cs="Times New Roman"/>
          <w:b/>
          <w:szCs w:val="20"/>
        </w:rPr>
      </w:pPr>
      <w:r w:rsidRPr="00DC6257">
        <w:rPr>
          <w:rFonts w:eastAsia="Calibri" w:cs="Times New Roman"/>
          <w:b/>
          <w:szCs w:val="20"/>
        </w:rPr>
        <w:t>Source: Prentice 2002</w:t>
      </w:r>
    </w:p>
    <w:p w:rsidR="00D15C07" w:rsidRPr="00E63E01" w:rsidRDefault="00D15C07" w:rsidP="00B029BC">
      <w:r w:rsidRPr="00E63E01">
        <w:lastRenderedPageBreak/>
        <w:t>In th</w:t>
      </w:r>
      <w:r w:rsidR="00B67677">
        <w:t>is</w:t>
      </w:r>
      <w:r w:rsidRPr="00E63E01">
        <w:t xml:space="preserve"> survey, of the 23 parties dispossessed, 19 parties or 83 percent negotiated a settlement with the </w:t>
      </w:r>
      <w:r w:rsidR="00B67677">
        <w:t xml:space="preserve">acquiring authority </w:t>
      </w:r>
      <w:r w:rsidRPr="00E63E01">
        <w:t xml:space="preserve">and 4 </w:t>
      </w:r>
      <w:r w:rsidR="004B700E">
        <w:t>owners</w:t>
      </w:r>
      <w:r w:rsidRPr="00E63E01">
        <w:t xml:space="preserve"> or 17 percent had their property compulsorily acquired of which 2 cases proceeded to court. In conclusion to this survey, participants were asked to give suggestions as to ways in which the acquisition process and compensation could be improved in the future. The key issues and feedback </w:t>
      </w:r>
      <w:r w:rsidR="00277033">
        <w:t xml:space="preserve">provided </w:t>
      </w:r>
      <w:r w:rsidRPr="00E63E01">
        <w:t>are:</w:t>
      </w:r>
    </w:p>
    <w:p w:rsidR="00D15C07" w:rsidRPr="00E63E01" w:rsidRDefault="00D15C07" w:rsidP="00B029BC">
      <w:pPr>
        <w:pStyle w:val="ListParagraph"/>
        <w:numPr>
          <w:ilvl w:val="0"/>
          <w:numId w:val="7"/>
        </w:numPr>
      </w:pPr>
      <w:r w:rsidRPr="00B029BC">
        <w:rPr>
          <w:b/>
        </w:rPr>
        <w:t>In the case of partial acquisition</w:t>
      </w:r>
      <w:r w:rsidRPr="00E63E01">
        <w:t>: a majority of the parties who objected to the amount of compensation initially offered, were the subject of partial acquisitions and excluding the amount of compensation amount</w:t>
      </w:r>
      <w:r w:rsidR="00E87AD9">
        <w:t>,</w:t>
      </w:r>
      <w:r w:rsidRPr="00E63E01">
        <w:t xml:space="preserve"> were most dissatisfied with noise and access to their property during the works being carried out and time taken to carry</w:t>
      </w:r>
      <w:r w:rsidR="006A0946">
        <w:t xml:space="preserve"> </w:t>
      </w:r>
      <w:r w:rsidRPr="00E63E01">
        <w:t>out the works. The primary issue with partial acquisition was the non-claimable provision for the inconvenience factor experienced during the works.</w:t>
      </w:r>
      <w:r w:rsidR="004B700E">
        <w:t xml:space="preserve"> In these cases, the affected parties remained in their residences while road works were undertaken.</w:t>
      </w:r>
    </w:p>
    <w:p w:rsidR="00D15C07" w:rsidRPr="00E63E01" w:rsidRDefault="00D15C07" w:rsidP="00B029BC">
      <w:pPr>
        <w:pStyle w:val="ListParagraph"/>
        <w:numPr>
          <w:ilvl w:val="0"/>
          <w:numId w:val="7"/>
        </w:numPr>
      </w:pPr>
      <w:r w:rsidRPr="00B029BC">
        <w:rPr>
          <w:b/>
        </w:rPr>
        <w:t>In the case of total acquisition</w:t>
      </w:r>
      <w:r w:rsidRPr="00E63E01">
        <w:t xml:space="preserve">: the key issue apart from the amount of compensation </w:t>
      </w:r>
      <w:r w:rsidR="00E87AD9">
        <w:t>paid</w:t>
      </w:r>
      <w:r w:rsidR="004B700E">
        <w:t xml:space="preserve"> </w:t>
      </w:r>
      <w:r w:rsidRPr="00E63E01">
        <w:t>was the time frame for completion of the process.</w:t>
      </w:r>
      <w:r w:rsidR="00F7236D">
        <w:t xml:space="preserve"> Of the parties who objected to the amount of compensation in these cases, the primary concern was the suffici</w:t>
      </w:r>
      <w:r w:rsidR="00BF2FFD">
        <w:t>ency of compensation to rehouse.</w:t>
      </w:r>
      <w:r w:rsidR="00986201">
        <w:t xml:space="preserve"> Further, in each case </w:t>
      </w:r>
      <w:r w:rsidR="000B3C02">
        <w:t>the addition</w:t>
      </w:r>
      <w:r w:rsidR="004B700E">
        <w:t>al</w:t>
      </w:r>
      <w:r w:rsidR="000B3C02">
        <w:t xml:space="preserve"> items of </w:t>
      </w:r>
      <w:r w:rsidR="00986201">
        <w:t xml:space="preserve">disturbance and </w:t>
      </w:r>
      <w:proofErr w:type="spellStart"/>
      <w:r w:rsidR="00986201">
        <w:t>solatium</w:t>
      </w:r>
      <w:proofErr w:type="spellEnd"/>
      <w:r w:rsidR="00986201">
        <w:t xml:space="preserve"> were </w:t>
      </w:r>
      <w:r w:rsidR="00E87AD9">
        <w:t xml:space="preserve">generally considered </w:t>
      </w:r>
      <w:r w:rsidR="000B3C02">
        <w:t>sufficient in addressing the needs of the dispossessed for rehousing. It is further suggested that a compe</w:t>
      </w:r>
      <w:r w:rsidR="00E87AD9">
        <w:t>lling reason to settle by negotiation was</w:t>
      </w:r>
      <w:r w:rsidR="000B3C02">
        <w:t xml:space="preserve"> to avoid living on a main road after road widening </w:t>
      </w:r>
      <w:r w:rsidR="004B700E">
        <w:t>was</w:t>
      </w:r>
      <w:r w:rsidR="000B3C02">
        <w:t xml:space="preserve"> complete.</w:t>
      </w:r>
    </w:p>
    <w:p w:rsidR="00D15C07" w:rsidRPr="00E63E01" w:rsidRDefault="00D15C07" w:rsidP="00461DED">
      <w:r w:rsidRPr="00E63E01">
        <w:t>Of the 23 respondents to the survey, 40% did not have any complaints or suggestions for improvement to the process.</w:t>
      </w:r>
    </w:p>
    <w:p w:rsidR="00D15C07" w:rsidRDefault="00D15C07" w:rsidP="00612836">
      <w:r w:rsidRPr="00E63E01">
        <w:t xml:space="preserve">The compelling feedback and observations from this survey shows that in general terms the </w:t>
      </w:r>
      <w:r w:rsidR="00E87AD9">
        <w:t xml:space="preserve">acquisition legislation </w:t>
      </w:r>
      <w:r w:rsidRPr="00E63E01">
        <w:t xml:space="preserve">was achieving its objectives in the </w:t>
      </w:r>
      <w:r w:rsidR="00E87AD9">
        <w:t>case</w:t>
      </w:r>
      <w:r w:rsidRPr="00E63E01">
        <w:t xml:space="preserve"> of residential property. In the cases observed, the primary area of disputation occurred in cases of partial acquisition of land. A further interesting point of note was the </w:t>
      </w:r>
      <w:r w:rsidR="00612836">
        <w:t>agreement</w:t>
      </w:r>
      <w:r w:rsidRPr="00E63E01">
        <w:t xml:space="preserve"> of property owners not to fight the acquisition process, once they were aware of the works to be carried out and the impact those works would have on their property.</w:t>
      </w:r>
    </w:p>
    <w:p w:rsidR="00290077" w:rsidRPr="00065455" w:rsidRDefault="00065455" w:rsidP="009E00A8">
      <w:pPr>
        <w:rPr>
          <w:lang w:val="en-US"/>
        </w:rPr>
      </w:pPr>
      <w:r w:rsidRPr="00065455">
        <w:rPr>
          <w:lang w:val="en-US"/>
        </w:rPr>
        <w:t xml:space="preserve">In compulsory acquisition cases </w:t>
      </w:r>
      <w:r w:rsidR="00F7236D">
        <w:rPr>
          <w:lang w:val="en-US"/>
        </w:rPr>
        <w:t>for road works generally across NSW</w:t>
      </w:r>
      <w:r>
        <w:rPr>
          <w:lang w:val="en-US"/>
        </w:rPr>
        <w:t>, Bourke (</w:t>
      </w:r>
      <w:r w:rsidR="003A7604">
        <w:rPr>
          <w:lang w:val="en-US"/>
        </w:rPr>
        <w:t xml:space="preserve">Cited in Prentice </w:t>
      </w:r>
      <w:r>
        <w:rPr>
          <w:lang w:val="en-US"/>
        </w:rPr>
        <w:t>2002</w:t>
      </w:r>
      <w:r w:rsidR="00F7236D">
        <w:rPr>
          <w:lang w:val="en-US"/>
        </w:rPr>
        <w:t>:62</w:t>
      </w:r>
      <w:r>
        <w:rPr>
          <w:lang w:val="en-US"/>
        </w:rPr>
        <w:t xml:space="preserve">), </w:t>
      </w:r>
      <w:r w:rsidR="00F7236D">
        <w:rPr>
          <w:lang w:val="en-US"/>
        </w:rPr>
        <w:t>provides</w:t>
      </w:r>
      <w:r>
        <w:rPr>
          <w:lang w:val="en-US"/>
        </w:rPr>
        <w:t xml:space="preserve"> the acquisition statistics at 95 per cent of all acquisitions are by agreement, 5 per cent </w:t>
      </w:r>
      <w:r w:rsidR="00F7236D">
        <w:rPr>
          <w:lang w:val="en-US"/>
        </w:rPr>
        <w:t xml:space="preserve">by compulsory process with less than one per cent proceeding to court. In the case of the </w:t>
      </w:r>
      <w:r w:rsidR="00E87AD9">
        <w:rPr>
          <w:lang w:val="en-US"/>
        </w:rPr>
        <w:t xml:space="preserve">Sydney M2 Motorway, </w:t>
      </w:r>
      <w:r w:rsidR="00F7236D">
        <w:rPr>
          <w:lang w:val="en-US"/>
        </w:rPr>
        <w:t>being the largest road works undertaken during the 1990s, 240 properties were acquired by agreement, 6 by compulsory acquisition</w:t>
      </w:r>
      <w:r w:rsidR="00E87AD9">
        <w:rPr>
          <w:lang w:val="en-US"/>
        </w:rPr>
        <w:t>,</w:t>
      </w:r>
      <w:r w:rsidR="00F7236D">
        <w:rPr>
          <w:lang w:val="en-US"/>
        </w:rPr>
        <w:t xml:space="preserve"> </w:t>
      </w:r>
      <w:r w:rsidR="004B700E">
        <w:rPr>
          <w:lang w:val="en-US"/>
        </w:rPr>
        <w:t>with</w:t>
      </w:r>
      <w:r w:rsidR="00F7236D">
        <w:rPr>
          <w:lang w:val="en-US"/>
        </w:rPr>
        <w:t xml:space="preserve"> 2 </w:t>
      </w:r>
      <w:r w:rsidR="00E87AD9">
        <w:rPr>
          <w:lang w:val="en-US"/>
        </w:rPr>
        <w:t xml:space="preserve">cases </w:t>
      </w:r>
      <w:r w:rsidR="00F7236D">
        <w:rPr>
          <w:lang w:val="en-US"/>
        </w:rPr>
        <w:t xml:space="preserve">proceeding to court. </w:t>
      </w:r>
    </w:p>
    <w:p w:rsidR="0084583E" w:rsidRDefault="0084583E" w:rsidP="00E87AD9">
      <w:pPr>
        <w:spacing w:after="120" w:line="240" w:lineRule="auto"/>
        <w:rPr>
          <w:rFonts w:eastAsia="Times New Roman" w:cs="Times New Roman"/>
          <w:b/>
          <w:color w:val="000000" w:themeColor="text1"/>
          <w:sz w:val="22"/>
        </w:rPr>
      </w:pPr>
    </w:p>
    <w:p w:rsidR="00986201" w:rsidRPr="00DC6257" w:rsidRDefault="00986201" w:rsidP="00E87AD9">
      <w:pPr>
        <w:spacing w:after="120" w:line="240" w:lineRule="auto"/>
        <w:rPr>
          <w:b/>
          <w:sz w:val="22"/>
          <w:lang w:val="en-US"/>
        </w:rPr>
      </w:pPr>
      <w:r w:rsidRPr="00DC6257">
        <w:rPr>
          <w:rFonts w:eastAsia="Times New Roman" w:cs="Times New Roman"/>
          <w:b/>
          <w:color w:val="000000" w:themeColor="text1"/>
          <w:sz w:val="22"/>
        </w:rPr>
        <w:t>Economic Development</w:t>
      </w:r>
      <w:r w:rsidR="002969C1">
        <w:rPr>
          <w:rFonts w:eastAsia="Times New Roman" w:cs="Times New Roman"/>
          <w:b/>
          <w:color w:val="000000" w:themeColor="text1"/>
          <w:sz w:val="22"/>
        </w:rPr>
        <w:t>: An Emerging Public Purpose</w:t>
      </w:r>
    </w:p>
    <w:p w:rsidR="00C35475" w:rsidRDefault="00986201" w:rsidP="004B700E">
      <w:r w:rsidRPr="00F6312C">
        <w:t xml:space="preserve">Economic development as a </w:t>
      </w:r>
      <w:r w:rsidR="00DD6840">
        <w:t xml:space="preserve">public </w:t>
      </w:r>
      <w:r w:rsidRPr="00F6312C">
        <w:t xml:space="preserve">purpose has evolved in the United States since </w:t>
      </w:r>
      <w:r w:rsidR="00E87AD9">
        <w:t xml:space="preserve">its </w:t>
      </w:r>
      <w:r w:rsidRPr="00F6312C">
        <w:t xml:space="preserve">post WWII rapid economic expansion. The first noted case involving “economic development” occurred in 1954, Berman v. Parker 348 U.S. 26 (1954) where Turnbull &amp; </w:t>
      </w:r>
      <w:proofErr w:type="spellStart"/>
      <w:r w:rsidRPr="00F6312C">
        <w:t>Salvino</w:t>
      </w:r>
      <w:proofErr w:type="spellEnd"/>
      <w:r w:rsidRPr="00F6312C">
        <w:t xml:space="preserve"> (2006) note eminent domain being used in a slum clearing program in Washington D.C., in which land acquired was sold onto private developers for redevelopment. Again in 1981, </w:t>
      </w:r>
      <w:proofErr w:type="spellStart"/>
      <w:r w:rsidRPr="00F6312C">
        <w:t>Poletown</w:t>
      </w:r>
      <w:proofErr w:type="spellEnd"/>
      <w:r w:rsidRPr="00F6312C">
        <w:t xml:space="preserve"> Neighbourhood Council v. City of Detroit 304 N.W. 2d 455 (</w:t>
      </w:r>
      <w:proofErr w:type="spellStart"/>
      <w:r w:rsidRPr="00F6312C">
        <w:t>Mich</w:t>
      </w:r>
      <w:proofErr w:type="spellEnd"/>
      <w:r w:rsidRPr="00F6312C">
        <w:t xml:space="preserve"> 1981) the city paid for land using eminent domain which was on-sold to General Motors for a new factory. The court ruling in favour of the compulsory taking on the grounds that is would “alleviate unemployment and revitalize the</w:t>
      </w:r>
      <w:r>
        <w:t xml:space="preserve"> e</w:t>
      </w:r>
      <w:r w:rsidR="00C35475">
        <w:t>conomic base of the community.”</w:t>
      </w:r>
    </w:p>
    <w:p w:rsidR="00C35475" w:rsidRDefault="00C35475" w:rsidP="00C35475">
      <w:r>
        <w:t>A divide in the rationale supporting economic development as a means of injecting stimulus into a location is made by Curtin and Witten (2005). The use of economic development may be temporary, where the activity supports the development of infrastructure or an alternate use of the land of which that activity ceases on completion of the project with no flow-on benefit. In contrast, the ongoing stimulus resulting from the actual use to which the acquired land is put</w:t>
      </w:r>
      <w:r w:rsidR="00166524">
        <w:t xml:space="preserve"> in generating jobs</w:t>
      </w:r>
      <w:r>
        <w:t xml:space="preserve">, </w:t>
      </w:r>
      <w:r w:rsidR="00166524">
        <w:t xml:space="preserve">social betterment and provides government with ongoing tax revenue, </w:t>
      </w:r>
      <w:r>
        <w:t>is more aptly defined as economic development.</w:t>
      </w:r>
    </w:p>
    <w:p w:rsidR="00986201" w:rsidRDefault="00986201" w:rsidP="004B700E">
      <w:r>
        <w:lastRenderedPageBreak/>
        <w:t>The following and most recent case solidifies the expansion of the public purpose rule in the United States, which has ramifications for property owners in Australia.</w:t>
      </w:r>
      <w:r w:rsidR="00C35475">
        <w:t xml:space="preserve"> </w:t>
      </w:r>
      <w:r>
        <w:t xml:space="preserve">Whilst an evolving purpose in the United States, </w:t>
      </w:r>
      <w:r w:rsidR="00DD6840">
        <w:t>e</w:t>
      </w:r>
      <w:r>
        <w:t xml:space="preserve">conomic </w:t>
      </w:r>
      <w:r w:rsidR="00DD6840">
        <w:t>d</w:t>
      </w:r>
      <w:r>
        <w:t xml:space="preserve">evelopment has not gained the same level of support in Australia. Despite attempts to </w:t>
      </w:r>
      <w:r w:rsidR="00E87AD9">
        <w:t>acquire land for economic development</w:t>
      </w:r>
      <w:r>
        <w:t>, th</w:t>
      </w:r>
      <w:r w:rsidR="004B4153">
        <w:t xml:space="preserve">is purpose </w:t>
      </w:r>
      <w:r>
        <w:t>ha</w:t>
      </w:r>
      <w:r w:rsidR="004B4153">
        <w:t>s</w:t>
      </w:r>
      <w:r>
        <w:t xml:space="preserve"> been tested in the courts</w:t>
      </w:r>
      <w:r w:rsidR="004B4153">
        <w:t>, which</w:t>
      </w:r>
      <w:r>
        <w:t xml:space="preserve"> </w:t>
      </w:r>
      <w:r w:rsidR="00DD6840">
        <w:t xml:space="preserve">ruled against this </w:t>
      </w:r>
      <w:r>
        <w:t xml:space="preserve">as a purpose where local Government itself is not the developer. </w:t>
      </w:r>
      <w:r w:rsidR="004B700E">
        <w:t>In examining land acquisition cases for non-traditional purposes, t</w:t>
      </w:r>
      <w:r w:rsidR="00DD6840">
        <w:t xml:space="preserve">wo cases one </w:t>
      </w:r>
      <w:r w:rsidR="004B4153">
        <w:t>in</w:t>
      </w:r>
      <w:r>
        <w:t xml:space="preserve"> the United States </w:t>
      </w:r>
      <w:r w:rsidR="004B4153">
        <w:t xml:space="preserve">and the second in Australia </w:t>
      </w:r>
      <w:r>
        <w:t xml:space="preserve">have been </w:t>
      </w:r>
      <w:r w:rsidR="004B700E">
        <w:t>used</w:t>
      </w:r>
      <w:r>
        <w:t xml:space="preserve"> to show the disparity in the </w:t>
      </w:r>
      <w:proofErr w:type="spellStart"/>
      <w:r>
        <w:t>courts</w:t>
      </w:r>
      <w:proofErr w:type="spellEnd"/>
      <w:r>
        <w:t xml:space="preserve"> </w:t>
      </w:r>
      <w:r w:rsidR="00DD6840">
        <w:t>ruling</w:t>
      </w:r>
      <w:r>
        <w:t xml:space="preserve"> as well as the legislative constraints that apply in Australia to economic development as a public purpose. A summary and outcome of each case follows</w:t>
      </w:r>
      <w:r w:rsidR="00DD6840">
        <w:t xml:space="preserve"> next</w:t>
      </w:r>
      <w:r>
        <w:t>.</w:t>
      </w:r>
    </w:p>
    <w:p w:rsidR="00986201" w:rsidRPr="002969C1" w:rsidRDefault="00986201" w:rsidP="002969C1">
      <w:pPr>
        <w:pStyle w:val="Heading4"/>
        <w:spacing w:before="240" w:line="240" w:lineRule="auto"/>
        <w:rPr>
          <w:rFonts w:ascii="Times New Roman" w:eastAsia="Times New Roman" w:hAnsi="Times New Roman" w:cs="Times New Roman"/>
          <w:i w:val="0"/>
          <w:color w:val="000000" w:themeColor="text1"/>
          <w:sz w:val="22"/>
        </w:rPr>
      </w:pPr>
      <w:r w:rsidRPr="002969C1">
        <w:rPr>
          <w:rFonts w:ascii="Times New Roman" w:eastAsia="Times New Roman" w:hAnsi="Times New Roman" w:cs="Times New Roman"/>
          <w:i w:val="0"/>
          <w:color w:val="000000" w:themeColor="text1"/>
          <w:sz w:val="22"/>
        </w:rPr>
        <w:t xml:space="preserve">United </w:t>
      </w:r>
      <w:r w:rsidRPr="00A473CA">
        <w:rPr>
          <w:rStyle w:val="IntenseEmphasis"/>
          <w:rFonts w:ascii="Times New Roman" w:eastAsia="Times New Roman" w:hAnsi="Times New Roman" w:cs="Times New Roman"/>
          <w:b/>
          <w:bCs/>
          <w:iCs/>
          <w:color w:val="000000" w:themeColor="text1"/>
          <w:sz w:val="22"/>
        </w:rPr>
        <w:t>States</w:t>
      </w:r>
      <w:r w:rsidRPr="00A473CA">
        <w:rPr>
          <w:rFonts w:ascii="Times New Roman" w:eastAsia="Times New Roman" w:hAnsi="Times New Roman" w:cs="Times New Roman"/>
          <w:color w:val="000000" w:themeColor="text1"/>
          <w:sz w:val="22"/>
        </w:rPr>
        <w:t xml:space="preserve"> </w:t>
      </w:r>
      <w:r w:rsidRPr="002969C1">
        <w:rPr>
          <w:rFonts w:ascii="Times New Roman" w:eastAsia="Times New Roman" w:hAnsi="Times New Roman" w:cs="Times New Roman"/>
          <w:i w:val="0"/>
          <w:color w:val="000000" w:themeColor="text1"/>
          <w:sz w:val="22"/>
        </w:rPr>
        <w:t xml:space="preserve">- </w:t>
      </w:r>
      <w:proofErr w:type="spellStart"/>
      <w:r w:rsidRPr="002969C1">
        <w:rPr>
          <w:rFonts w:ascii="Times New Roman" w:eastAsia="Times New Roman" w:hAnsi="Times New Roman" w:cs="Times New Roman"/>
          <w:i w:val="0"/>
          <w:color w:val="000000" w:themeColor="text1"/>
          <w:sz w:val="22"/>
        </w:rPr>
        <w:t>Kelo</w:t>
      </w:r>
      <w:proofErr w:type="spellEnd"/>
      <w:r w:rsidRPr="002969C1">
        <w:rPr>
          <w:rFonts w:ascii="Times New Roman" w:eastAsia="Times New Roman" w:hAnsi="Times New Roman" w:cs="Times New Roman"/>
          <w:i w:val="0"/>
          <w:color w:val="000000" w:themeColor="text1"/>
          <w:sz w:val="22"/>
        </w:rPr>
        <w:t xml:space="preserve"> v City of New London 125 S. Ct. 2655 (2005)</w:t>
      </w:r>
    </w:p>
    <w:p w:rsidR="00986201" w:rsidRPr="00DC6257" w:rsidRDefault="00986201" w:rsidP="002969C1">
      <w:pPr>
        <w:pStyle w:val="Heading4"/>
        <w:spacing w:before="120"/>
        <w:rPr>
          <w:rFonts w:ascii="Times New Roman" w:eastAsia="Times New Roman" w:hAnsi="Times New Roman" w:cs="Times New Roman"/>
          <w:i w:val="0"/>
          <w:color w:val="000000" w:themeColor="text1"/>
        </w:rPr>
      </w:pPr>
      <w:r w:rsidRPr="00DC6257">
        <w:rPr>
          <w:rFonts w:ascii="Times New Roman" w:eastAsia="Times New Roman" w:hAnsi="Times New Roman" w:cs="Times New Roman"/>
          <w:i w:val="0"/>
          <w:color w:val="000000" w:themeColor="text1"/>
        </w:rPr>
        <w:t>Summary of facts</w:t>
      </w:r>
    </w:p>
    <w:p w:rsidR="00986201" w:rsidRDefault="00986201" w:rsidP="00296389">
      <w:proofErr w:type="spellStart"/>
      <w:r>
        <w:t>Kelo</w:t>
      </w:r>
      <w:proofErr w:type="spellEnd"/>
      <w:r>
        <w:t xml:space="preserve"> and others resided in a rundown part of the City of New London, Connecticut in which the Local Government elected to acquire the subject and surrounding land and provide this land to a developer for the purposes of urban renewal and redevelopment of that quarter of the City. </w:t>
      </w:r>
      <w:proofErr w:type="spellStart"/>
      <w:r>
        <w:t>Kelo</w:t>
      </w:r>
      <w:proofErr w:type="spellEnd"/>
      <w:r>
        <w:t xml:space="preserve"> choose not to move and resided in her property for four years after the order declaring the acquisition was issued</w:t>
      </w:r>
      <w:r w:rsidR="00093783">
        <w:t xml:space="preserve"> </w:t>
      </w:r>
      <w:r w:rsidR="00A473CA">
        <w:t xml:space="preserve">and </w:t>
      </w:r>
      <w:r w:rsidR="00093783">
        <w:t>following her loss in the Superior Court</w:t>
      </w:r>
      <w:r>
        <w:t xml:space="preserve">. </w:t>
      </w:r>
      <w:r w:rsidR="00093783">
        <w:t>T</w:t>
      </w:r>
      <w:r>
        <w:t xml:space="preserve">he City of New London agreed to move </w:t>
      </w:r>
      <w:proofErr w:type="spellStart"/>
      <w:r>
        <w:t>Kelo’s</w:t>
      </w:r>
      <w:proofErr w:type="spellEnd"/>
      <w:r>
        <w:t xml:space="preserve"> house to an alternate parcel of land and further pay compensation to settle the matter. </w:t>
      </w:r>
      <w:r w:rsidR="00093783">
        <w:t xml:space="preserve">The </w:t>
      </w:r>
      <w:r w:rsidR="00AD5ED1">
        <w:t xml:space="preserve">initial </w:t>
      </w:r>
      <w:r w:rsidR="00093783">
        <w:t xml:space="preserve">objective of </w:t>
      </w:r>
      <w:r w:rsidR="00AD5ED1">
        <w:t xml:space="preserve">the dispossessed in </w:t>
      </w:r>
      <w:proofErr w:type="spellStart"/>
      <w:r>
        <w:t>Kelo</w:t>
      </w:r>
      <w:proofErr w:type="spellEnd"/>
      <w:r>
        <w:t xml:space="preserve"> was </w:t>
      </w:r>
      <w:r w:rsidR="00093783">
        <w:t>the principle of equivalence and</w:t>
      </w:r>
      <w:r>
        <w:t xml:space="preserve"> not a matter of monetary compensation, </w:t>
      </w:r>
      <w:r w:rsidR="00093783">
        <w:t>which was insufficient to rehouse her in the surrounding location</w:t>
      </w:r>
      <w:r w:rsidR="00AD5ED1">
        <w:t xml:space="preserve"> under the initial offer made for compensation</w:t>
      </w:r>
      <w:r w:rsidR="00093783">
        <w:t>.</w:t>
      </w:r>
    </w:p>
    <w:p w:rsidR="00986201" w:rsidRPr="00DC6257" w:rsidRDefault="00986201" w:rsidP="00986201">
      <w:pPr>
        <w:pStyle w:val="Heading4"/>
        <w:rPr>
          <w:rFonts w:ascii="Times New Roman" w:eastAsia="Times New Roman" w:hAnsi="Times New Roman" w:cs="Times New Roman"/>
          <w:i w:val="0"/>
          <w:color w:val="000000" w:themeColor="text1"/>
        </w:rPr>
      </w:pPr>
      <w:r w:rsidRPr="00DC6257">
        <w:rPr>
          <w:rFonts w:ascii="Times New Roman" w:eastAsia="Times New Roman" w:hAnsi="Times New Roman" w:cs="Times New Roman"/>
          <w:i w:val="0"/>
          <w:color w:val="000000" w:themeColor="text1"/>
        </w:rPr>
        <w:t>Justification and dissention for compulsory purchase &amp; ruling</w:t>
      </w:r>
    </w:p>
    <w:p w:rsidR="00986201" w:rsidRDefault="00986201" w:rsidP="00296389">
      <w:r>
        <w:t xml:space="preserve">In the </w:t>
      </w:r>
      <w:proofErr w:type="spellStart"/>
      <w:r>
        <w:t>Kelo</w:t>
      </w:r>
      <w:proofErr w:type="spellEnd"/>
      <w:r>
        <w:t xml:space="preserve"> case the court was faced with an absence of specific legislation defining a public purpose in acquisition statutes. The case resulted in a broadening of the uses being established for eminent domain or compulsory acquisition through the result, which in essence supported eminent domain for the transfer of acquired land to private parties for urban renewal and job stimulation. The public purpose doctrine </w:t>
      </w:r>
      <w:r w:rsidR="001F3AA6">
        <w:t xml:space="preserve">in this case </w:t>
      </w:r>
      <w:r>
        <w:t xml:space="preserve">is </w:t>
      </w:r>
      <w:r w:rsidR="001F3AA6">
        <w:t xml:space="preserve">aptly </w:t>
      </w:r>
      <w:r>
        <w:t xml:space="preserve">described by </w:t>
      </w:r>
      <w:proofErr w:type="spellStart"/>
      <w:r>
        <w:t>Miceli</w:t>
      </w:r>
      <w:proofErr w:type="spellEnd"/>
      <w:r>
        <w:t xml:space="preserve"> (2004:218-219) as; </w:t>
      </w:r>
    </w:p>
    <w:p w:rsidR="00986201" w:rsidRPr="002969C1" w:rsidRDefault="00986201" w:rsidP="00296389">
      <w:pPr>
        <w:ind w:left="720"/>
        <w:rPr>
          <w:rFonts w:eastAsia="Times New Roman" w:cs="Times New Roman"/>
          <w:i/>
          <w:color w:val="000000" w:themeColor="text1"/>
        </w:rPr>
      </w:pPr>
      <w:r w:rsidRPr="002969C1">
        <w:rPr>
          <w:rFonts w:eastAsia="Times New Roman" w:cs="Times New Roman"/>
          <w:color w:val="000000" w:themeColor="text1"/>
        </w:rPr>
        <w:t>“</w:t>
      </w:r>
      <w:proofErr w:type="gramStart"/>
      <w:r w:rsidRPr="002969C1">
        <w:rPr>
          <w:rFonts w:eastAsia="Times New Roman" w:cs="Times New Roman"/>
          <w:color w:val="000000" w:themeColor="text1"/>
        </w:rPr>
        <w:t>a</w:t>
      </w:r>
      <w:proofErr w:type="gramEnd"/>
      <w:r w:rsidRPr="002969C1">
        <w:rPr>
          <w:rFonts w:eastAsia="Times New Roman" w:cs="Times New Roman"/>
          <w:color w:val="000000" w:themeColor="text1"/>
        </w:rPr>
        <w:t xml:space="preserve"> narrow economic rationale for eminent domain as a way of forestalling costly holdout problems that plague land assembly for large scale urban redevelopment projects, whether private or governmental. In this view, efficiency is served by any process that gets the land into the hands of parties who value it most highly.”</w:t>
      </w:r>
    </w:p>
    <w:p w:rsidR="00986201" w:rsidRPr="00431BAB" w:rsidRDefault="00986201" w:rsidP="00296389">
      <w:r w:rsidRPr="00431BAB">
        <w:t xml:space="preserve">In deliberating on the </w:t>
      </w:r>
      <w:proofErr w:type="spellStart"/>
      <w:r w:rsidRPr="00431BAB">
        <w:t>Kelo</w:t>
      </w:r>
      <w:proofErr w:type="spellEnd"/>
      <w:r w:rsidRPr="00431BAB">
        <w:t xml:space="preserve"> case, the court decided in favour 5-4 for eminent domain for redevelopment purposes. An important précis of the decision follows</w:t>
      </w:r>
      <w:r w:rsidR="001F3AA6">
        <w:t xml:space="preserve"> which highlights the difficulty confronting the court in deliberating on economic development as a public purpose</w:t>
      </w:r>
      <w:r w:rsidR="00571B16">
        <w:t xml:space="preserve"> Epstein (2008) states</w:t>
      </w:r>
      <w:r w:rsidR="00093783">
        <w:t>:</w:t>
      </w:r>
    </w:p>
    <w:p w:rsidR="00986201" w:rsidRPr="00B029BC" w:rsidRDefault="00986201" w:rsidP="00093783">
      <w:pPr>
        <w:ind w:left="720"/>
        <w:rPr>
          <w:rFonts w:eastAsia="Calibri" w:cs="Times New Roman"/>
        </w:rPr>
      </w:pPr>
      <w:r w:rsidRPr="00B029BC">
        <w:rPr>
          <w:rFonts w:eastAsia="Calibri" w:cs="Times New Roman"/>
        </w:rPr>
        <w:t>The majority opinion, by Justice Stevens, found that it was appropriate to defer to the city's decision that the development plan had a public purpose, saying that "the city has carefully formulated a development plan that it believes will provide apprec</w:t>
      </w:r>
      <w:r w:rsidR="00093783" w:rsidRPr="00B029BC">
        <w:rPr>
          <w:rFonts w:eastAsia="Calibri" w:cs="Times New Roman"/>
        </w:rPr>
        <w:t>iable benefits to the community</w:t>
      </w:r>
      <w:r w:rsidRPr="00B029BC">
        <w:rPr>
          <w:rFonts w:eastAsia="Calibri" w:cs="Times New Roman"/>
        </w:rPr>
        <w:t xml:space="preserve"> including, but not limited to, new jobs and increased tax revenue." Justice Kennedy's concurring opinion observed that in this particular case the development plan was not "of primary benefit to . . . the developer" and that if that was the case the plan might have been impermissible. In the dissent, Justice Sandra Day O’Connor argued that this decision would allow the rich to benefit at the expense of the poor, asserting that "Any property may now be taken for the benefit of another private party, but the fallout from this decision will not be random. The beneficiaries are likely to be those citizens with disproportionate influence and power in the political process, including large corporations and development firms." She argued that the decision eliminates "any distinction between private and public use of property—and thereby effectively delete[s] the words 'for public use' from the Takings Clause of the Fifth Amendment".</w:t>
      </w:r>
    </w:p>
    <w:p w:rsidR="00093783" w:rsidRDefault="00093783" w:rsidP="00F66DE7">
      <w:r>
        <w:t xml:space="preserve">In contrast to the </w:t>
      </w:r>
      <w:proofErr w:type="spellStart"/>
      <w:r>
        <w:t>Kelo</w:t>
      </w:r>
      <w:proofErr w:type="spellEnd"/>
      <w:r>
        <w:t xml:space="preserve"> case</w:t>
      </w:r>
      <w:r w:rsidR="00F66DE7">
        <w:t xml:space="preserve">, within Australia the same rationale of economic development met with the opposite outcome. This outcome resulted from statutory safeguards in the Local Government Act, which prohibits the acquisition of land and subsequent on-sale of that land to a developer without consent of the land owner. Despite </w:t>
      </w:r>
      <w:r w:rsidR="00F66DE7">
        <w:lastRenderedPageBreak/>
        <w:t xml:space="preserve">these provisions within the Act, Parramatta City Council proceeded to acquire land in which the matter was appealed twice, first by Parramatta Council and then by the dispossessed </w:t>
      </w:r>
      <w:r w:rsidR="00AD5ED1">
        <w:t xml:space="preserve">party </w:t>
      </w:r>
      <w:r w:rsidR="00F66DE7">
        <w:t>to the High Court of Australia, which found in favour of the dispossessed. In opposing acquisition for economic development, a précis of the case follows:</w:t>
      </w:r>
    </w:p>
    <w:p w:rsidR="0084583E" w:rsidRDefault="0084583E" w:rsidP="004B4153">
      <w:pPr>
        <w:pStyle w:val="Heading4"/>
        <w:spacing w:before="0" w:line="240" w:lineRule="auto"/>
        <w:rPr>
          <w:rFonts w:ascii="Times New Roman" w:eastAsia="Times New Roman" w:hAnsi="Times New Roman" w:cs="Times New Roman"/>
          <w:i w:val="0"/>
          <w:color w:val="000000" w:themeColor="text1"/>
          <w:sz w:val="22"/>
        </w:rPr>
      </w:pPr>
    </w:p>
    <w:p w:rsidR="004B4153" w:rsidRPr="00DC6257" w:rsidRDefault="00986201" w:rsidP="004B4153">
      <w:pPr>
        <w:pStyle w:val="Heading4"/>
        <w:spacing w:before="0" w:line="240" w:lineRule="auto"/>
        <w:rPr>
          <w:rFonts w:ascii="Times New Roman" w:eastAsia="Times New Roman" w:hAnsi="Times New Roman" w:cs="Times New Roman"/>
          <w:i w:val="0"/>
          <w:color w:val="000000" w:themeColor="text1"/>
          <w:sz w:val="22"/>
        </w:rPr>
      </w:pPr>
      <w:r w:rsidRPr="00DC6257">
        <w:rPr>
          <w:rFonts w:ascii="Times New Roman" w:eastAsia="Times New Roman" w:hAnsi="Times New Roman" w:cs="Times New Roman"/>
          <w:i w:val="0"/>
          <w:color w:val="000000" w:themeColor="text1"/>
          <w:sz w:val="22"/>
        </w:rPr>
        <w:t xml:space="preserve">Australia – R&amp;R </w:t>
      </w:r>
      <w:proofErr w:type="spellStart"/>
      <w:r w:rsidRPr="00DC6257">
        <w:rPr>
          <w:rFonts w:ascii="Times New Roman" w:eastAsia="Times New Roman" w:hAnsi="Times New Roman" w:cs="Times New Roman"/>
          <w:i w:val="0"/>
          <w:color w:val="000000" w:themeColor="text1"/>
          <w:sz w:val="22"/>
        </w:rPr>
        <w:t>Fazzolari</w:t>
      </w:r>
      <w:proofErr w:type="spellEnd"/>
      <w:r w:rsidRPr="00DC6257">
        <w:rPr>
          <w:rFonts w:ascii="Times New Roman" w:eastAsia="Times New Roman" w:hAnsi="Times New Roman" w:cs="Times New Roman"/>
          <w:i w:val="0"/>
          <w:color w:val="000000" w:themeColor="text1"/>
          <w:sz w:val="22"/>
        </w:rPr>
        <w:t xml:space="preserve"> Pty Ltd v Parramatta City Council;</w:t>
      </w:r>
      <w:r w:rsidR="004B4153" w:rsidRPr="00DC6257">
        <w:rPr>
          <w:rFonts w:ascii="Times New Roman" w:eastAsia="Times New Roman" w:hAnsi="Times New Roman" w:cs="Times New Roman"/>
          <w:i w:val="0"/>
          <w:color w:val="000000" w:themeColor="text1"/>
          <w:sz w:val="22"/>
        </w:rPr>
        <w:t xml:space="preserve"> &amp;</w:t>
      </w:r>
      <w:r w:rsidRPr="00DC6257">
        <w:rPr>
          <w:rFonts w:ascii="Times New Roman" w:eastAsia="Times New Roman" w:hAnsi="Times New Roman" w:cs="Times New Roman"/>
          <w:i w:val="0"/>
          <w:color w:val="000000" w:themeColor="text1"/>
          <w:sz w:val="22"/>
        </w:rPr>
        <w:t xml:space="preserve"> </w:t>
      </w:r>
    </w:p>
    <w:p w:rsidR="00986201" w:rsidRPr="00DC6257" w:rsidRDefault="004B4153" w:rsidP="004B4153">
      <w:pPr>
        <w:pStyle w:val="Heading4"/>
        <w:spacing w:before="0" w:line="240" w:lineRule="auto"/>
        <w:ind w:left="720"/>
        <w:rPr>
          <w:rFonts w:ascii="Times New Roman" w:eastAsia="Times New Roman" w:hAnsi="Times New Roman" w:cs="Times New Roman"/>
          <w:i w:val="0"/>
          <w:color w:val="000000" w:themeColor="text1"/>
          <w:sz w:val="22"/>
        </w:rPr>
      </w:pPr>
      <w:r w:rsidRPr="00DC6257">
        <w:rPr>
          <w:rFonts w:ascii="Times New Roman" w:eastAsia="Times New Roman" w:hAnsi="Times New Roman" w:cs="Times New Roman"/>
          <w:i w:val="0"/>
          <w:color w:val="000000" w:themeColor="text1"/>
          <w:sz w:val="22"/>
        </w:rPr>
        <w:t xml:space="preserve">      </w:t>
      </w:r>
      <w:r w:rsidR="00DC6257">
        <w:rPr>
          <w:rFonts w:ascii="Times New Roman" w:eastAsia="Times New Roman" w:hAnsi="Times New Roman" w:cs="Times New Roman"/>
          <w:i w:val="0"/>
          <w:color w:val="000000" w:themeColor="text1"/>
          <w:sz w:val="22"/>
        </w:rPr>
        <w:t xml:space="preserve"> </w:t>
      </w:r>
      <w:r w:rsidR="00986201" w:rsidRPr="00DC6257">
        <w:rPr>
          <w:rFonts w:ascii="Times New Roman" w:eastAsia="Times New Roman" w:hAnsi="Times New Roman" w:cs="Times New Roman"/>
          <w:i w:val="0"/>
          <w:color w:val="000000" w:themeColor="text1"/>
          <w:sz w:val="22"/>
        </w:rPr>
        <w:t>Mac’s Pty Limited v Parramatta City Council [2009] HCA 12</w:t>
      </w:r>
    </w:p>
    <w:p w:rsidR="00986201" w:rsidRPr="00B029BC" w:rsidRDefault="00986201" w:rsidP="00986201">
      <w:pPr>
        <w:pStyle w:val="Heading4"/>
        <w:rPr>
          <w:rFonts w:ascii="Times New Roman" w:eastAsia="Times New Roman" w:hAnsi="Times New Roman" w:cs="Times New Roman"/>
          <w:i w:val="0"/>
          <w:color w:val="000000" w:themeColor="text1"/>
        </w:rPr>
      </w:pPr>
      <w:r w:rsidRPr="00B029BC">
        <w:rPr>
          <w:rFonts w:ascii="Times New Roman" w:eastAsia="Times New Roman" w:hAnsi="Times New Roman" w:cs="Times New Roman"/>
          <w:i w:val="0"/>
          <w:color w:val="000000" w:themeColor="text1"/>
        </w:rPr>
        <w:t>Summary of facts</w:t>
      </w:r>
    </w:p>
    <w:p w:rsidR="00986201" w:rsidRDefault="00986201" w:rsidP="00B029BC">
      <w:r>
        <w:t>In 2007 the Council sent proposed acquisition notices to the owners of the land located in the town centre of Parramatta</w:t>
      </w:r>
      <w:r w:rsidR="00D647E2">
        <w:t xml:space="preserve">, </w:t>
      </w:r>
      <w:r w:rsidR="00AD5ED1">
        <w:t xml:space="preserve">of </w:t>
      </w:r>
      <w:r w:rsidR="00D647E2">
        <w:t xml:space="preserve">which </w:t>
      </w:r>
      <w:r w:rsidR="00AD5ED1">
        <w:t>the dispossessed owned a number of retail shops</w:t>
      </w:r>
      <w:r w:rsidR="00D647E2">
        <w:t xml:space="preserve">. </w:t>
      </w:r>
      <w:r>
        <w:t>The land was required as part of a redevelopment referred to as ‘Civic Place</w:t>
      </w:r>
      <w:r w:rsidR="00D647E2">
        <w:t>.</w:t>
      </w:r>
      <w:r>
        <w:t xml:space="preserve">’ The redevelopment was to be carried out under a Private Public Partnership (PPP). “Under that agreement the council would transfer certain of the acquired land to </w:t>
      </w:r>
      <w:proofErr w:type="spellStart"/>
      <w:r>
        <w:t>Grocon</w:t>
      </w:r>
      <w:proofErr w:type="spellEnd"/>
      <w:r>
        <w:t xml:space="preserve"> and receive substantial financial payments and other consideration from </w:t>
      </w:r>
      <w:proofErr w:type="spellStart"/>
      <w:r>
        <w:t>Grocon</w:t>
      </w:r>
      <w:proofErr w:type="spellEnd"/>
      <w:r>
        <w:t xml:space="preserve">.” In the first instance the Land and Environment Court ruled that the proposed acquisition was unlawful on the grounds that the purpose of the acquisition was the re-sale by council to the developer. Council appealed the matter to the </w:t>
      </w:r>
      <w:r w:rsidR="00AD5ED1">
        <w:t xml:space="preserve">New South Wales </w:t>
      </w:r>
      <w:r>
        <w:t>Court of Appeal, which unanimously set aside the declarations made the lower court. In conclusion, the High Court of Australia found that the primary purpose of the acquisition was for re-sale and reinstated the decision of the Land &amp; Environment Court NSW finding that the proposed acquisition was unlawful.</w:t>
      </w:r>
    </w:p>
    <w:p w:rsidR="00986201" w:rsidRPr="00B029BC" w:rsidRDefault="00986201" w:rsidP="00986201">
      <w:pPr>
        <w:pStyle w:val="Heading4"/>
        <w:rPr>
          <w:rFonts w:ascii="Times New Roman" w:eastAsia="Times New Roman" w:hAnsi="Times New Roman" w:cs="Times New Roman"/>
          <w:i w:val="0"/>
          <w:color w:val="000000" w:themeColor="text1"/>
        </w:rPr>
      </w:pPr>
      <w:r w:rsidRPr="00B029BC">
        <w:rPr>
          <w:rFonts w:ascii="Times New Roman" w:eastAsia="Times New Roman" w:hAnsi="Times New Roman" w:cs="Times New Roman"/>
          <w:i w:val="0"/>
          <w:color w:val="000000" w:themeColor="text1"/>
        </w:rPr>
        <w:t xml:space="preserve">Justification and dissention for compulsory purchase </w:t>
      </w:r>
      <w:r w:rsidR="00B029BC">
        <w:rPr>
          <w:rFonts w:ascii="Times New Roman" w:eastAsia="Times New Roman" w:hAnsi="Times New Roman" w:cs="Times New Roman"/>
          <w:i w:val="0"/>
          <w:color w:val="000000" w:themeColor="text1"/>
        </w:rPr>
        <w:t>and</w:t>
      </w:r>
      <w:r w:rsidRPr="00B029BC">
        <w:rPr>
          <w:rFonts w:ascii="Times New Roman" w:eastAsia="Times New Roman" w:hAnsi="Times New Roman" w:cs="Times New Roman"/>
          <w:i w:val="0"/>
          <w:color w:val="000000" w:themeColor="text1"/>
        </w:rPr>
        <w:t xml:space="preserve"> ruling</w:t>
      </w:r>
    </w:p>
    <w:p w:rsidR="00986201" w:rsidRPr="000A7372" w:rsidRDefault="00986201" w:rsidP="00986201">
      <w:pPr>
        <w:rPr>
          <w:rFonts w:eastAsia="Calibri" w:cs="Times New Roman"/>
        </w:rPr>
      </w:pPr>
      <w:r w:rsidRPr="000A7372">
        <w:rPr>
          <w:rFonts w:eastAsia="Calibri" w:cs="Times New Roman"/>
        </w:rPr>
        <w:t>The High Court have considered in detail the agreement between Council and the developer and found that the primary purpose of the taking was for the on-sale of the land to a developer.</w:t>
      </w:r>
    </w:p>
    <w:p w:rsidR="00986201" w:rsidRPr="00B62B4F" w:rsidRDefault="00986201" w:rsidP="00B029BC">
      <w:r w:rsidRPr="00B62B4F">
        <w:t>Local Government Act Section 188</w:t>
      </w:r>
      <w:r w:rsidR="00571B16">
        <w:t xml:space="preserve"> states:</w:t>
      </w:r>
    </w:p>
    <w:p w:rsidR="0093287B" w:rsidRPr="0093287B" w:rsidRDefault="0093287B" w:rsidP="0093287B">
      <w:pPr>
        <w:spacing w:after="100" w:line="240" w:lineRule="auto"/>
        <w:ind w:left="720"/>
        <w:jc w:val="left"/>
        <w:rPr>
          <w:rFonts w:eastAsia="Times New Roman" w:cs="Times New Roman"/>
          <w:color w:val="000000"/>
          <w:szCs w:val="20"/>
          <w:lang w:eastAsia="en-AU"/>
        </w:rPr>
      </w:pPr>
      <w:r w:rsidRPr="0093287B">
        <w:rPr>
          <w:rFonts w:eastAsia="Times New Roman" w:cs="Times New Roman"/>
          <w:color w:val="000000"/>
          <w:szCs w:val="20"/>
          <w:lang w:eastAsia="en-AU"/>
        </w:rPr>
        <w:t>(1) A council may not acquire land under this Part by compulsory process without the approval of the owner of the land if it is being acquired for the purpose of re-sale.</w:t>
      </w:r>
    </w:p>
    <w:p w:rsidR="0093287B" w:rsidRPr="0093287B" w:rsidRDefault="0093287B" w:rsidP="0093287B">
      <w:pPr>
        <w:spacing w:after="0" w:line="240" w:lineRule="auto"/>
        <w:ind w:firstLine="720"/>
        <w:jc w:val="left"/>
        <w:rPr>
          <w:rFonts w:eastAsia="Times New Roman" w:cs="Times New Roman"/>
          <w:color w:val="000000"/>
          <w:szCs w:val="20"/>
          <w:lang w:eastAsia="en-AU"/>
        </w:rPr>
      </w:pPr>
      <w:r w:rsidRPr="0093287B">
        <w:rPr>
          <w:rFonts w:eastAsia="Times New Roman" w:cs="Times New Roman"/>
          <w:color w:val="000000"/>
          <w:szCs w:val="20"/>
          <w:lang w:eastAsia="en-AU"/>
        </w:rPr>
        <w:t>(2) However, the owner’s approval is not required if:</w:t>
      </w:r>
    </w:p>
    <w:p w:rsidR="0093287B" w:rsidRPr="0093287B" w:rsidRDefault="0093287B" w:rsidP="0093287B">
      <w:pPr>
        <w:spacing w:after="0" w:line="240" w:lineRule="auto"/>
        <w:ind w:left="1440"/>
        <w:jc w:val="left"/>
        <w:rPr>
          <w:rFonts w:eastAsia="Times New Roman" w:cs="Times New Roman"/>
          <w:color w:val="000000"/>
          <w:szCs w:val="20"/>
          <w:lang w:eastAsia="en-AU"/>
        </w:rPr>
      </w:pPr>
      <w:r w:rsidRPr="0093287B">
        <w:rPr>
          <w:rFonts w:eastAsia="Times New Roman" w:cs="Times New Roman"/>
          <w:color w:val="000000"/>
          <w:szCs w:val="20"/>
          <w:lang w:eastAsia="en-AU"/>
        </w:rPr>
        <w:t>(a) the land forms part of, or adjoins or lies in the vicinity of, other land acquired at the same time under this Part for a purpose other than the purpose of re-sale, or</w:t>
      </w:r>
    </w:p>
    <w:p w:rsidR="0093287B" w:rsidRPr="0093287B" w:rsidRDefault="0093287B" w:rsidP="0093287B">
      <w:pPr>
        <w:spacing w:after="240" w:line="240" w:lineRule="auto"/>
        <w:ind w:left="1440"/>
        <w:jc w:val="left"/>
        <w:rPr>
          <w:rFonts w:eastAsia="Times New Roman" w:cs="Times New Roman"/>
          <w:color w:val="000000"/>
          <w:szCs w:val="20"/>
          <w:lang w:eastAsia="en-AU"/>
        </w:rPr>
      </w:pPr>
      <w:r w:rsidRPr="0093287B">
        <w:rPr>
          <w:rFonts w:eastAsia="Times New Roman" w:cs="Times New Roman"/>
          <w:color w:val="000000"/>
          <w:szCs w:val="20"/>
          <w:lang w:eastAsia="en-AU"/>
        </w:rPr>
        <w:t xml:space="preserve">(b) </w:t>
      </w:r>
      <w:proofErr w:type="gramStart"/>
      <w:r w:rsidRPr="0093287B">
        <w:rPr>
          <w:rFonts w:eastAsia="Times New Roman" w:cs="Times New Roman"/>
          <w:color w:val="000000"/>
          <w:szCs w:val="20"/>
          <w:lang w:eastAsia="en-AU"/>
        </w:rPr>
        <w:t>the</w:t>
      </w:r>
      <w:proofErr w:type="gramEnd"/>
      <w:r w:rsidRPr="0093287B">
        <w:rPr>
          <w:rFonts w:eastAsia="Times New Roman" w:cs="Times New Roman"/>
          <w:color w:val="000000"/>
          <w:szCs w:val="20"/>
          <w:lang w:eastAsia="en-AU"/>
        </w:rPr>
        <w:t xml:space="preserve"> owner of the land cannot be identified after diligent inquiry has been made and at least 6 months has elapsed since that inquiry was made.</w:t>
      </w:r>
    </w:p>
    <w:p w:rsidR="00986201" w:rsidRDefault="00986201" w:rsidP="00B029BC">
      <w:r>
        <w:t xml:space="preserve">In response to this sub-section of the Local Government Act, the High Court confirmed the position of the primary judge that this sub-section did not apply, as the adjoining land acquired by council was itself acquired for the purposes </w:t>
      </w:r>
      <w:r w:rsidR="00D647E2">
        <w:t xml:space="preserve">of </w:t>
      </w:r>
      <w:r>
        <w:t>re-sale, which was acquired in November 2004 and December 2006.</w:t>
      </w:r>
      <w:r w:rsidR="00E63533">
        <w:t xml:space="preserve"> </w:t>
      </w:r>
      <w:r>
        <w:t>The High Court ordered that each appeal to the court should be allowed with costs. Further, cost should also be awarded in favour of the appellants for the courts below the High Court</w:t>
      </w:r>
      <w:r w:rsidR="002D7F0B">
        <w:t>,</w:t>
      </w:r>
      <w:r>
        <w:t xml:space="preserve"> NSW Court of Appeal and NSW Land &amp; Environment Court.</w:t>
      </w:r>
    </w:p>
    <w:p w:rsidR="00F05DDC" w:rsidRDefault="00B62B4F" w:rsidP="00F05DDC">
      <w:r>
        <w:t>In contrasting the traditional and non-traditional public purposes for which lan</w:t>
      </w:r>
      <w:r w:rsidR="00AD5ED1">
        <w:t>d may be acquired, it is probable</w:t>
      </w:r>
      <w:r>
        <w:t xml:space="preserve"> that </w:t>
      </w:r>
      <w:r w:rsidR="004D6CAF">
        <w:t xml:space="preserve">the </w:t>
      </w:r>
      <w:r>
        <w:t xml:space="preserve">acquisition for traditional public purposes </w:t>
      </w:r>
      <w:r w:rsidR="00AD5ED1">
        <w:t>are</w:t>
      </w:r>
      <w:r w:rsidR="004D6CAF">
        <w:t xml:space="preserve"> less likely to be met with the same level of resistance as non-traditiona</w:t>
      </w:r>
      <w:r w:rsidR="00AD5ED1">
        <w:t xml:space="preserve">l purposes. Overriding the potential outcomes resulting from both traditional and non-traditional public purposes is the principle of equivalence, which goes well beyond the monetary equivalence of the value property </w:t>
      </w:r>
      <w:r w:rsidR="00F05DDC">
        <w:t xml:space="preserve">of the </w:t>
      </w:r>
      <w:r w:rsidR="00AD5ED1">
        <w:t>dispossessed.</w:t>
      </w:r>
      <w:r w:rsidR="00F05DDC">
        <w:t xml:space="preserve"> </w:t>
      </w:r>
    </w:p>
    <w:p w:rsidR="0084583E" w:rsidRDefault="0084583E" w:rsidP="00E36064">
      <w:pPr>
        <w:spacing w:after="120" w:line="240" w:lineRule="auto"/>
        <w:rPr>
          <w:rFonts w:cs="Times New Roman"/>
          <w:b/>
          <w:sz w:val="24"/>
          <w:szCs w:val="24"/>
        </w:rPr>
      </w:pPr>
    </w:p>
    <w:p w:rsidR="00FD24D5" w:rsidRPr="00DC6257" w:rsidRDefault="00DC6257" w:rsidP="00E36064">
      <w:pPr>
        <w:spacing w:after="120" w:line="240" w:lineRule="auto"/>
        <w:rPr>
          <w:rFonts w:cs="Times New Roman"/>
          <w:b/>
          <w:sz w:val="24"/>
          <w:szCs w:val="24"/>
        </w:rPr>
      </w:pPr>
      <w:r>
        <w:rPr>
          <w:rFonts w:cs="Times New Roman"/>
          <w:b/>
          <w:sz w:val="24"/>
          <w:szCs w:val="24"/>
        </w:rPr>
        <w:t>A PARITY COMPENSATION FRAMEWORK</w:t>
      </w:r>
    </w:p>
    <w:p w:rsidR="00461DED" w:rsidRDefault="00461DED" w:rsidP="00B029BC">
      <w:r>
        <w:t xml:space="preserve">In addition to the market value </w:t>
      </w:r>
      <w:r w:rsidR="00F05DDC">
        <w:t>of</w:t>
      </w:r>
      <w:r>
        <w:t xml:space="preserve"> land compulsorily acquired</w:t>
      </w:r>
      <w:r w:rsidR="0080319C">
        <w:t>,</w:t>
      </w:r>
      <w:r>
        <w:t xml:space="preserve"> heads of compensation </w:t>
      </w:r>
      <w:r w:rsidR="0080319C">
        <w:t>exist which attempt to account for non-financial loss resulting from the taking of land (</w:t>
      </w:r>
      <w:proofErr w:type="spellStart"/>
      <w:r w:rsidR="0080319C">
        <w:t>Solatium</w:t>
      </w:r>
      <w:proofErr w:type="spellEnd"/>
      <w:r w:rsidR="0080319C">
        <w:t xml:space="preserve">) and for relocation expenses reasonably incurred in placing the dispossessed party in the same position they were in prior to the acquisition </w:t>
      </w:r>
      <w:r w:rsidR="0080319C">
        <w:lastRenderedPageBreak/>
        <w:t xml:space="preserve">(Disturbance). These heads of compensation demonstrate that compensation beyond market value of the acquired land taken must be made and </w:t>
      </w:r>
      <w:r w:rsidR="00F05DDC">
        <w:t>is</w:t>
      </w:r>
      <w:r w:rsidR="0080319C">
        <w:t xml:space="preserve"> founded on the premise that the willing buyer willing seller principle solely relates to the market value component in acquisition cases.</w:t>
      </w:r>
    </w:p>
    <w:p w:rsidR="00F05DDC" w:rsidRDefault="0080319C" w:rsidP="00B029BC">
      <w:r>
        <w:t xml:space="preserve">In drafting for reform, consideration is made on two bases, the first </w:t>
      </w:r>
      <w:r w:rsidR="00592B39">
        <w:t>being the review of existing and emerging reforms in Australia, and secondly through the lens of a more radical approach which challenges some of the conventions which underpin the current principles of compensation.</w:t>
      </w:r>
      <w:r w:rsidR="00F05DDC">
        <w:t xml:space="preserve"> Of importance in the acquisition process is the option for the dispossessed to be reinstated where feasibly possible. While not possible in each circumstance, equivalence must also extend to rehousing the dispossessed with an interest in fee simple. In the case of investment property, this may also extend to include similar premises within the proposed development, where the acquisition is undertaken for economic development.</w:t>
      </w:r>
    </w:p>
    <w:p w:rsidR="00F05DDC" w:rsidRDefault="00F05DDC" w:rsidP="00B029BC">
      <w:r>
        <w:t xml:space="preserve">In building a framework to achieve such reform, both evolving provisions for </w:t>
      </w:r>
      <w:proofErr w:type="spellStart"/>
      <w:r>
        <w:t>solatium</w:t>
      </w:r>
      <w:proofErr w:type="spellEnd"/>
      <w:r>
        <w:t xml:space="preserve"> and disturbance are considered, as well as more radical reforms which </w:t>
      </w:r>
      <w:r w:rsidR="000913EC">
        <w:t>address sharing in the uplift in value for non-traditional public purposes in which land is more intensely developed for economic development.</w:t>
      </w:r>
    </w:p>
    <w:p w:rsidR="0084583E" w:rsidRDefault="0084583E" w:rsidP="00296389">
      <w:pPr>
        <w:tabs>
          <w:tab w:val="left" w:pos="3899"/>
        </w:tabs>
        <w:spacing w:after="0" w:line="240" w:lineRule="auto"/>
        <w:rPr>
          <w:b/>
          <w:sz w:val="22"/>
        </w:rPr>
      </w:pPr>
    </w:p>
    <w:p w:rsidR="00461C16" w:rsidRPr="00DC6257" w:rsidRDefault="002969C1" w:rsidP="00296389">
      <w:pPr>
        <w:tabs>
          <w:tab w:val="left" w:pos="3899"/>
        </w:tabs>
        <w:spacing w:after="0" w:line="240" w:lineRule="auto"/>
        <w:rPr>
          <w:b/>
          <w:sz w:val="22"/>
        </w:rPr>
      </w:pPr>
      <w:r>
        <w:rPr>
          <w:b/>
          <w:sz w:val="22"/>
        </w:rPr>
        <w:t>Reforming</w:t>
      </w:r>
      <w:r w:rsidR="00F67361" w:rsidRPr="00DC6257">
        <w:rPr>
          <w:b/>
          <w:sz w:val="22"/>
        </w:rPr>
        <w:t xml:space="preserve"> compensation </w:t>
      </w:r>
      <w:r>
        <w:rPr>
          <w:b/>
          <w:sz w:val="22"/>
        </w:rPr>
        <w:t>principles</w:t>
      </w:r>
    </w:p>
    <w:p w:rsidR="002329A3" w:rsidRPr="00DC6257" w:rsidRDefault="00461C16" w:rsidP="00296389">
      <w:pPr>
        <w:spacing w:after="0" w:line="240" w:lineRule="auto"/>
        <w:rPr>
          <w:sz w:val="22"/>
        </w:rPr>
      </w:pPr>
      <w:r w:rsidRPr="00DC6257">
        <w:rPr>
          <w:b/>
          <w:sz w:val="22"/>
        </w:rPr>
        <w:t xml:space="preserve">Proposed </w:t>
      </w:r>
      <w:r w:rsidR="00F67361" w:rsidRPr="00DC6257">
        <w:rPr>
          <w:b/>
          <w:sz w:val="22"/>
        </w:rPr>
        <w:t>profit share</w:t>
      </w:r>
      <w:r w:rsidRPr="00DC6257">
        <w:rPr>
          <w:b/>
          <w:sz w:val="22"/>
        </w:rPr>
        <w:t xml:space="preserve"> framework</w:t>
      </w:r>
    </w:p>
    <w:p w:rsidR="00FD24D5" w:rsidRDefault="00F67361" w:rsidP="00E63533">
      <w:r>
        <w:t xml:space="preserve">In contrast to </w:t>
      </w:r>
      <w:proofErr w:type="spellStart"/>
      <w:r>
        <w:t>solatium</w:t>
      </w:r>
      <w:proofErr w:type="spellEnd"/>
      <w:r>
        <w:t xml:space="preserve"> and disturbance, </w:t>
      </w:r>
      <w:r w:rsidR="00FD24D5">
        <w:t xml:space="preserve">Epstein </w:t>
      </w:r>
      <w:r w:rsidR="00362507">
        <w:t xml:space="preserve">(1985) </w:t>
      </w:r>
      <w:r>
        <w:t xml:space="preserve">proposes a sharing model in which any uplift in value is shared between the dispossessed and acquiring authority/developer. This </w:t>
      </w:r>
      <w:r w:rsidR="00FD24D5">
        <w:t xml:space="preserve">model </w:t>
      </w:r>
      <w:r w:rsidR="002B7CAE">
        <w:t xml:space="preserve">adopts the proposal of </w:t>
      </w:r>
      <w:r w:rsidR="00FD24D5">
        <w:t xml:space="preserve">a low public interest </w:t>
      </w:r>
      <w:r w:rsidR="002B7CAE">
        <w:t xml:space="preserve">project </w:t>
      </w:r>
      <w:r w:rsidR="00FD24D5">
        <w:t>would results in a higher profit share and higher public interest results in a low or no profit share. The primary question is how would the degree of public interest be determined and what percentage would be provided to a dispo</w:t>
      </w:r>
      <w:r w:rsidR="002B7CAE">
        <w:t>ssessed along the variant scale of such determinations</w:t>
      </w:r>
    </w:p>
    <w:p w:rsidR="00FD24D5" w:rsidRPr="00362507" w:rsidRDefault="00FD24D5" w:rsidP="00E63533">
      <w:pPr>
        <w:rPr>
          <w:rFonts w:cs="Times New Roman"/>
        </w:rPr>
      </w:pPr>
      <w:r w:rsidRPr="00362507">
        <w:rPr>
          <w:rFonts w:cs="Times New Roman"/>
        </w:rPr>
        <w:t xml:space="preserve">In questioning the principle of the Epstein Model, Mills </w:t>
      </w:r>
      <w:r w:rsidRPr="00362507">
        <w:rPr>
          <w:rFonts w:eastAsia="Calibri" w:cs="Times New Roman"/>
        </w:rPr>
        <w:t xml:space="preserve">cited in Hollander (2000) discusses </w:t>
      </w:r>
      <w:r w:rsidRPr="00362507">
        <w:rPr>
          <w:rFonts w:cs="Times New Roman"/>
        </w:rPr>
        <w:t>the defensible argument of u</w:t>
      </w:r>
      <w:r w:rsidRPr="00362507">
        <w:rPr>
          <w:rFonts w:eastAsia="Calibri" w:cs="Times New Roman"/>
        </w:rPr>
        <w:t>tilitarianism</w:t>
      </w:r>
      <w:r w:rsidRPr="00362507">
        <w:rPr>
          <w:rFonts w:cs="Times New Roman"/>
        </w:rPr>
        <w:t xml:space="preserve"> being</w:t>
      </w:r>
      <w:r w:rsidRPr="00362507">
        <w:rPr>
          <w:rFonts w:eastAsia="Calibri" w:cs="Times New Roman"/>
        </w:rPr>
        <w:t xml:space="preserve"> an action which supports the greatest good for the greatest number of people. </w:t>
      </w:r>
      <w:proofErr w:type="spellStart"/>
      <w:r w:rsidR="00362507" w:rsidRPr="00362507">
        <w:rPr>
          <w:rFonts w:eastAsia="Calibri" w:cs="Times New Roman"/>
        </w:rPr>
        <w:t>Kalbro</w:t>
      </w:r>
      <w:proofErr w:type="spellEnd"/>
      <w:r w:rsidR="00362507" w:rsidRPr="00362507">
        <w:rPr>
          <w:rFonts w:eastAsia="Calibri" w:cs="Times New Roman"/>
        </w:rPr>
        <w:t xml:space="preserve"> </w:t>
      </w:r>
      <w:r w:rsidR="00DD2565">
        <w:rPr>
          <w:rFonts w:eastAsia="Calibri" w:cs="Times New Roman"/>
        </w:rPr>
        <w:t xml:space="preserve">and </w:t>
      </w:r>
      <w:proofErr w:type="spellStart"/>
      <w:r w:rsidR="00DD2565">
        <w:rPr>
          <w:rFonts w:eastAsia="Calibri" w:cs="Times New Roman"/>
        </w:rPr>
        <w:t>Sjodin</w:t>
      </w:r>
      <w:proofErr w:type="spellEnd"/>
      <w:r w:rsidR="00DD2565">
        <w:rPr>
          <w:rFonts w:eastAsia="Calibri" w:cs="Times New Roman"/>
        </w:rPr>
        <w:t xml:space="preserve"> (1993) redefine utilitarianism by including the dispossessed party in the uplift in value in non-traditional public purpose acquisitions</w:t>
      </w:r>
      <w:r w:rsidR="00362507">
        <w:rPr>
          <w:rFonts w:eastAsia="Calibri" w:cs="Times New Roman"/>
        </w:rPr>
        <w:t xml:space="preserve"> by split</w:t>
      </w:r>
      <w:r w:rsidR="00DD2565">
        <w:rPr>
          <w:rFonts w:eastAsia="Calibri" w:cs="Times New Roman"/>
        </w:rPr>
        <w:t>ting</w:t>
      </w:r>
      <w:r w:rsidR="00362507">
        <w:rPr>
          <w:rFonts w:eastAsia="Calibri" w:cs="Times New Roman"/>
        </w:rPr>
        <w:t xml:space="preserve"> in the uplift in value which is shared between the stakeholders to the acquisition as shown in Figure </w:t>
      </w:r>
      <w:r w:rsidR="0086315E">
        <w:rPr>
          <w:rFonts w:eastAsia="Calibri" w:cs="Times New Roman"/>
        </w:rPr>
        <w:t>1</w:t>
      </w:r>
      <w:r w:rsidR="00362507">
        <w:rPr>
          <w:rFonts w:eastAsia="Calibri" w:cs="Times New Roman"/>
        </w:rPr>
        <w:t xml:space="preserve">. This </w:t>
      </w:r>
      <w:r w:rsidR="0086315E">
        <w:rPr>
          <w:rFonts w:eastAsia="Calibri" w:cs="Times New Roman"/>
        </w:rPr>
        <w:t xml:space="preserve">concept </w:t>
      </w:r>
      <w:r w:rsidR="00362507">
        <w:rPr>
          <w:rFonts w:eastAsia="Calibri" w:cs="Times New Roman"/>
        </w:rPr>
        <w:t xml:space="preserve">challenges the Raja Principle which </w:t>
      </w:r>
      <w:r w:rsidR="00DD2565">
        <w:rPr>
          <w:rFonts w:eastAsia="Calibri" w:cs="Times New Roman"/>
        </w:rPr>
        <w:t>limits</w:t>
      </w:r>
      <w:r w:rsidR="00362507">
        <w:rPr>
          <w:rFonts w:eastAsia="Calibri" w:cs="Times New Roman"/>
        </w:rPr>
        <w:t xml:space="preserve"> the value of the property to the dispossessed and not the acquiring authority. This principle predominantly worked well in acquisitions </w:t>
      </w:r>
      <w:r w:rsidR="00DD2565">
        <w:rPr>
          <w:rFonts w:eastAsia="Calibri" w:cs="Times New Roman"/>
        </w:rPr>
        <w:t>cases for traditional public purposes, where the uplift in value was not easily defined monetarily and often morphed towards a perception of ransom value in hold-outs.</w:t>
      </w:r>
    </w:p>
    <w:p w:rsidR="00F67361" w:rsidRPr="00B029BC" w:rsidRDefault="00B029BC" w:rsidP="002B7CAE">
      <w:pPr>
        <w:pStyle w:val="NoSpacing"/>
        <w:ind w:left="720" w:firstLine="720"/>
        <w:rPr>
          <w:rFonts w:ascii="Times New Roman" w:hAnsi="Times New Roman"/>
          <w:b/>
          <w:sz w:val="20"/>
          <w:szCs w:val="20"/>
        </w:rPr>
      </w:pPr>
      <w:r>
        <w:rPr>
          <w:b/>
        </w:rPr>
        <w:t xml:space="preserve">            </w:t>
      </w:r>
      <w:r w:rsidR="00F67361" w:rsidRPr="00B029BC">
        <w:rPr>
          <w:rFonts w:ascii="Times New Roman" w:hAnsi="Times New Roman"/>
          <w:b/>
          <w:sz w:val="20"/>
          <w:szCs w:val="20"/>
        </w:rPr>
        <w:t xml:space="preserve">Figure: </w:t>
      </w:r>
      <w:r w:rsidR="0086315E">
        <w:rPr>
          <w:rFonts w:ascii="Times New Roman" w:hAnsi="Times New Roman"/>
          <w:b/>
          <w:sz w:val="20"/>
          <w:szCs w:val="20"/>
        </w:rPr>
        <w:t>1</w:t>
      </w:r>
      <w:r w:rsidR="00F67361" w:rsidRPr="00B029BC">
        <w:rPr>
          <w:rFonts w:ascii="Times New Roman" w:hAnsi="Times New Roman"/>
          <w:b/>
          <w:sz w:val="20"/>
          <w:szCs w:val="20"/>
        </w:rPr>
        <w:t xml:space="preserve"> Voluntary agreed price - buyer/seller profit</w:t>
      </w:r>
    </w:p>
    <w:p w:rsidR="00F67361" w:rsidRPr="008B2FD1" w:rsidRDefault="00E96BB9" w:rsidP="002B7CAE">
      <w:pPr>
        <w:pStyle w:val="NoSpacing"/>
        <w:jc w:val="center"/>
        <w:rPr>
          <w:b/>
        </w:rPr>
      </w:pPr>
      <w:r>
        <w:rPr>
          <w:b/>
          <w:noProof/>
          <w:lang w:val="en-AU" w:eastAsia="en-AU"/>
        </w:rPr>
        <mc:AlternateContent>
          <mc:Choice Requires="wpc">
            <w:drawing>
              <wp:inline distT="0" distB="0" distL="0" distR="0">
                <wp:extent cx="3094355" cy="2215515"/>
                <wp:effectExtent l="19050" t="19050" r="10795" b="1333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Text Box 41"/>
                        <wps:cNvSpPr txBox="1">
                          <a:spLocks noChangeArrowheads="1"/>
                        </wps:cNvSpPr>
                        <wps:spPr bwMode="auto">
                          <a:xfrm>
                            <a:off x="571477" y="457182"/>
                            <a:ext cx="617195" cy="1714616"/>
                          </a:xfrm>
                          <a:prstGeom prst="rect">
                            <a:avLst/>
                          </a:prstGeom>
                          <a:solidFill>
                            <a:srgbClr val="FFFFFF"/>
                          </a:solidFill>
                          <a:ln w="9525">
                            <a:solidFill>
                              <a:srgbClr val="000000"/>
                            </a:solidFill>
                            <a:miter lim="800000"/>
                            <a:headEnd/>
                            <a:tailEnd/>
                          </a:ln>
                        </wps:spPr>
                        <wps:txbx>
                          <w:txbxContent>
                            <w:p w:rsidR="002969C1" w:rsidRDefault="002969C1" w:rsidP="00F67361"/>
                            <w:p w:rsidR="002969C1" w:rsidRDefault="002969C1" w:rsidP="00F67361">
                              <w:pPr>
                                <w:spacing w:line="240" w:lineRule="auto"/>
                                <w:rPr>
                                  <w:szCs w:val="20"/>
                                </w:rPr>
                              </w:pPr>
                            </w:p>
                            <w:p w:rsidR="002969C1" w:rsidRPr="00BC411F" w:rsidRDefault="002969C1" w:rsidP="00F67361">
                              <w:pPr>
                                <w:spacing w:line="240" w:lineRule="auto"/>
                                <w:rPr>
                                  <w:rStyle w:val="Strong"/>
                                  <w:rFonts w:eastAsia="Calibri"/>
                                </w:rPr>
                              </w:pPr>
                              <w:r w:rsidRPr="00BC411F">
                                <w:rPr>
                                  <w:rStyle w:val="Strong"/>
                                  <w:rFonts w:eastAsia="Calibri"/>
                                </w:rPr>
                                <w:t xml:space="preserve">The </w:t>
                              </w:r>
                              <w:proofErr w:type="gramStart"/>
                              <w:r w:rsidRPr="00BC411F">
                                <w:rPr>
                                  <w:rStyle w:val="Strong"/>
                                  <w:rFonts w:eastAsia="Calibri"/>
                                </w:rPr>
                                <w:t>buyers</w:t>
                              </w:r>
                              <w:proofErr w:type="gramEnd"/>
                              <w:r w:rsidRPr="00BC411F">
                                <w:rPr>
                                  <w:rStyle w:val="Strong"/>
                                  <w:rFonts w:eastAsia="Calibri"/>
                                </w:rPr>
                                <w:t xml:space="preserve"> value</w:t>
                              </w:r>
                            </w:p>
                          </w:txbxContent>
                        </wps:txbx>
                        <wps:bodyPr rot="0" vert="horz" wrap="square" lIns="91440" tIns="45720" rIns="91440" bIns="45720" anchor="t" anchorCtr="0" upright="1">
                          <a:noAutofit/>
                        </wps:bodyPr>
                      </wps:wsp>
                      <wps:wsp>
                        <wps:cNvPr id="2" name="Line 42"/>
                        <wps:cNvCnPr/>
                        <wps:spPr bwMode="auto">
                          <a:xfrm>
                            <a:off x="342886" y="228961"/>
                            <a:ext cx="762" cy="1942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3"/>
                        <wps:cNvCnPr/>
                        <wps:spPr bwMode="auto">
                          <a:xfrm>
                            <a:off x="342886" y="2171797"/>
                            <a:ext cx="2580026"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44"/>
                        <wps:cNvSpPr txBox="1">
                          <a:spLocks noChangeArrowheads="1"/>
                        </wps:cNvSpPr>
                        <wps:spPr bwMode="auto">
                          <a:xfrm>
                            <a:off x="1485839" y="1600506"/>
                            <a:ext cx="571477" cy="571292"/>
                          </a:xfrm>
                          <a:prstGeom prst="rect">
                            <a:avLst/>
                          </a:prstGeom>
                          <a:solidFill>
                            <a:srgbClr val="FFFFFF"/>
                          </a:solidFill>
                          <a:ln w="9525">
                            <a:solidFill>
                              <a:srgbClr val="000000"/>
                            </a:solidFill>
                            <a:miter lim="800000"/>
                            <a:headEnd/>
                            <a:tailEnd/>
                          </a:ln>
                        </wps:spPr>
                        <wps:txbx>
                          <w:txbxContent>
                            <w:p w:rsidR="002969C1" w:rsidRPr="00372764" w:rsidRDefault="002969C1" w:rsidP="00F67361">
                              <w:pPr>
                                <w:spacing w:line="240" w:lineRule="auto"/>
                                <w:rPr>
                                  <w:szCs w:val="20"/>
                                </w:rPr>
                              </w:pPr>
                              <w:r>
                                <w:rPr>
                                  <w:szCs w:val="20"/>
                                </w:rPr>
                                <w:t xml:space="preserve">The </w:t>
                              </w:r>
                              <w:proofErr w:type="gramStart"/>
                              <w:r>
                                <w:rPr>
                                  <w:szCs w:val="20"/>
                                </w:rPr>
                                <w:t>seller</w:t>
                              </w:r>
                              <w:r w:rsidRPr="00372764">
                                <w:rPr>
                                  <w:szCs w:val="20"/>
                                </w:rPr>
                                <w:t>s</w:t>
                              </w:r>
                              <w:proofErr w:type="gramEnd"/>
                              <w:r w:rsidRPr="00372764">
                                <w:rPr>
                                  <w:szCs w:val="20"/>
                                </w:rPr>
                                <w:t xml:space="preserve"> value</w:t>
                              </w:r>
                            </w:p>
                            <w:p w:rsidR="002969C1" w:rsidRDefault="002969C1" w:rsidP="00F67361"/>
                          </w:txbxContent>
                        </wps:txbx>
                        <wps:bodyPr rot="0" vert="horz" wrap="square" lIns="91440" tIns="45720" rIns="91440" bIns="45720" anchor="t" anchorCtr="0" upright="1">
                          <a:noAutofit/>
                        </wps:bodyPr>
                      </wps:wsp>
                      <wps:wsp>
                        <wps:cNvPr id="5" name="Text Box 45"/>
                        <wps:cNvSpPr txBox="1">
                          <a:spLocks noChangeArrowheads="1"/>
                        </wps:cNvSpPr>
                        <wps:spPr bwMode="auto">
                          <a:xfrm>
                            <a:off x="2285906" y="1029214"/>
                            <a:ext cx="637006" cy="571292"/>
                          </a:xfrm>
                          <a:prstGeom prst="rect">
                            <a:avLst/>
                          </a:prstGeom>
                          <a:solidFill>
                            <a:srgbClr val="FFFFFF"/>
                          </a:solidFill>
                          <a:ln w="9525">
                            <a:solidFill>
                              <a:srgbClr val="000000"/>
                            </a:solidFill>
                            <a:miter lim="800000"/>
                            <a:headEnd/>
                            <a:tailEnd/>
                          </a:ln>
                        </wps:spPr>
                        <wps:txbx>
                          <w:txbxContent>
                            <w:p w:rsidR="002969C1" w:rsidRPr="00372764" w:rsidRDefault="002969C1" w:rsidP="00F67361">
                              <w:pPr>
                                <w:spacing w:line="240" w:lineRule="auto"/>
                                <w:rPr>
                                  <w:szCs w:val="20"/>
                                </w:rPr>
                              </w:pPr>
                              <w:r>
                                <w:rPr>
                                  <w:szCs w:val="20"/>
                                </w:rPr>
                                <w:t xml:space="preserve">The </w:t>
                              </w:r>
                              <w:proofErr w:type="gramStart"/>
                              <w:r>
                                <w:rPr>
                                  <w:szCs w:val="20"/>
                                </w:rPr>
                                <w:t>sellers</w:t>
                              </w:r>
                              <w:proofErr w:type="gramEnd"/>
                              <w:r>
                                <w:rPr>
                                  <w:szCs w:val="20"/>
                                </w:rPr>
                                <w:t xml:space="preserve"> profit</w:t>
                              </w:r>
                            </w:p>
                            <w:p w:rsidR="002969C1" w:rsidRDefault="002969C1" w:rsidP="00F67361"/>
                          </w:txbxContent>
                        </wps:txbx>
                        <wps:bodyPr rot="0" vert="horz" wrap="square" lIns="91440" tIns="45720" rIns="91440" bIns="45720" anchor="t" anchorCtr="0" upright="1">
                          <a:noAutofit/>
                        </wps:bodyPr>
                      </wps:wsp>
                      <wps:wsp>
                        <wps:cNvPr id="6" name="Text Box 46"/>
                        <wps:cNvSpPr txBox="1">
                          <a:spLocks noChangeArrowheads="1"/>
                        </wps:cNvSpPr>
                        <wps:spPr bwMode="auto">
                          <a:xfrm>
                            <a:off x="2285906" y="457182"/>
                            <a:ext cx="637006" cy="572033"/>
                          </a:xfrm>
                          <a:prstGeom prst="rect">
                            <a:avLst/>
                          </a:prstGeom>
                          <a:solidFill>
                            <a:srgbClr val="FFFFFF"/>
                          </a:solidFill>
                          <a:ln w="9525">
                            <a:solidFill>
                              <a:srgbClr val="000000"/>
                            </a:solidFill>
                            <a:miter lim="800000"/>
                            <a:headEnd/>
                            <a:tailEnd/>
                          </a:ln>
                        </wps:spPr>
                        <wps:txbx>
                          <w:txbxContent>
                            <w:p w:rsidR="002969C1" w:rsidRPr="00BC411F" w:rsidRDefault="002969C1" w:rsidP="00F67361">
                              <w:pPr>
                                <w:spacing w:line="240" w:lineRule="auto"/>
                                <w:rPr>
                                  <w:rStyle w:val="Strong"/>
                                  <w:rFonts w:eastAsia="Calibri"/>
                                </w:rPr>
                              </w:pPr>
                              <w:r w:rsidRPr="00BC411F">
                                <w:rPr>
                                  <w:rStyle w:val="Strong"/>
                                  <w:rFonts w:eastAsia="Calibri"/>
                                </w:rPr>
                                <w:t xml:space="preserve">The </w:t>
                              </w:r>
                              <w:proofErr w:type="gramStart"/>
                              <w:r w:rsidRPr="00BC411F">
                                <w:rPr>
                                  <w:rStyle w:val="Strong"/>
                                  <w:rFonts w:eastAsia="Calibri"/>
                                </w:rPr>
                                <w:t>buyers</w:t>
                              </w:r>
                              <w:proofErr w:type="gramEnd"/>
                              <w:r w:rsidRPr="00BC411F">
                                <w:rPr>
                                  <w:rStyle w:val="Strong"/>
                                  <w:rFonts w:eastAsia="Calibri"/>
                                </w:rPr>
                                <w:t xml:space="preserve"> profit</w:t>
                              </w:r>
                            </w:p>
                            <w:p w:rsidR="002969C1" w:rsidRDefault="002969C1" w:rsidP="00F67361"/>
                          </w:txbxContent>
                        </wps:txbx>
                        <wps:bodyPr rot="0" vert="horz" wrap="square" lIns="91440" tIns="45720" rIns="91440" bIns="45720" anchor="t" anchorCtr="0" upright="1">
                          <a:noAutofit/>
                        </wps:bodyPr>
                      </wps:wsp>
                      <wps:wsp>
                        <wps:cNvPr id="7" name="Line 47"/>
                        <wps:cNvCnPr/>
                        <wps:spPr bwMode="auto">
                          <a:xfrm>
                            <a:off x="1257248" y="457182"/>
                            <a:ext cx="1028658" cy="74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Line 48"/>
                        <wps:cNvCnPr/>
                        <wps:spPr bwMode="auto">
                          <a:xfrm flipV="1">
                            <a:off x="1188671" y="1029214"/>
                            <a:ext cx="1734241"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49"/>
                        <wps:cNvCnPr/>
                        <wps:spPr bwMode="auto">
                          <a:xfrm>
                            <a:off x="2057316" y="1600506"/>
                            <a:ext cx="22859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Text Box 50"/>
                        <wps:cNvSpPr txBox="1">
                          <a:spLocks noChangeArrowheads="1"/>
                        </wps:cNvSpPr>
                        <wps:spPr bwMode="auto">
                          <a:xfrm>
                            <a:off x="0" y="0"/>
                            <a:ext cx="685772" cy="228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9C1" w:rsidRPr="00372764" w:rsidRDefault="002969C1" w:rsidP="00F67361">
                              <w:pPr>
                                <w:jc w:val="center"/>
                              </w:pPr>
                              <w:r w:rsidRPr="00372764">
                                <w:t>Value</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Canvas 39" o:spid="_x0000_s1026" editas="canvas" style="width:243.65pt;height:174.45pt;mso-position-horizontal-relative:char;mso-position-vertical-relative:line" coordsize="30943,2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J5OgUAAF4eAAAOAAAAZHJzL2Uyb0RvYy54bWzsmW1z4jYQx993pt/B4/cEy/iRCblJIHQ6&#10;k7Y3k2vfCz+Ap7bkyk4g1+l3719rG0wupLn0QtsrvACBxHq1+mm1uzp/tyly4z5RVSbFxGRnlmkk&#10;IpJxJpYT8+cP80FgGlXNRcxzKZKJ+ZBU5ruLb785X5fjxJYrmceJMiBEVON1OTFXdV2Oh8MqWiUF&#10;r85kmQh0plIVvMZXtRzGiq8hvciHtmV5w7VUcalklFQVfp01neYFyU/TJKp/StMqqY18YkK3mt4V&#10;vS/0+/DinI+XiperLGrV4K/QouCZwEO3oma85sadyj4RVWSRkpVM67NIFkOZplmU0BwwG2Y9ms2U&#10;i3te0WQiWKdTEK0vKHex1HoLOc/yHNYYQvpY/6Y/11ifRHfnwlhPzNC1XdOIONYpzXmNZlHGE7MS&#10;S9Pg+RIARLUiM1Qyz2ItUf+5UsvFNFfGPdeLQC9t9yF6+sNKVdUzXq2acdTVLE+R1WAkz4qJGWz/&#10;zcerhMfXIjbqhxJgCeBlaiWLJDaNPIEyukXrW/Msf8lIaJSL1gTt1NcluKzKLaHV37P87YqXCS1o&#10;NY5+vH+vjAwGZKYheIFJfEg2tXElN4bDtOb64Rh1W2JcvcHveihZtLyR0a+VIeR0xcUyuVRKrrU9&#10;oB79E6u4/Wsjp9JCFusfZIzn8LtakqBNqgotECAakO76zPF903iYmA7agd3YT2sVodtjPgs1AehH&#10;0/GYpwfAbJ0cvYbfJbIwdGNiKuw/eg6/v6nqZmg3hObRX/89TOb0aqXvYdJD8XkRh0l7Hqg+Mo3K&#10;LRTVWBuxMWe9WWzQqc28kPEDbKtk41zgDNFYSfUROMKxYH/8dscV4My/F1ifkDmO9kT0BVa28UX1&#10;exb9Hi4iiJqY2GxNc1o33uuuVNlyhSc1RAh5iTVNMzLyTiuCmQhudH1zlO0O5ZtMJIZDALUsTsV7&#10;1ZrsRTCOHDsIPILRtoPQI7D5uIPR9/AsIjHEwNFfkJhDnedI3Pq/PV/3WsCUvBMxcdQ6KWq3bgjt&#10;1tHQZLAx9GP0tOjA+D20wuvgOnAGju1dDxxrNhtczqfOwJsz352NZtPpjP2h58Kc8SqL40RoR9sd&#10;Xsx5mYdqj9Hm2NkeX1szDPelk8pQsfskpcnJ7LZEsw/07PSCg7QjITfaR26kncYXQA4Ozg99LWzH&#10;nO3iALLBpObOb5z0Ye93Yu5RnPP1MOd0zO1ObKfH3e3RTmzmBG4wCslLMs+yXIsc4Q7Z7kjXxKJt&#10;h+SSD0P7dR/ZbbjVeojTyd0LQhHXPQ5C3X8EaRz2bgiMdRTKLADLaGvtkPZGPjK/xgmfkCakt3HW&#10;Ceke0mDkMdLkHdvo4Hheuo/0k4nVHtG2NaIg5n/tpLdh3InoHtHIzRuim/SKwtNXxrrMRu7poDwH&#10;N/sUk3C9geei/18Y6+oawq5UlC91u4nUT5nXETMvwNGnMeiFCy9K9o00z8pfuhJGW4NiDFm/j5LY&#10;oeOf+agMIPd6IzARffgulQr2yk571anDpaUTf0fkD2lPn7/wc/nTqX1LnW25/gjlTKLuqTyKjvAW&#10;Oro2OHw6Hzfv3/eF8ckTUpXxyDUohiLuo1DTJUqOHmpCETjO9mKrq5V68Gl+Wy7d1VIPE/w2RQC9&#10;3XoFRrproazu0xIosx3ryg4Hcy/wB87ccQehbwUDi4VXoWc5oTOb75dAKR5qrhFRuXxtCXR7yaVV&#10;fY37/8ybhW0FV6vf1Va7z6dqrPragRK+bbXpvxIeY0PiPrGMaHbthau+Je1/R7t/LXzxJwAAAP//&#10;AwBQSwMEFAAGAAgAAAAhAJwH/xzdAAAABQEAAA8AAABkcnMvZG93bnJldi54bWxMj0FLw0AQhe+C&#10;/2EZwZvd2BZNYzalCPEQ4sG2SI/b7JgNZmdDdtvGf+/oRS8Phje89718PblenHEMnScF97MEBFLj&#10;TUetgv2uvEtBhKjJ6N4TKvjCAOvi+irXmfEXesPzNraCQyhkWoGNccikDI1Fp8PMD0jsffjR6cjn&#10;2Eoz6guHu17Ok+RBOt0RN1g94LPF5nN7clzyWle13L2Eqgzvtt5Ufj8vD0rd3kybJxARp/j3DD/4&#10;jA4FMx39iUwQvQIeEn+VvWX6uABxVLBYpiuQRS7/0xffAAAA//8DAFBLAQItABQABgAIAAAAIQC2&#10;gziS/gAAAOEBAAATAAAAAAAAAAAAAAAAAAAAAABbQ29udGVudF9UeXBlc10ueG1sUEsBAi0AFAAG&#10;AAgAAAAhADj9If/WAAAAlAEAAAsAAAAAAAAAAAAAAAAALwEAAF9yZWxzLy5yZWxzUEsBAi0AFAAG&#10;AAgAAAAhAIlnMnk6BQAAXh4AAA4AAAAAAAAAAAAAAAAALgIAAGRycy9lMm9Eb2MueG1sUEsBAi0A&#10;FAAGAAgAAAAhAJwH/xzdAAAABQEAAA8AAAAAAAAAAAAAAAAAlAcAAGRycy9kb3ducmV2LnhtbFBL&#10;BQYAAAAABAAEAPMAAAC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943;height:22155;visibility:visible;mso-wrap-style:square" stroked="t">
                  <v:fill o:detectmouseclick="t"/>
                  <v:path o:connecttype="none"/>
                </v:shape>
                <v:shapetype id="_x0000_t202" coordsize="21600,21600" o:spt="202" path="m,l,21600r21600,l21600,xe">
                  <v:stroke joinstyle="miter"/>
                  <v:path gradientshapeok="t" o:connecttype="rect"/>
                </v:shapetype>
                <v:shape id="Text Box 41" o:spid="_x0000_s1028" type="#_x0000_t202" style="position:absolute;left:5714;top:4571;width:6172;height:17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969C1" w:rsidRDefault="002969C1" w:rsidP="00F67361"/>
                      <w:p w:rsidR="002969C1" w:rsidRDefault="002969C1" w:rsidP="00F67361">
                        <w:pPr>
                          <w:spacing w:line="240" w:lineRule="auto"/>
                          <w:rPr>
                            <w:szCs w:val="20"/>
                          </w:rPr>
                        </w:pPr>
                      </w:p>
                      <w:p w:rsidR="002969C1" w:rsidRPr="00BC411F" w:rsidRDefault="002969C1" w:rsidP="00F67361">
                        <w:pPr>
                          <w:spacing w:line="240" w:lineRule="auto"/>
                          <w:rPr>
                            <w:rStyle w:val="Strong"/>
                            <w:rFonts w:eastAsia="Calibri"/>
                          </w:rPr>
                        </w:pPr>
                        <w:r w:rsidRPr="00BC411F">
                          <w:rPr>
                            <w:rStyle w:val="Strong"/>
                            <w:rFonts w:eastAsia="Calibri"/>
                          </w:rPr>
                          <w:t xml:space="preserve">The </w:t>
                        </w:r>
                        <w:proofErr w:type="gramStart"/>
                        <w:r w:rsidRPr="00BC411F">
                          <w:rPr>
                            <w:rStyle w:val="Strong"/>
                            <w:rFonts w:eastAsia="Calibri"/>
                          </w:rPr>
                          <w:t>buyers</w:t>
                        </w:r>
                        <w:proofErr w:type="gramEnd"/>
                        <w:r w:rsidRPr="00BC411F">
                          <w:rPr>
                            <w:rStyle w:val="Strong"/>
                            <w:rFonts w:eastAsia="Calibri"/>
                          </w:rPr>
                          <w:t xml:space="preserve"> value</w:t>
                        </w:r>
                      </w:p>
                    </w:txbxContent>
                  </v:textbox>
                </v:shape>
                <v:line id="Line 42" o:spid="_x0000_s1029" style="position:absolute;visibility:visible;mso-wrap-style:square" from="3428,2289" to="3436,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3" o:spid="_x0000_s1030" style="position:absolute;visibility:visible;mso-wrap-style:square" from="3428,21717" to="29229,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44" o:spid="_x0000_s1031" type="#_x0000_t202" style="position:absolute;left:14858;top:16005;width:5715;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969C1" w:rsidRPr="00372764" w:rsidRDefault="002969C1" w:rsidP="00F67361">
                        <w:pPr>
                          <w:spacing w:line="240" w:lineRule="auto"/>
                          <w:rPr>
                            <w:szCs w:val="20"/>
                          </w:rPr>
                        </w:pPr>
                        <w:r>
                          <w:rPr>
                            <w:szCs w:val="20"/>
                          </w:rPr>
                          <w:t xml:space="preserve">The </w:t>
                        </w:r>
                        <w:proofErr w:type="gramStart"/>
                        <w:r>
                          <w:rPr>
                            <w:szCs w:val="20"/>
                          </w:rPr>
                          <w:t>seller</w:t>
                        </w:r>
                        <w:r w:rsidRPr="00372764">
                          <w:rPr>
                            <w:szCs w:val="20"/>
                          </w:rPr>
                          <w:t>s</w:t>
                        </w:r>
                        <w:proofErr w:type="gramEnd"/>
                        <w:r w:rsidRPr="00372764">
                          <w:rPr>
                            <w:szCs w:val="20"/>
                          </w:rPr>
                          <w:t xml:space="preserve"> value</w:t>
                        </w:r>
                      </w:p>
                      <w:p w:rsidR="002969C1" w:rsidRDefault="002969C1" w:rsidP="00F67361"/>
                    </w:txbxContent>
                  </v:textbox>
                </v:shape>
                <v:shape id="Text Box 45" o:spid="_x0000_s1032" type="#_x0000_t202" style="position:absolute;left:22859;top:10292;width:6370;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969C1" w:rsidRPr="00372764" w:rsidRDefault="002969C1" w:rsidP="00F67361">
                        <w:pPr>
                          <w:spacing w:line="240" w:lineRule="auto"/>
                          <w:rPr>
                            <w:szCs w:val="20"/>
                          </w:rPr>
                        </w:pPr>
                        <w:r>
                          <w:rPr>
                            <w:szCs w:val="20"/>
                          </w:rPr>
                          <w:t xml:space="preserve">The </w:t>
                        </w:r>
                        <w:proofErr w:type="gramStart"/>
                        <w:r>
                          <w:rPr>
                            <w:szCs w:val="20"/>
                          </w:rPr>
                          <w:t>sellers</w:t>
                        </w:r>
                        <w:proofErr w:type="gramEnd"/>
                        <w:r>
                          <w:rPr>
                            <w:szCs w:val="20"/>
                          </w:rPr>
                          <w:t xml:space="preserve"> profit</w:t>
                        </w:r>
                      </w:p>
                      <w:p w:rsidR="002969C1" w:rsidRDefault="002969C1" w:rsidP="00F67361"/>
                    </w:txbxContent>
                  </v:textbox>
                </v:shape>
                <v:shape id="Text Box 46" o:spid="_x0000_s1033" type="#_x0000_t202" style="position:absolute;left:22859;top:4571;width:6370;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969C1" w:rsidRPr="00BC411F" w:rsidRDefault="002969C1" w:rsidP="00F67361">
                        <w:pPr>
                          <w:spacing w:line="240" w:lineRule="auto"/>
                          <w:rPr>
                            <w:rStyle w:val="Strong"/>
                            <w:rFonts w:eastAsia="Calibri"/>
                          </w:rPr>
                        </w:pPr>
                        <w:r w:rsidRPr="00BC411F">
                          <w:rPr>
                            <w:rStyle w:val="Strong"/>
                            <w:rFonts w:eastAsia="Calibri"/>
                          </w:rPr>
                          <w:t xml:space="preserve">The </w:t>
                        </w:r>
                        <w:proofErr w:type="gramStart"/>
                        <w:r w:rsidRPr="00BC411F">
                          <w:rPr>
                            <w:rStyle w:val="Strong"/>
                            <w:rFonts w:eastAsia="Calibri"/>
                          </w:rPr>
                          <w:t>buyers</w:t>
                        </w:r>
                        <w:proofErr w:type="gramEnd"/>
                        <w:r w:rsidRPr="00BC411F">
                          <w:rPr>
                            <w:rStyle w:val="Strong"/>
                            <w:rFonts w:eastAsia="Calibri"/>
                          </w:rPr>
                          <w:t xml:space="preserve"> profit</w:t>
                        </w:r>
                      </w:p>
                      <w:p w:rsidR="002969C1" w:rsidRDefault="002969C1" w:rsidP="00F67361"/>
                    </w:txbxContent>
                  </v:textbox>
                </v:shape>
                <v:line id="Line 47" o:spid="_x0000_s1034" style="position:absolute;visibility:visible;mso-wrap-style:square" from="12572,4571" to="22859,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gQzsMAAADaAAAADwAAAGRycy9kb3ducmV2LnhtbESP3WrCQBSE7wt9h+UUvKubBqkSXUUt&#10;QpGC/+jlIXvMhmbPptltTN++KxR6OczMN8xk1tlKtNT40rGCl34Cgjh3uuRCwfGweh6B8AFZY+WY&#10;FPyQh9n08WGCmXY33lG7D4WIEPYZKjAh1JmUPjdk0fddTRy9q2sshiibQuoGbxFuK5kmyau0WHJc&#10;MFjT0lD+uf+2Crbrlk7240Kb9WowfPtapGTOqVK9p24+BhGoC//hv/a7VjCE+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oEM7DAAAA2gAAAA8AAAAAAAAAAAAA&#10;AAAAoQIAAGRycy9kb3ducmV2LnhtbFBLBQYAAAAABAAEAPkAAACRAwAAAAA=&#10;">
                  <v:stroke dashstyle="longDash"/>
                </v:line>
                <v:line id="Line 48" o:spid="_x0000_s1035" style="position:absolute;flip:y;visibility:visible;mso-wrap-style:square" from="11886,10292" to="29229,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5GsIAAADaAAAADwAAAGRycy9kb3ducmV2LnhtbERPTWvCQBC9F/wPywi9iG4qopK6SrG2&#10;VRDB2EOP0+yYhGZnQ3ar8d93DkKPj/e9WHWuVhdqQ+XZwNMoAUWce1txYeDz9DacgwoR2WLtmQzc&#10;KMBq2XtYYGr9lY90yWKhJIRDigbKGJtU65CX5DCMfEMs3Nm3DqPAttC2xauEu1qPk2SqHVYsDSU2&#10;tC4p/8l+ncx4nZx2t++P99lhs873591kkGy/jHnsdy/PoCJ18V98d2+tAdkqV8QP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P5GsIAAADaAAAADwAAAAAAAAAAAAAA&#10;AAChAgAAZHJzL2Rvd25yZXYueG1sUEsFBgAAAAAEAAQA+QAAAJADAAAAAA==&#10;" strokeweight="2.25pt"/>
                <v:line id="Line 49" o:spid="_x0000_s1036" style="position:absolute;visibility:visible;mso-wrap-style:square" from="20573,16005" to="22859,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shape id="Text Box 50" o:spid="_x0000_s1037" type="#_x0000_t202" style="position:absolute;width:685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2969C1" w:rsidRPr="00372764" w:rsidRDefault="002969C1" w:rsidP="00F67361">
                        <w:pPr>
                          <w:jc w:val="center"/>
                        </w:pPr>
                        <w:r w:rsidRPr="00372764">
                          <w:t>Value</w:t>
                        </w:r>
                      </w:p>
                    </w:txbxContent>
                  </v:textbox>
                </v:shape>
                <w10:anchorlock/>
              </v:group>
            </w:pict>
          </mc:Fallback>
        </mc:AlternateContent>
      </w:r>
    </w:p>
    <w:p w:rsidR="00F67361" w:rsidRDefault="002B7CAE" w:rsidP="002B7CAE">
      <w:pPr>
        <w:ind w:left="1440"/>
        <w:rPr>
          <w:rFonts w:cs="Arial"/>
        </w:rPr>
      </w:pPr>
      <w:r>
        <w:rPr>
          <w:b/>
        </w:rPr>
        <w:t xml:space="preserve">             </w:t>
      </w:r>
      <w:r w:rsidR="00F67361" w:rsidRPr="008B2FD1">
        <w:rPr>
          <w:b/>
        </w:rPr>
        <w:t>Source</w:t>
      </w:r>
      <w:r w:rsidR="00F67361" w:rsidRPr="00EE7BFE">
        <w:t xml:space="preserve">: </w:t>
      </w:r>
      <w:proofErr w:type="spellStart"/>
      <w:r w:rsidR="00F67361" w:rsidRPr="008B2FD1">
        <w:rPr>
          <w:b/>
        </w:rPr>
        <w:t>Kalbro</w:t>
      </w:r>
      <w:proofErr w:type="spellEnd"/>
      <w:r w:rsidR="00F67361" w:rsidRPr="008B2FD1">
        <w:rPr>
          <w:b/>
        </w:rPr>
        <w:t xml:space="preserve"> and </w:t>
      </w:r>
      <w:proofErr w:type="spellStart"/>
      <w:r w:rsidR="00F67361" w:rsidRPr="008B2FD1">
        <w:rPr>
          <w:b/>
        </w:rPr>
        <w:t>Sjodin</w:t>
      </w:r>
      <w:proofErr w:type="spellEnd"/>
      <w:r w:rsidR="00F67361" w:rsidRPr="008B2FD1">
        <w:rPr>
          <w:b/>
        </w:rPr>
        <w:t xml:space="preserve"> 1993</w:t>
      </w:r>
    </w:p>
    <w:p w:rsidR="00D2068F" w:rsidRDefault="00D2068F" w:rsidP="00B029BC">
      <w:pPr>
        <w:spacing w:after="0" w:line="240" w:lineRule="auto"/>
        <w:rPr>
          <w:rFonts w:cs="Arial"/>
          <w:b/>
          <w:sz w:val="22"/>
        </w:rPr>
      </w:pPr>
    </w:p>
    <w:p w:rsidR="0084583E" w:rsidRDefault="0084583E" w:rsidP="00B029BC">
      <w:pPr>
        <w:spacing w:after="0" w:line="240" w:lineRule="auto"/>
        <w:rPr>
          <w:rFonts w:cs="Arial"/>
          <w:b/>
          <w:sz w:val="22"/>
        </w:rPr>
      </w:pPr>
    </w:p>
    <w:p w:rsidR="00F67361" w:rsidRPr="00DC6257" w:rsidRDefault="00CE7CAA" w:rsidP="00B029BC">
      <w:pPr>
        <w:spacing w:after="0" w:line="240" w:lineRule="auto"/>
        <w:rPr>
          <w:rFonts w:cs="Arial"/>
          <w:b/>
          <w:sz w:val="22"/>
        </w:rPr>
      </w:pPr>
      <w:r w:rsidRPr="00DC6257">
        <w:rPr>
          <w:rFonts w:cs="Arial"/>
          <w:b/>
          <w:sz w:val="22"/>
        </w:rPr>
        <w:lastRenderedPageBreak/>
        <w:t>Mid-point for reform</w:t>
      </w:r>
    </w:p>
    <w:p w:rsidR="00D647E2" w:rsidRDefault="00FD24D5" w:rsidP="00E63533">
      <w:r>
        <w:t xml:space="preserve">In contrast to Epstein’s model, and in support of the basic needs of a dispossessed party, an alternative model would commence with a reinstatement safety net, particularly in the case of a residence. </w:t>
      </w:r>
      <w:r w:rsidR="00CE7CAA">
        <w:t>An option to</w:t>
      </w:r>
      <w:r>
        <w:t xml:space="preserve"> disturbance</w:t>
      </w:r>
      <w:r w:rsidR="00CE7CAA">
        <w:t xml:space="preserve"> and </w:t>
      </w:r>
      <w:proofErr w:type="spellStart"/>
      <w:r w:rsidR="00CE7CAA">
        <w:t>solatium</w:t>
      </w:r>
      <w:proofErr w:type="spellEnd"/>
      <w:r w:rsidR="00CE7CAA">
        <w:t xml:space="preserve"> would be an alternate property reinstating</w:t>
      </w:r>
      <w:r>
        <w:t xml:space="preserve"> </w:t>
      </w:r>
      <w:r w:rsidR="00CE7CAA">
        <w:t>the dispossessed</w:t>
      </w:r>
      <w:r>
        <w:t>. If this cannot be achieved, the dispossessed would be relocated in a property as close in value to the property acquired. This task and duty would be a responsibi</w:t>
      </w:r>
      <w:r w:rsidR="00CE7CAA">
        <w:t xml:space="preserve">lity of an acquiring authority in which there resources would be used rather than the dispossessed if that were the choice of the dispossessed. </w:t>
      </w:r>
      <w:r>
        <w:t>In the case of a business, an option for reinstatement would need to be considered, however as highlighted by Jacobs (</w:t>
      </w:r>
      <w:r w:rsidR="007B0B09">
        <w:t>1998</w:t>
      </w:r>
      <w:r>
        <w:t xml:space="preserve">) there are additional issues </w:t>
      </w:r>
      <w:r w:rsidR="00D647E2">
        <w:t>which include</w:t>
      </w:r>
      <w:r>
        <w:t xml:space="preserve"> location goodwill, in which it may not be prudent for such a business to be reinstated elsewhere where it is likely to fail. </w:t>
      </w:r>
    </w:p>
    <w:p w:rsidR="00FD24D5" w:rsidRDefault="00FD24D5" w:rsidP="00E63533">
      <w:r>
        <w:t>In these cases where a livelihood is extinguished, the profit sharing arrangements of Epstein could be adopted to form part of the compensation.</w:t>
      </w:r>
      <w:r w:rsidR="00E63533">
        <w:t xml:space="preserve"> </w:t>
      </w:r>
      <w:r>
        <w:t>Adopting a broad brush approach to providing a dispossessed party with a profit share from a low public interest project could be fraught with inconsistency without considering the circums</w:t>
      </w:r>
      <w:r w:rsidR="00CE7CAA">
        <w:t>tances on a case by case basis.</w:t>
      </w:r>
    </w:p>
    <w:p w:rsidR="00FD24D5" w:rsidRDefault="00FD24D5" w:rsidP="0007033B">
      <w:r>
        <w:t xml:space="preserve">The </w:t>
      </w:r>
      <w:r w:rsidR="00CE7CAA">
        <w:t>option in</w:t>
      </w:r>
      <w:r w:rsidR="00362507">
        <w:t xml:space="preserve"> Table 6</w:t>
      </w:r>
      <w:r>
        <w:t xml:space="preserve"> provides a generic safety net to any party being dispossessed, with some exception in the case of location goodwill of a business which cannot be replicated. In many cases, these small businesses provide a basic stable income and have little value in extinguishment. Therefore a livelihood is extinguished through involuntary sale. In these cases, the Epstein Model would be replaced with provisions for relocating the business elsewhere under the principles of reinstatement, of which one option would be relocat</w:t>
      </w:r>
      <w:r w:rsidR="00CE7CAA">
        <w:t>ion within the proposed project in the case of economic development.</w:t>
      </w:r>
    </w:p>
    <w:p w:rsidR="00986201" w:rsidRPr="00362507" w:rsidRDefault="00B333CE" w:rsidP="00986201">
      <w:pPr>
        <w:pStyle w:val="NoSpacing"/>
        <w:rPr>
          <w:rFonts w:ascii="Times New Roman" w:hAnsi="Times New Roman"/>
          <w:b/>
          <w:sz w:val="20"/>
          <w:szCs w:val="20"/>
        </w:rPr>
      </w:pPr>
      <w:r w:rsidRPr="00362507">
        <w:rPr>
          <w:rFonts w:ascii="Times New Roman" w:hAnsi="Times New Roman"/>
          <w:b/>
          <w:sz w:val="20"/>
          <w:szCs w:val="20"/>
        </w:rPr>
        <w:t>Table</w:t>
      </w:r>
      <w:r w:rsidR="00986201" w:rsidRPr="00362507">
        <w:rPr>
          <w:rFonts w:ascii="Times New Roman" w:hAnsi="Times New Roman"/>
          <w:b/>
          <w:sz w:val="20"/>
          <w:szCs w:val="20"/>
        </w:rPr>
        <w:t xml:space="preserve"> </w:t>
      </w:r>
      <w:r w:rsidR="00362507">
        <w:rPr>
          <w:rFonts w:ascii="Times New Roman" w:hAnsi="Times New Roman"/>
          <w:b/>
          <w:sz w:val="20"/>
          <w:szCs w:val="20"/>
        </w:rPr>
        <w:t>6</w:t>
      </w:r>
      <w:r w:rsidR="00986201" w:rsidRPr="00362507">
        <w:rPr>
          <w:rFonts w:ascii="Times New Roman" w:hAnsi="Times New Roman"/>
          <w:b/>
          <w:sz w:val="20"/>
          <w:szCs w:val="20"/>
        </w:rPr>
        <w:t>: Compensation framework for total acquisitions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418"/>
        <w:gridCol w:w="1984"/>
        <w:gridCol w:w="1827"/>
        <w:gridCol w:w="2142"/>
      </w:tblGrid>
      <w:tr w:rsidR="00986201" w:rsidRPr="00BC411F" w:rsidTr="000237C6">
        <w:tc>
          <w:tcPr>
            <w:tcW w:w="1809" w:type="dxa"/>
            <w:shd w:val="clear" w:color="auto" w:fill="FFFF00"/>
          </w:tcPr>
          <w:p w:rsidR="00986201" w:rsidRPr="00BC411F" w:rsidRDefault="00986201" w:rsidP="0007033B">
            <w:pPr>
              <w:spacing w:after="0"/>
              <w:jc w:val="center"/>
              <w:rPr>
                <w:rFonts w:ascii="Calibri" w:eastAsia="Calibri" w:hAnsi="Calibri" w:cs="Times New Roman"/>
                <w:b/>
              </w:rPr>
            </w:pPr>
            <w:r w:rsidRPr="00BC411F">
              <w:rPr>
                <w:rFonts w:ascii="Calibri" w:eastAsia="Calibri" w:hAnsi="Calibri" w:cs="Times New Roman"/>
                <w:b/>
              </w:rPr>
              <w:t>Party</w:t>
            </w:r>
          </w:p>
        </w:tc>
        <w:tc>
          <w:tcPr>
            <w:tcW w:w="3402" w:type="dxa"/>
            <w:gridSpan w:val="2"/>
          </w:tcPr>
          <w:p w:rsidR="0007033B" w:rsidRDefault="00B04450" w:rsidP="0007033B">
            <w:pPr>
              <w:spacing w:after="0" w:line="240" w:lineRule="auto"/>
              <w:jc w:val="center"/>
              <w:rPr>
                <w:rFonts w:ascii="Calibri" w:eastAsia="Calibri" w:hAnsi="Calibri" w:cs="Times New Roman"/>
                <w:b/>
              </w:rPr>
            </w:pPr>
            <w:r>
              <w:rPr>
                <w:rFonts w:ascii="Calibri" w:eastAsia="Calibri" w:hAnsi="Calibri" w:cs="Times New Roman"/>
                <w:b/>
              </w:rPr>
              <w:t>Traditional</w:t>
            </w:r>
          </w:p>
          <w:p w:rsidR="00986201" w:rsidRPr="00BC411F" w:rsidRDefault="00986201" w:rsidP="0007033B">
            <w:pPr>
              <w:spacing w:after="0" w:line="240" w:lineRule="auto"/>
              <w:jc w:val="center"/>
              <w:rPr>
                <w:rFonts w:ascii="Calibri" w:eastAsia="Calibri" w:hAnsi="Calibri" w:cs="Times New Roman"/>
                <w:b/>
              </w:rPr>
            </w:pPr>
            <w:r w:rsidRPr="00BC411F">
              <w:rPr>
                <w:rFonts w:ascii="Calibri" w:eastAsia="Calibri" w:hAnsi="Calibri" w:cs="Times New Roman"/>
                <w:b/>
              </w:rPr>
              <w:t>Infrastructure Projects</w:t>
            </w:r>
          </w:p>
        </w:tc>
        <w:tc>
          <w:tcPr>
            <w:tcW w:w="3969" w:type="dxa"/>
            <w:gridSpan w:val="2"/>
          </w:tcPr>
          <w:p w:rsidR="0007033B" w:rsidRDefault="0007033B" w:rsidP="0007033B">
            <w:pPr>
              <w:spacing w:after="0" w:line="240" w:lineRule="auto"/>
              <w:jc w:val="center"/>
              <w:rPr>
                <w:rFonts w:ascii="Calibri" w:eastAsia="Calibri" w:hAnsi="Calibri" w:cs="Times New Roman"/>
                <w:b/>
              </w:rPr>
            </w:pPr>
            <w:r>
              <w:rPr>
                <w:rFonts w:ascii="Calibri" w:eastAsia="Calibri" w:hAnsi="Calibri" w:cs="Times New Roman"/>
                <w:b/>
              </w:rPr>
              <w:t xml:space="preserve">Non-Traditional </w:t>
            </w:r>
          </w:p>
          <w:p w:rsidR="00986201" w:rsidRPr="00BC411F" w:rsidRDefault="00986201" w:rsidP="0007033B">
            <w:pPr>
              <w:spacing w:after="0" w:line="240" w:lineRule="auto"/>
              <w:jc w:val="center"/>
              <w:rPr>
                <w:rFonts w:ascii="Calibri" w:eastAsia="Calibri" w:hAnsi="Calibri" w:cs="Times New Roman"/>
              </w:rPr>
            </w:pPr>
            <w:r w:rsidRPr="00BC411F">
              <w:rPr>
                <w:rFonts w:ascii="Calibri" w:eastAsia="Calibri" w:hAnsi="Calibri" w:cs="Times New Roman"/>
                <w:b/>
              </w:rPr>
              <w:t>Economic Development</w:t>
            </w:r>
          </w:p>
        </w:tc>
      </w:tr>
      <w:tr w:rsidR="00B63B82" w:rsidRPr="00BC411F" w:rsidTr="000237C6">
        <w:tc>
          <w:tcPr>
            <w:tcW w:w="1809" w:type="dxa"/>
            <w:shd w:val="clear" w:color="auto" w:fill="FFFF00"/>
          </w:tcPr>
          <w:p w:rsidR="00986201" w:rsidRPr="00BC411F" w:rsidRDefault="00986201" w:rsidP="0007033B">
            <w:pPr>
              <w:spacing w:after="0"/>
              <w:jc w:val="center"/>
              <w:rPr>
                <w:rFonts w:ascii="Calibri" w:eastAsia="Calibri" w:hAnsi="Calibri" w:cs="Times New Roman"/>
                <w:b/>
              </w:rPr>
            </w:pPr>
          </w:p>
        </w:tc>
        <w:tc>
          <w:tcPr>
            <w:tcW w:w="1418" w:type="dxa"/>
          </w:tcPr>
          <w:p w:rsidR="00986201" w:rsidRPr="00BC411F" w:rsidRDefault="00986201" w:rsidP="0007033B">
            <w:pPr>
              <w:spacing w:after="0"/>
              <w:jc w:val="center"/>
              <w:rPr>
                <w:rFonts w:ascii="Calibri" w:eastAsia="Calibri" w:hAnsi="Calibri" w:cs="Times New Roman"/>
                <w:b/>
              </w:rPr>
            </w:pPr>
            <w:r w:rsidRPr="00BC411F">
              <w:rPr>
                <w:rFonts w:ascii="Calibri" w:eastAsia="Calibri" w:hAnsi="Calibri" w:cs="Times New Roman"/>
                <w:b/>
              </w:rPr>
              <w:t>Current</w:t>
            </w:r>
          </w:p>
        </w:tc>
        <w:tc>
          <w:tcPr>
            <w:tcW w:w="1984" w:type="dxa"/>
          </w:tcPr>
          <w:p w:rsidR="00986201" w:rsidRPr="00BC411F" w:rsidRDefault="00986201" w:rsidP="0007033B">
            <w:pPr>
              <w:spacing w:after="0"/>
              <w:jc w:val="center"/>
              <w:rPr>
                <w:rFonts w:ascii="Calibri" w:eastAsia="Calibri" w:hAnsi="Calibri" w:cs="Times New Roman"/>
                <w:b/>
              </w:rPr>
            </w:pPr>
            <w:r w:rsidRPr="00BC411F">
              <w:rPr>
                <w:rFonts w:ascii="Calibri" w:eastAsia="Calibri" w:hAnsi="Calibri" w:cs="Times New Roman"/>
                <w:b/>
              </w:rPr>
              <w:t>Proposed</w:t>
            </w:r>
          </w:p>
        </w:tc>
        <w:tc>
          <w:tcPr>
            <w:tcW w:w="1827" w:type="dxa"/>
          </w:tcPr>
          <w:p w:rsidR="00986201" w:rsidRPr="00BC411F" w:rsidRDefault="00986201" w:rsidP="0007033B">
            <w:pPr>
              <w:spacing w:after="0"/>
              <w:jc w:val="center"/>
              <w:rPr>
                <w:rFonts w:ascii="Calibri" w:eastAsia="Calibri" w:hAnsi="Calibri" w:cs="Times New Roman"/>
                <w:b/>
              </w:rPr>
            </w:pPr>
            <w:r w:rsidRPr="00BC411F">
              <w:rPr>
                <w:rFonts w:ascii="Calibri" w:eastAsia="Calibri" w:hAnsi="Calibri" w:cs="Times New Roman"/>
                <w:b/>
              </w:rPr>
              <w:t>Current</w:t>
            </w:r>
          </w:p>
        </w:tc>
        <w:tc>
          <w:tcPr>
            <w:tcW w:w="2142" w:type="dxa"/>
          </w:tcPr>
          <w:p w:rsidR="00986201" w:rsidRPr="00BC411F" w:rsidRDefault="00986201" w:rsidP="0007033B">
            <w:pPr>
              <w:spacing w:after="0"/>
              <w:jc w:val="center"/>
              <w:rPr>
                <w:rFonts w:ascii="Calibri" w:eastAsia="Calibri" w:hAnsi="Calibri" w:cs="Times New Roman"/>
                <w:b/>
              </w:rPr>
            </w:pPr>
            <w:r w:rsidRPr="00BC411F">
              <w:rPr>
                <w:rFonts w:ascii="Calibri" w:eastAsia="Calibri" w:hAnsi="Calibri" w:cs="Times New Roman"/>
                <w:b/>
              </w:rPr>
              <w:t>Proposed</w:t>
            </w:r>
          </w:p>
        </w:tc>
      </w:tr>
      <w:tr w:rsidR="00B63B82" w:rsidRPr="00BC411F" w:rsidTr="000237C6">
        <w:tc>
          <w:tcPr>
            <w:tcW w:w="1809" w:type="dxa"/>
            <w:shd w:val="clear" w:color="auto" w:fill="FFFF00"/>
          </w:tcPr>
          <w:p w:rsidR="00B63B82" w:rsidRPr="00B029BC" w:rsidRDefault="00B63B82" w:rsidP="0007033B">
            <w:pPr>
              <w:pStyle w:val="NoSpacing"/>
              <w:rPr>
                <w:rStyle w:val="Strong"/>
                <w:rFonts w:ascii="Times New Roman" w:eastAsia="Calibri" w:hAnsi="Times New Roman"/>
              </w:rPr>
            </w:pPr>
            <w:r w:rsidRPr="00B029BC">
              <w:rPr>
                <w:rStyle w:val="Strong"/>
                <w:rFonts w:ascii="Times New Roman" w:eastAsia="Calibri" w:hAnsi="Times New Roman"/>
              </w:rPr>
              <w:t>Residential / Business Owner Occupier</w:t>
            </w:r>
          </w:p>
        </w:tc>
        <w:tc>
          <w:tcPr>
            <w:tcW w:w="1418" w:type="dxa"/>
          </w:tcPr>
          <w:p w:rsidR="00B63B82" w:rsidRPr="00B029BC" w:rsidRDefault="00B63B82" w:rsidP="00B63B82">
            <w:pPr>
              <w:pStyle w:val="NoSpacing"/>
              <w:rPr>
                <w:rStyle w:val="Strong"/>
                <w:rFonts w:ascii="Times New Roman" w:eastAsia="Calibri" w:hAnsi="Times New Roman"/>
              </w:rPr>
            </w:pPr>
            <w:r w:rsidRPr="00B029BC">
              <w:rPr>
                <w:rStyle w:val="Strong"/>
                <w:rFonts w:ascii="Times New Roman" w:eastAsia="Calibri" w:hAnsi="Times New Roman"/>
              </w:rPr>
              <w:t>Market value, *</w:t>
            </w:r>
            <w:proofErr w:type="spellStart"/>
            <w:r w:rsidRPr="00B029BC">
              <w:rPr>
                <w:rStyle w:val="Strong"/>
                <w:rFonts w:ascii="Times New Roman" w:eastAsia="Calibri" w:hAnsi="Times New Roman"/>
              </w:rPr>
              <w:t>Solatium</w:t>
            </w:r>
            <w:proofErr w:type="spellEnd"/>
            <w:r w:rsidRPr="00B029BC">
              <w:rPr>
                <w:rStyle w:val="Strong"/>
                <w:rFonts w:ascii="Times New Roman" w:eastAsia="Calibri" w:hAnsi="Times New Roman"/>
              </w:rPr>
              <w:t xml:space="preserve"> &amp; Disturbance</w:t>
            </w:r>
          </w:p>
        </w:tc>
        <w:tc>
          <w:tcPr>
            <w:tcW w:w="1984" w:type="dxa"/>
          </w:tcPr>
          <w:p w:rsidR="00B63B82" w:rsidRPr="00B029BC" w:rsidRDefault="00B63B82" w:rsidP="00B63B82">
            <w:pPr>
              <w:pStyle w:val="NoSpacing"/>
              <w:rPr>
                <w:rStyle w:val="Strong"/>
                <w:rFonts w:ascii="Times New Roman" w:eastAsia="Calibri" w:hAnsi="Times New Roman"/>
              </w:rPr>
            </w:pPr>
            <w:r w:rsidRPr="00B029BC">
              <w:rPr>
                <w:rStyle w:val="Strong"/>
                <w:rFonts w:ascii="Times New Roman" w:eastAsia="Calibri" w:hAnsi="Times New Roman"/>
              </w:rPr>
              <w:t>Market V</w:t>
            </w:r>
            <w:r w:rsidR="00CE7CAA" w:rsidRPr="00B029BC">
              <w:rPr>
                <w:rStyle w:val="Strong"/>
                <w:rFonts w:ascii="Times New Roman" w:eastAsia="Calibri" w:hAnsi="Times New Roman"/>
              </w:rPr>
              <w:t xml:space="preserve">alue </w:t>
            </w:r>
            <w:r w:rsidR="000237C6" w:rsidRPr="00B029BC">
              <w:rPr>
                <w:rStyle w:val="Strong"/>
                <w:rFonts w:ascii="Times New Roman" w:eastAsia="Calibri" w:hAnsi="Times New Roman"/>
              </w:rPr>
              <w:t>*</w:t>
            </w:r>
            <w:proofErr w:type="spellStart"/>
            <w:r w:rsidR="00CE7CAA" w:rsidRPr="00B029BC">
              <w:rPr>
                <w:rStyle w:val="Strong"/>
                <w:rFonts w:ascii="Times New Roman" w:eastAsia="Calibri" w:hAnsi="Times New Roman"/>
              </w:rPr>
              <w:t>Solatium</w:t>
            </w:r>
            <w:proofErr w:type="spellEnd"/>
            <w:r w:rsidRPr="00B029BC">
              <w:rPr>
                <w:rStyle w:val="Strong"/>
                <w:rFonts w:ascii="Times New Roman" w:eastAsia="Calibri" w:hAnsi="Times New Roman"/>
              </w:rPr>
              <w:t xml:space="preserve"> </w:t>
            </w:r>
            <w:r w:rsidR="000237C6" w:rsidRPr="00B029BC">
              <w:rPr>
                <w:rStyle w:val="Strong"/>
                <w:rFonts w:ascii="Times New Roman" w:eastAsia="Calibri" w:hAnsi="Times New Roman"/>
              </w:rPr>
              <w:t>#</w:t>
            </w:r>
            <w:r w:rsidRPr="00B029BC">
              <w:rPr>
                <w:rStyle w:val="Strong"/>
                <w:rFonts w:ascii="Times New Roman" w:eastAsia="Calibri" w:hAnsi="Times New Roman"/>
              </w:rPr>
              <w:t xml:space="preserve">Disturbance or </w:t>
            </w:r>
            <w:r w:rsidRPr="00B029BC">
              <w:rPr>
                <w:rStyle w:val="Strong"/>
                <w:rFonts w:ascii="Times New Roman" w:eastAsia="Calibri" w:hAnsi="Times New Roman"/>
                <w:b/>
                <w:i/>
              </w:rPr>
              <w:t>Reinstatement Option</w:t>
            </w:r>
          </w:p>
        </w:tc>
        <w:tc>
          <w:tcPr>
            <w:tcW w:w="1827" w:type="dxa"/>
          </w:tcPr>
          <w:p w:rsidR="00B63B82" w:rsidRPr="00B029BC" w:rsidRDefault="00B63B82" w:rsidP="0007033B">
            <w:pPr>
              <w:pStyle w:val="NoSpacing"/>
              <w:rPr>
                <w:rStyle w:val="Strong"/>
                <w:rFonts w:ascii="Times New Roman" w:eastAsia="Calibri" w:hAnsi="Times New Roman"/>
              </w:rPr>
            </w:pPr>
            <w:r w:rsidRPr="00B029BC">
              <w:rPr>
                <w:rStyle w:val="Strong"/>
                <w:rFonts w:ascii="Times New Roman" w:eastAsia="Calibri" w:hAnsi="Times New Roman"/>
              </w:rPr>
              <w:t>Market value, *</w:t>
            </w:r>
            <w:proofErr w:type="spellStart"/>
            <w:r w:rsidRPr="00B029BC">
              <w:rPr>
                <w:rStyle w:val="Strong"/>
                <w:rFonts w:ascii="Times New Roman" w:eastAsia="Calibri" w:hAnsi="Times New Roman"/>
              </w:rPr>
              <w:t>Solatium</w:t>
            </w:r>
            <w:proofErr w:type="spellEnd"/>
            <w:r w:rsidRPr="00B029BC">
              <w:rPr>
                <w:rStyle w:val="Strong"/>
                <w:rFonts w:ascii="Times New Roman" w:eastAsia="Calibri" w:hAnsi="Times New Roman"/>
              </w:rPr>
              <w:t xml:space="preserve"> &amp; Disturbance</w:t>
            </w:r>
          </w:p>
        </w:tc>
        <w:tc>
          <w:tcPr>
            <w:tcW w:w="2142" w:type="dxa"/>
            <w:vMerge w:val="restart"/>
          </w:tcPr>
          <w:p w:rsidR="000237C6" w:rsidRPr="00B029BC" w:rsidRDefault="000237C6" w:rsidP="0007033B">
            <w:pPr>
              <w:pStyle w:val="NoSpacing"/>
              <w:rPr>
                <w:rStyle w:val="Strong"/>
                <w:rFonts w:ascii="Times New Roman" w:eastAsia="Calibri" w:hAnsi="Times New Roman"/>
                <w:b/>
              </w:rPr>
            </w:pPr>
          </w:p>
          <w:p w:rsidR="00B63B82" w:rsidRPr="00B029BC" w:rsidRDefault="00B63B82" w:rsidP="0007033B">
            <w:pPr>
              <w:pStyle w:val="NoSpacing"/>
              <w:rPr>
                <w:rStyle w:val="Strong"/>
                <w:rFonts w:ascii="Times New Roman" w:eastAsia="Calibri" w:hAnsi="Times New Roman"/>
                <w:b/>
              </w:rPr>
            </w:pPr>
            <w:r w:rsidRPr="00B029BC">
              <w:rPr>
                <w:rStyle w:val="Strong"/>
                <w:rFonts w:ascii="Times New Roman" w:eastAsia="Calibri" w:hAnsi="Times New Roman"/>
                <w:b/>
              </w:rPr>
              <w:t xml:space="preserve">Market value or </w:t>
            </w:r>
            <w:r w:rsidRPr="00B029BC">
              <w:rPr>
                <w:rStyle w:val="Strong"/>
                <w:rFonts w:ascii="Times New Roman" w:eastAsia="Calibri" w:hAnsi="Times New Roman"/>
                <w:b/>
                <w:i/>
              </w:rPr>
              <w:t>Reinstatement or</w:t>
            </w:r>
            <w:r w:rsidRPr="00B029BC">
              <w:rPr>
                <w:rStyle w:val="Strong"/>
                <w:rFonts w:ascii="Times New Roman" w:eastAsia="Calibri" w:hAnsi="Times New Roman"/>
                <w:b/>
              </w:rPr>
              <w:t xml:space="preserve"> </w:t>
            </w:r>
            <w:r w:rsidRPr="00B029BC">
              <w:rPr>
                <w:rStyle w:val="Strong"/>
                <w:rFonts w:ascii="Times New Roman" w:eastAsia="Calibri" w:hAnsi="Times New Roman"/>
                <w:b/>
                <w:i/>
              </w:rPr>
              <w:t>Percentage share of land value as a redevelopment</w:t>
            </w:r>
          </w:p>
          <w:p w:rsidR="00B63B82" w:rsidRPr="00B029BC" w:rsidRDefault="00B63B82" w:rsidP="0007033B">
            <w:pPr>
              <w:pStyle w:val="NoSpacing"/>
              <w:rPr>
                <w:rStyle w:val="Strong"/>
                <w:rFonts w:ascii="Times New Roman" w:eastAsia="Calibri" w:hAnsi="Times New Roman"/>
                <w:b/>
              </w:rPr>
            </w:pPr>
          </w:p>
        </w:tc>
      </w:tr>
      <w:tr w:rsidR="00B63B82" w:rsidRPr="00BC411F" w:rsidTr="000237C6">
        <w:tc>
          <w:tcPr>
            <w:tcW w:w="1809" w:type="dxa"/>
            <w:shd w:val="clear" w:color="auto" w:fill="FFFF00"/>
          </w:tcPr>
          <w:p w:rsidR="00B63B82" w:rsidRPr="00B029BC" w:rsidRDefault="00B63B82" w:rsidP="00B63B82">
            <w:pPr>
              <w:pStyle w:val="NoSpacing"/>
              <w:rPr>
                <w:rStyle w:val="Strong"/>
                <w:rFonts w:ascii="Times New Roman" w:eastAsia="Calibri" w:hAnsi="Times New Roman"/>
              </w:rPr>
            </w:pPr>
            <w:r w:rsidRPr="00B029BC">
              <w:rPr>
                <w:rStyle w:val="Strong"/>
                <w:rFonts w:ascii="Times New Roman" w:eastAsia="Calibri" w:hAnsi="Times New Roman"/>
              </w:rPr>
              <w:t>Residential /  Business Investor Owner</w:t>
            </w:r>
          </w:p>
        </w:tc>
        <w:tc>
          <w:tcPr>
            <w:tcW w:w="1418" w:type="dxa"/>
          </w:tcPr>
          <w:p w:rsidR="00B63B82" w:rsidRPr="00B029BC" w:rsidRDefault="00B63B82" w:rsidP="0007033B">
            <w:pPr>
              <w:pStyle w:val="NoSpacing"/>
              <w:rPr>
                <w:rStyle w:val="Strong"/>
                <w:rFonts w:ascii="Times New Roman" w:eastAsia="Calibri" w:hAnsi="Times New Roman"/>
              </w:rPr>
            </w:pPr>
            <w:r w:rsidRPr="00B029BC">
              <w:rPr>
                <w:rStyle w:val="Strong"/>
                <w:rFonts w:ascii="Times New Roman" w:eastAsia="Calibri" w:hAnsi="Times New Roman"/>
              </w:rPr>
              <w:t>Market value  &amp; Disturbance</w:t>
            </w:r>
          </w:p>
        </w:tc>
        <w:tc>
          <w:tcPr>
            <w:tcW w:w="1984" w:type="dxa"/>
          </w:tcPr>
          <w:p w:rsidR="00B63B82" w:rsidRPr="00B029BC" w:rsidRDefault="00B63B82" w:rsidP="0007033B">
            <w:pPr>
              <w:pStyle w:val="NoSpacing"/>
              <w:rPr>
                <w:rStyle w:val="Strong"/>
                <w:rFonts w:ascii="Times New Roman" w:eastAsia="Calibri" w:hAnsi="Times New Roman"/>
              </w:rPr>
            </w:pPr>
            <w:r w:rsidRPr="00B029BC">
              <w:rPr>
                <w:rStyle w:val="Strong"/>
                <w:rFonts w:ascii="Times New Roman" w:eastAsia="Calibri" w:hAnsi="Times New Roman"/>
              </w:rPr>
              <w:t xml:space="preserve">Market value &amp; </w:t>
            </w:r>
            <w:r w:rsidR="000237C6" w:rsidRPr="00B029BC">
              <w:rPr>
                <w:rStyle w:val="Strong"/>
                <w:rFonts w:ascii="Times New Roman" w:eastAsia="Calibri" w:hAnsi="Times New Roman"/>
              </w:rPr>
              <w:t>#</w:t>
            </w:r>
            <w:r w:rsidRPr="00B029BC">
              <w:rPr>
                <w:rStyle w:val="Strong"/>
                <w:rFonts w:ascii="Times New Roman" w:eastAsia="Calibri" w:hAnsi="Times New Roman"/>
              </w:rPr>
              <w:t>Disturbance</w:t>
            </w:r>
          </w:p>
        </w:tc>
        <w:tc>
          <w:tcPr>
            <w:tcW w:w="1827" w:type="dxa"/>
          </w:tcPr>
          <w:p w:rsidR="00B63B82" w:rsidRPr="00B029BC" w:rsidRDefault="00B63B82" w:rsidP="0007033B">
            <w:pPr>
              <w:pStyle w:val="NoSpacing"/>
              <w:rPr>
                <w:rStyle w:val="Strong"/>
                <w:rFonts w:ascii="Times New Roman" w:eastAsia="Calibri" w:hAnsi="Times New Roman"/>
              </w:rPr>
            </w:pPr>
            <w:r w:rsidRPr="00B029BC">
              <w:rPr>
                <w:rStyle w:val="Strong"/>
                <w:rFonts w:ascii="Times New Roman" w:eastAsia="Calibri" w:hAnsi="Times New Roman"/>
              </w:rPr>
              <w:t>Market value &amp; Disturbance</w:t>
            </w:r>
          </w:p>
        </w:tc>
        <w:tc>
          <w:tcPr>
            <w:tcW w:w="2142" w:type="dxa"/>
            <w:vMerge/>
          </w:tcPr>
          <w:p w:rsidR="00B63B82" w:rsidRPr="00B029BC" w:rsidRDefault="00B63B82" w:rsidP="0007033B">
            <w:pPr>
              <w:pStyle w:val="NoSpacing"/>
              <w:rPr>
                <w:rStyle w:val="Strong"/>
                <w:rFonts w:ascii="Times New Roman" w:eastAsia="Calibri" w:hAnsi="Times New Roman"/>
              </w:rPr>
            </w:pPr>
          </w:p>
        </w:tc>
      </w:tr>
      <w:tr w:rsidR="00B63B82" w:rsidRPr="00BC411F" w:rsidTr="000237C6">
        <w:tc>
          <w:tcPr>
            <w:tcW w:w="1809" w:type="dxa"/>
            <w:shd w:val="clear" w:color="auto" w:fill="FFFF00"/>
          </w:tcPr>
          <w:p w:rsidR="00986201" w:rsidRPr="00B029BC" w:rsidRDefault="00986201" w:rsidP="0007033B">
            <w:pPr>
              <w:pStyle w:val="NoSpacing"/>
              <w:rPr>
                <w:rStyle w:val="Strong"/>
                <w:rFonts w:ascii="Times New Roman" w:eastAsia="Calibri" w:hAnsi="Times New Roman"/>
              </w:rPr>
            </w:pPr>
            <w:r w:rsidRPr="00B029BC">
              <w:rPr>
                <w:rStyle w:val="Strong"/>
                <w:rFonts w:ascii="Times New Roman" w:eastAsia="Calibri" w:hAnsi="Times New Roman"/>
              </w:rPr>
              <w:t>Residential / Business Tenant</w:t>
            </w:r>
          </w:p>
        </w:tc>
        <w:tc>
          <w:tcPr>
            <w:tcW w:w="1418" w:type="dxa"/>
          </w:tcPr>
          <w:p w:rsidR="00986201" w:rsidRPr="00B029BC" w:rsidRDefault="00986201" w:rsidP="00CE7CAA">
            <w:pPr>
              <w:pStyle w:val="NoSpacing"/>
              <w:rPr>
                <w:rStyle w:val="Strong"/>
                <w:rFonts w:ascii="Times New Roman" w:eastAsia="Calibri" w:hAnsi="Times New Roman"/>
              </w:rPr>
            </w:pPr>
            <w:r w:rsidRPr="00B029BC">
              <w:rPr>
                <w:rStyle w:val="Strong"/>
                <w:rFonts w:ascii="Times New Roman" w:eastAsia="Calibri" w:hAnsi="Times New Roman"/>
              </w:rPr>
              <w:t>Disturbance</w:t>
            </w:r>
            <w:r w:rsidR="00CE7CAA" w:rsidRPr="00B029BC">
              <w:rPr>
                <w:rStyle w:val="Strong"/>
                <w:rFonts w:ascii="Times New Roman" w:eastAsia="Calibri" w:hAnsi="Times New Roman"/>
              </w:rPr>
              <w:t xml:space="preserve"> to lessee and lessor</w:t>
            </w:r>
          </w:p>
        </w:tc>
        <w:tc>
          <w:tcPr>
            <w:tcW w:w="1984" w:type="dxa"/>
          </w:tcPr>
          <w:p w:rsidR="00986201" w:rsidRPr="00B029BC" w:rsidRDefault="000237C6" w:rsidP="0007033B">
            <w:pPr>
              <w:pStyle w:val="NoSpacing"/>
              <w:rPr>
                <w:rStyle w:val="Strong"/>
                <w:rFonts w:ascii="Times New Roman" w:eastAsia="Calibri" w:hAnsi="Times New Roman"/>
              </w:rPr>
            </w:pPr>
            <w:r w:rsidRPr="00B029BC">
              <w:rPr>
                <w:rStyle w:val="Strong"/>
                <w:rFonts w:ascii="Times New Roman" w:eastAsia="Calibri" w:hAnsi="Times New Roman"/>
              </w:rPr>
              <w:t>#</w:t>
            </w:r>
            <w:r w:rsidR="00986201" w:rsidRPr="00B029BC">
              <w:rPr>
                <w:rStyle w:val="Strong"/>
                <w:rFonts w:ascii="Times New Roman" w:eastAsia="Calibri" w:hAnsi="Times New Roman"/>
              </w:rPr>
              <w:t xml:space="preserve">Disturbance </w:t>
            </w:r>
            <w:r w:rsidR="00CE7CAA" w:rsidRPr="00B029BC">
              <w:rPr>
                <w:rStyle w:val="Strong"/>
                <w:rFonts w:ascii="Times New Roman" w:eastAsia="Calibri" w:hAnsi="Times New Roman"/>
              </w:rPr>
              <w:t xml:space="preserve">to lessee or lessor </w:t>
            </w:r>
            <w:r w:rsidR="00986201" w:rsidRPr="00B029BC">
              <w:rPr>
                <w:rStyle w:val="Strong"/>
                <w:rFonts w:ascii="Times New Roman" w:eastAsia="Calibri" w:hAnsi="Times New Roman"/>
              </w:rPr>
              <w:t xml:space="preserve">or </w:t>
            </w:r>
            <w:r w:rsidR="00986201" w:rsidRPr="00B029BC">
              <w:rPr>
                <w:rStyle w:val="Strong"/>
                <w:rFonts w:ascii="Times New Roman" w:eastAsia="Calibri" w:hAnsi="Times New Roman"/>
                <w:b/>
                <w:i/>
              </w:rPr>
              <w:t>Reinstatement</w:t>
            </w:r>
            <w:r w:rsidR="00B63B82" w:rsidRPr="00B029BC">
              <w:rPr>
                <w:rStyle w:val="Strong"/>
                <w:rFonts w:ascii="Times New Roman" w:eastAsia="Calibri" w:hAnsi="Times New Roman"/>
                <w:b/>
                <w:i/>
              </w:rPr>
              <w:t xml:space="preserve"> Option</w:t>
            </w:r>
          </w:p>
        </w:tc>
        <w:tc>
          <w:tcPr>
            <w:tcW w:w="1827" w:type="dxa"/>
          </w:tcPr>
          <w:p w:rsidR="00986201" w:rsidRPr="00B029BC" w:rsidRDefault="00986201" w:rsidP="0007033B">
            <w:pPr>
              <w:pStyle w:val="NoSpacing"/>
              <w:rPr>
                <w:rStyle w:val="Strong"/>
                <w:rFonts w:ascii="Times New Roman" w:eastAsia="Calibri" w:hAnsi="Times New Roman"/>
              </w:rPr>
            </w:pPr>
            <w:r w:rsidRPr="00B029BC">
              <w:rPr>
                <w:rStyle w:val="Strong"/>
                <w:rFonts w:ascii="Times New Roman" w:eastAsia="Calibri" w:hAnsi="Times New Roman"/>
              </w:rPr>
              <w:t>Disturbance</w:t>
            </w:r>
            <w:r w:rsidR="00B63B82" w:rsidRPr="00B029BC">
              <w:rPr>
                <w:rStyle w:val="Strong"/>
                <w:rFonts w:ascii="Times New Roman" w:eastAsia="Calibri" w:hAnsi="Times New Roman"/>
              </w:rPr>
              <w:t xml:space="preserve"> up to the cost of extinguishment.</w:t>
            </w:r>
          </w:p>
        </w:tc>
        <w:tc>
          <w:tcPr>
            <w:tcW w:w="2142" w:type="dxa"/>
          </w:tcPr>
          <w:p w:rsidR="00986201" w:rsidRPr="00B029BC" w:rsidRDefault="000237C6" w:rsidP="00B63B82">
            <w:pPr>
              <w:pStyle w:val="NoSpacing"/>
              <w:rPr>
                <w:rStyle w:val="Strong"/>
                <w:rFonts w:ascii="Times New Roman" w:eastAsia="Calibri" w:hAnsi="Times New Roman"/>
              </w:rPr>
            </w:pPr>
            <w:r w:rsidRPr="00B029BC">
              <w:rPr>
                <w:rStyle w:val="Strong"/>
                <w:rFonts w:ascii="Times New Roman" w:eastAsia="Calibri" w:hAnsi="Times New Roman"/>
                <w:b/>
                <w:i/>
              </w:rPr>
              <w:t xml:space="preserve">Market Value or </w:t>
            </w:r>
            <w:r w:rsidR="00986201" w:rsidRPr="00B029BC">
              <w:rPr>
                <w:rStyle w:val="Strong"/>
                <w:rFonts w:ascii="Times New Roman" w:eastAsia="Calibri" w:hAnsi="Times New Roman"/>
                <w:b/>
                <w:i/>
              </w:rPr>
              <w:t>Reinstatement</w:t>
            </w:r>
            <w:r w:rsidR="00B63B82" w:rsidRPr="00B029BC">
              <w:rPr>
                <w:rStyle w:val="Strong"/>
                <w:rFonts w:ascii="Times New Roman" w:eastAsia="Calibri" w:hAnsi="Times New Roman"/>
                <w:b/>
                <w:i/>
              </w:rPr>
              <w:t xml:space="preserve"> / relocation to alternate premises or market value extinguishment option.</w:t>
            </w:r>
          </w:p>
        </w:tc>
      </w:tr>
    </w:tbl>
    <w:p w:rsidR="00986201" w:rsidRDefault="00B63B82" w:rsidP="000237C6">
      <w:pPr>
        <w:spacing w:after="120" w:line="240" w:lineRule="auto"/>
      </w:pPr>
      <w:r>
        <w:t>*Applies to residential property only</w:t>
      </w:r>
      <w:r w:rsidR="000237C6">
        <w:t xml:space="preserve">, #Disturbance includes cost of finding an alternate property </w:t>
      </w:r>
      <w:r w:rsidR="00B029BC">
        <w:t>/</w:t>
      </w:r>
      <w:r w:rsidR="000237C6">
        <w:t xml:space="preserve"> </w:t>
      </w:r>
      <w:proofErr w:type="spellStart"/>
      <w:r w:rsidR="000237C6">
        <w:t>buyers</w:t>
      </w:r>
      <w:proofErr w:type="spellEnd"/>
      <w:r w:rsidR="000237C6">
        <w:t xml:space="preserve"> agent.</w:t>
      </w:r>
    </w:p>
    <w:p w:rsidR="00D2068F" w:rsidRDefault="00D2068F" w:rsidP="00DF7288">
      <w:pPr>
        <w:spacing w:after="120" w:line="240" w:lineRule="auto"/>
        <w:rPr>
          <w:b/>
          <w:sz w:val="28"/>
          <w:szCs w:val="28"/>
        </w:rPr>
      </w:pPr>
    </w:p>
    <w:p w:rsidR="00E63533" w:rsidRPr="000A7372" w:rsidRDefault="00DC6257" w:rsidP="00DF7288">
      <w:pPr>
        <w:spacing w:after="120" w:line="240" w:lineRule="auto"/>
        <w:rPr>
          <w:b/>
          <w:sz w:val="24"/>
          <w:szCs w:val="24"/>
        </w:rPr>
      </w:pPr>
      <w:r w:rsidRPr="000A7372">
        <w:rPr>
          <w:b/>
          <w:sz w:val="24"/>
          <w:szCs w:val="24"/>
        </w:rPr>
        <w:t>CONCLUSION</w:t>
      </w:r>
    </w:p>
    <w:p w:rsidR="000237C6" w:rsidRDefault="000237C6" w:rsidP="000237C6">
      <w:r>
        <w:t xml:space="preserve">The purposes for which </w:t>
      </w:r>
      <w:r w:rsidR="00DF7288">
        <w:t>land is</w:t>
      </w:r>
      <w:r>
        <w:t xml:space="preserve"> acquired</w:t>
      </w:r>
      <w:r w:rsidR="00DF7288">
        <w:t xml:space="preserve"> have expanded in the re-urbanisation phase of highly developed cities to encompass both traditional and non-traditional public purposes. The necessity to be able to acquire land for both of these broad purposes is important and necessary in regenerating underdeveloped and obsolete land uses. In undertaking the acquisition process, it is important that all stakeholder needs are addressed and options are available for reinstatement of a dispossessed party, particularly in the case of economic development where a dispossessed party may be rehoused or their business relocated within the new development. This will still necessitate the need for disturbance while such development is being built, alternatively the Epstein model of a profit share model may be an option.</w:t>
      </w:r>
    </w:p>
    <w:p w:rsidR="0007033B" w:rsidRDefault="0007033B" w:rsidP="0007033B">
      <w:r>
        <w:lastRenderedPageBreak/>
        <w:t>It was further shown that in partial acquisition cases, a form of reinstatement does exist, in which items of disturbanc</w:t>
      </w:r>
      <w:r w:rsidR="00B023A5">
        <w:t xml:space="preserve">e form part of the compensation in allowing the dispossessed party to relocate on the retained potion of their land where practical. This option needs to be expanded to provide similar protection for owners </w:t>
      </w:r>
      <w:r w:rsidR="00296389">
        <w:t xml:space="preserve">who are </w:t>
      </w:r>
      <w:r w:rsidR="00B023A5">
        <w:t xml:space="preserve">the subject of total acquisitions, in which costs of relocating under items of disturbance must also include such professional services as buyer agents and location specialists. This is particularly the case where the acquiring authority does not participate in the </w:t>
      </w:r>
      <w:r w:rsidR="00296389">
        <w:t>relocation</w:t>
      </w:r>
      <w:r w:rsidR="00B023A5">
        <w:t xml:space="preserve"> process.</w:t>
      </w:r>
    </w:p>
    <w:p w:rsidR="00DF7288" w:rsidRDefault="0007033B" w:rsidP="0007033B">
      <w:r>
        <w:t xml:space="preserve">It was demonstrated that a difference exists in attitudes towards the options in the case of road widening purposes versus economic development, however in each purpose, particularly in marginal value locations reinstatement is an important safety net for a dispossessed owner. To this end, it was further shown that </w:t>
      </w:r>
      <w:proofErr w:type="spellStart"/>
      <w:r>
        <w:t>solatium</w:t>
      </w:r>
      <w:proofErr w:type="spellEnd"/>
      <w:r>
        <w:t xml:space="preserve"> and items of disturbance </w:t>
      </w:r>
      <w:r w:rsidR="00296389">
        <w:t>are</w:t>
      </w:r>
      <w:r>
        <w:t xml:space="preserve"> </w:t>
      </w:r>
      <w:r w:rsidR="00296389">
        <w:t>with</w:t>
      </w:r>
      <w:r>
        <w:t xml:space="preserve">in existing legislation in Australia and </w:t>
      </w:r>
      <w:r w:rsidR="00296389">
        <w:t>are</w:t>
      </w:r>
      <w:r>
        <w:t xml:space="preserve"> being strengthened as is the case internationally. This supports the fact that beyond the determination of market value, that the parties to an acquisition in particular the dispossessed</w:t>
      </w:r>
      <w:r w:rsidR="00296389">
        <w:t>,</w:t>
      </w:r>
      <w:r>
        <w:t xml:space="preserve"> are not willing and the requite heads of compensation must reflect that fact.</w:t>
      </w:r>
    </w:p>
    <w:p w:rsidR="00B333CE" w:rsidRDefault="00B023A5" w:rsidP="00B333CE">
      <w:r>
        <w:t>The equivalence principle must go beyond that of the equivalence of market value and encompass physical or economic equivalence</w:t>
      </w:r>
      <w:r w:rsidR="00296389">
        <w:t>s</w:t>
      </w:r>
      <w:r>
        <w:t xml:space="preserve"> in acquisition cases. This will place greater pressure </w:t>
      </w:r>
      <w:r w:rsidR="00B333CE">
        <w:t>and</w:t>
      </w:r>
      <w:r>
        <w:t xml:space="preserve"> resourcing the acqu</w:t>
      </w:r>
      <w:r w:rsidR="00296389">
        <w:t>isition process, however in the</w:t>
      </w:r>
      <w:r>
        <w:t xml:space="preserve"> case of economic development, where more intense uses of land underlie the acquisition of land</w:t>
      </w:r>
      <w:r w:rsidR="00B333CE">
        <w:t>,</w:t>
      </w:r>
      <w:r>
        <w:t xml:space="preserve"> the Epstein Model </w:t>
      </w:r>
      <w:r w:rsidR="00B333CE">
        <w:t>is an option in which the developer in concert with the acquiring authority may minimise lengthy hold-outs by accommodating the needs of the dispossessed through either a profit share or reinstatement option</w:t>
      </w:r>
      <w:r w:rsidR="00296389">
        <w:t>s</w:t>
      </w:r>
      <w:r w:rsidR="00B333CE">
        <w:t>.</w:t>
      </w:r>
    </w:p>
    <w:p w:rsidR="0077457C" w:rsidRDefault="0077457C" w:rsidP="0077457C">
      <w:pPr>
        <w:rPr>
          <w:rFonts w:cs="Arial"/>
          <w:b/>
          <w:sz w:val="24"/>
          <w:szCs w:val="24"/>
        </w:rPr>
      </w:pPr>
      <w:r>
        <w:rPr>
          <w:rFonts w:cs="Arial"/>
          <w:szCs w:val="20"/>
        </w:rPr>
        <w:t xml:space="preserve">In addition to </w:t>
      </w:r>
      <w:proofErr w:type="spellStart"/>
      <w:r>
        <w:rPr>
          <w:rFonts w:cs="Arial"/>
          <w:szCs w:val="20"/>
        </w:rPr>
        <w:t>valuers</w:t>
      </w:r>
      <w:proofErr w:type="spellEnd"/>
      <w:r>
        <w:rPr>
          <w:rFonts w:cs="Arial"/>
          <w:szCs w:val="20"/>
        </w:rPr>
        <w:t xml:space="preserve"> and property professional confining themselves to the determination of market value in acquisition cases, further opportunity exists for </w:t>
      </w:r>
      <w:proofErr w:type="spellStart"/>
      <w:r>
        <w:rPr>
          <w:rFonts w:cs="Arial"/>
          <w:szCs w:val="20"/>
        </w:rPr>
        <w:t>valuers</w:t>
      </w:r>
      <w:proofErr w:type="spellEnd"/>
      <w:r>
        <w:rPr>
          <w:rFonts w:cs="Arial"/>
          <w:szCs w:val="20"/>
        </w:rPr>
        <w:t xml:space="preserve"> to expand their role beyond their existing remit. The role of the </w:t>
      </w:r>
      <w:proofErr w:type="spellStart"/>
      <w:r>
        <w:rPr>
          <w:rFonts w:cs="Arial"/>
          <w:szCs w:val="20"/>
        </w:rPr>
        <w:t>valuer</w:t>
      </w:r>
      <w:proofErr w:type="spellEnd"/>
      <w:r>
        <w:rPr>
          <w:rFonts w:cs="Arial"/>
          <w:szCs w:val="20"/>
        </w:rPr>
        <w:t xml:space="preserve"> should also include the participation of assessing items of disturbance and more specifically modelling opportunities for dispossessed parties to reinstate themselves in alternate accommodation. Some of these roles are coming into their own through the use of relocation agents and buyer’s agents. Many of the skill set</w:t>
      </w:r>
      <w:r w:rsidR="002B728F">
        <w:rPr>
          <w:rFonts w:cs="Arial"/>
          <w:szCs w:val="20"/>
        </w:rPr>
        <w:t>s</w:t>
      </w:r>
      <w:r>
        <w:rPr>
          <w:rFonts w:cs="Arial"/>
          <w:szCs w:val="20"/>
        </w:rPr>
        <w:t xml:space="preserve"> used by these professionals encompass defining opportunities and estimating cost</w:t>
      </w:r>
      <w:r w:rsidR="002B728F">
        <w:rPr>
          <w:rFonts w:cs="Arial"/>
          <w:szCs w:val="20"/>
        </w:rPr>
        <w:t>s</w:t>
      </w:r>
      <w:r>
        <w:rPr>
          <w:rFonts w:cs="Arial"/>
          <w:szCs w:val="20"/>
        </w:rPr>
        <w:t xml:space="preserve"> in reinstating </w:t>
      </w:r>
      <w:r w:rsidR="002B728F">
        <w:rPr>
          <w:rFonts w:cs="Arial"/>
          <w:szCs w:val="20"/>
        </w:rPr>
        <w:t xml:space="preserve">parties affected by acquisitions, role that </w:t>
      </w:r>
      <w:proofErr w:type="spellStart"/>
      <w:r w:rsidR="002B728F">
        <w:rPr>
          <w:rFonts w:cs="Arial"/>
          <w:szCs w:val="20"/>
        </w:rPr>
        <w:t>valuers</w:t>
      </w:r>
      <w:proofErr w:type="spellEnd"/>
      <w:r w:rsidR="002B728F">
        <w:rPr>
          <w:rFonts w:cs="Arial"/>
          <w:szCs w:val="20"/>
        </w:rPr>
        <w:t xml:space="preserve"> have overlooked by confining themselves to the narrow remit of determining market value. </w:t>
      </w:r>
      <w:r>
        <w:rPr>
          <w:rFonts w:cs="Arial"/>
          <w:b/>
          <w:sz w:val="24"/>
          <w:szCs w:val="24"/>
        </w:rPr>
        <w:br w:type="page"/>
      </w:r>
    </w:p>
    <w:p w:rsidR="000237C6" w:rsidRPr="000A7372" w:rsidRDefault="00DC6257" w:rsidP="0086315E">
      <w:pPr>
        <w:autoSpaceDE w:val="0"/>
        <w:autoSpaceDN w:val="0"/>
        <w:adjustRightInd w:val="0"/>
        <w:spacing w:after="120" w:line="240" w:lineRule="auto"/>
        <w:rPr>
          <w:rFonts w:cs="Arial"/>
          <w:b/>
          <w:sz w:val="24"/>
          <w:szCs w:val="24"/>
        </w:rPr>
      </w:pPr>
      <w:r w:rsidRPr="000A7372">
        <w:rPr>
          <w:rFonts w:cs="Arial"/>
          <w:b/>
          <w:sz w:val="24"/>
          <w:szCs w:val="24"/>
        </w:rPr>
        <w:lastRenderedPageBreak/>
        <w:t>REFERENCES</w:t>
      </w:r>
    </w:p>
    <w:p w:rsidR="000237C6" w:rsidRPr="0086315E" w:rsidRDefault="000237C6" w:rsidP="00BB0277">
      <w:pPr>
        <w:spacing w:after="120" w:line="240" w:lineRule="auto"/>
        <w:rPr>
          <w:sz w:val="22"/>
        </w:rPr>
      </w:pPr>
      <w:r w:rsidRPr="0086315E">
        <w:rPr>
          <w:sz w:val="22"/>
        </w:rPr>
        <w:t>Brown, D. (</w:t>
      </w:r>
      <w:r w:rsidR="003A7604" w:rsidRPr="0086315E">
        <w:rPr>
          <w:sz w:val="22"/>
        </w:rPr>
        <w:t>2010</w:t>
      </w:r>
      <w:r w:rsidRPr="0086315E">
        <w:rPr>
          <w:sz w:val="22"/>
        </w:rPr>
        <w:t xml:space="preserve">). </w:t>
      </w:r>
      <w:r w:rsidRPr="0086315E">
        <w:rPr>
          <w:sz w:val="22"/>
          <w:u w:val="single"/>
        </w:rPr>
        <w:t>Land Acquisition</w:t>
      </w:r>
      <w:r w:rsidRPr="0086315E">
        <w:rPr>
          <w:sz w:val="22"/>
        </w:rPr>
        <w:t xml:space="preserve">. Chatswood, Lexis </w:t>
      </w:r>
      <w:proofErr w:type="spellStart"/>
      <w:r w:rsidRPr="0086315E">
        <w:rPr>
          <w:sz w:val="22"/>
        </w:rPr>
        <w:t>Nexis</w:t>
      </w:r>
      <w:proofErr w:type="spellEnd"/>
      <w:r w:rsidRPr="0086315E">
        <w:rPr>
          <w:sz w:val="22"/>
        </w:rPr>
        <w:t xml:space="preserve"> </w:t>
      </w:r>
      <w:proofErr w:type="spellStart"/>
      <w:r w:rsidRPr="0086315E">
        <w:rPr>
          <w:sz w:val="22"/>
        </w:rPr>
        <w:t>Butterworths</w:t>
      </w:r>
      <w:proofErr w:type="spellEnd"/>
      <w:r w:rsidRPr="0086315E">
        <w:rPr>
          <w:sz w:val="22"/>
        </w:rPr>
        <w:t>.</w:t>
      </w:r>
      <w:r w:rsidRPr="0086315E">
        <w:rPr>
          <w:sz w:val="22"/>
        </w:rPr>
        <w:tab/>
      </w:r>
    </w:p>
    <w:p w:rsidR="000237C6" w:rsidRPr="0086315E" w:rsidRDefault="000237C6" w:rsidP="00BB0277">
      <w:pPr>
        <w:spacing w:after="120" w:line="240" w:lineRule="auto"/>
        <w:rPr>
          <w:sz w:val="22"/>
        </w:rPr>
      </w:pPr>
      <w:r w:rsidRPr="0086315E">
        <w:rPr>
          <w:sz w:val="22"/>
        </w:rPr>
        <w:t xml:space="preserve">Curtin, D. J., &amp; Witten, J.D., (2005). "Windfalls, </w:t>
      </w:r>
      <w:proofErr w:type="spellStart"/>
      <w:r w:rsidRPr="0086315E">
        <w:rPr>
          <w:sz w:val="22"/>
        </w:rPr>
        <w:t>wipeouts</w:t>
      </w:r>
      <w:proofErr w:type="spellEnd"/>
      <w:r w:rsidRPr="0086315E">
        <w:rPr>
          <w:sz w:val="22"/>
        </w:rPr>
        <w:t xml:space="preserve">, </w:t>
      </w:r>
      <w:proofErr w:type="spellStart"/>
      <w:r w:rsidRPr="0086315E">
        <w:rPr>
          <w:sz w:val="22"/>
        </w:rPr>
        <w:t>givings</w:t>
      </w:r>
      <w:proofErr w:type="spellEnd"/>
      <w:r w:rsidRPr="0086315E">
        <w:rPr>
          <w:sz w:val="22"/>
        </w:rPr>
        <w:t xml:space="preserve"> and takings in dramatic redevelopment projects: Bargaining for better zoning on density, views and public access." </w:t>
      </w:r>
      <w:r w:rsidRPr="0086315E">
        <w:rPr>
          <w:sz w:val="22"/>
          <w:u w:val="single"/>
        </w:rPr>
        <w:t>Boston College Environmental Affairs Law Review</w:t>
      </w:r>
      <w:r w:rsidRPr="0086315E">
        <w:rPr>
          <w:sz w:val="22"/>
        </w:rPr>
        <w:t xml:space="preserve"> </w:t>
      </w:r>
      <w:r w:rsidRPr="0086315E">
        <w:rPr>
          <w:b/>
          <w:bCs/>
          <w:sz w:val="22"/>
        </w:rPr>
        <w:t>Boston College, School of Law</w:t>
      </w:r>
      <w:r w:rsidRPr="0086315E">
        <w:rPr>
          <w:sz w:val="22"/>
        </w:rPr>
        <w:t>.</w:t>
      </w:r>
    </w:p>
    <w:p w:rsidR="000237C6" w:rsidRPr="0086315E" w:rsidRDefault="000237C6" w:rsidP="00BB0277">
      <w:pPr>
        <w:spacing w:after="120" w:line="240" w:lineRule="auto"/>
        <w:rPr>
          <w:sz w:val="22"/>
        </w:rPr>
      </w:pPr>
      <w:r w:rsidRPr="0086315E">
        <w:rPr>
          <w:sz w:val="22"/>
        </w:rPr>
        <w:t xml:space="preserve">Epstein, R. A. (1985). </w:t>
      </w:r>
      <w:r w:rsidRPr="0086315E">
        <w:rPr>
          <w:sz w:val="22"/>
          <w:u w:val="single"/>
        </w:rPr>
        <w:t>Takings: Private Property and the Power of Eminent Domain</w:t>
      </w:r>
      <w:r w:rsidRPr="0086315E">
        <w:rPr>
          <w:sz w:val="22"/>
        </w:rPr>
        <w:t>. Cambridge MA, Harvard University Press.</w:t>
      </w:r>
    </w:p>
    <w:p w:rsidR="000237C6" w:rsidRPr="0086315E" w:rsidRDefault="000237C6" w:rsidP="00BB0277">
      <w:pPr>
        <w:spacing w:after="120" w:line="240" w:lineRule="auto"/>
        <w:rPr>
          <w:sz w:val="22"/>
        </w:rPr>
      </w:pPr>
      <w:r w:rsidRPr="0086315E">
        <w:rPr>
          <w:sz w:val="22"/>
        </w:rPr>
        <w:t xml:space="preserve">Epstein, R. A. (2008). </w:t>
      </w:r>
      <w:r w:rsidRPr="0086315E">
        <w:rPr>
          <w:sz w:val="22"/>
          <w:u w:val="single"/>
        </w:rPr>
        <w:t>Supreme Neglect</w:t>
      </w:r>
      <w:r w:rsidRPr="0086315E">
        <w:rPr>
          <w:sz w:val="22"/>
        </w:rPr>
        <w:t>. Oxford, Oxford University Press.</w:t>
      </w:r>
    </w:p>
    <w:p w:rsidR="007B0B09" w:rsidRPr="0086315E" w:rsidRDefault="007B0B09" w:rsidP="00BB0277">
      <w:pPr>
        <w:autoSpaceDE w:val="0"/>
        <w:autoSpaceDN w:val="0"/>
        <w:adjustRightInd w:val="0"/>
        <w:spacing w:after="120" w:line="240" w:lineRule="auto"/>
        <w:rPr>
          <w:rFonts w:cs="Arial"/>
          <w:sz w:val="22"/>
        </w:rPr>
      </w:pPr>
      <w:r w:rsidRPr="0086315E">
        <w:rPr>
          <w:rFonts w:cs="Arial"/>
          <w:sz w:val="22"/>
        </w:rPr>
        <w:t xml:space="preserve">Hollander, S. (2000). </w:t>
      </w:r>
      <w:r w:rsidRPr="0086315E">
        <w:rPr>
          <w:rFonts w:cs="Arial"/>
          <w:sz w:val="22"/>
          <w:u w:val="single"/>
        </w:rPr>
        <w:t>John Stuart Mill on economic theory and method</w:t>
      </w:r>
      <w:r w:rsidRPr="0086315E">
        <w:rPr>
          <w:rFonts w:cs="Arial"/>
          <w:sz w:val="22"/>
        </w:rPr>
        <w:t>, London. Routledge</w:t>
      </w:r>
    </w:p>
    <w:p w:rsidR="00AD44EB" w:rsidRPr="0086315E" w:rsidRDefault="00AD44EB" w:rsidP="00BB0277">
      <w:pPr>
        <w:spacing w:after="120" w:line="240" w:lineRule="auto"/>
        <w:rPr>
          <w:sz w:val="22"/>
        </w:rPr>
      </w:pPr>
      <w:r w:rsidRPr="0086315E">
        <w:rPr>
          <w:sz w:val="22"/>
        </w:rPr>
        <w:t>Home Purchase Appeals Committee (2007), Secretariat of the Home Purchase Appeals Committee, Hong Kong.</w:t>
      </w:r>
    </w:p>
    <w:p w:rsidR="003A7604" w:rsidRPr="0086315E" w:rsidRDefault="003A7604" w:rsidP="00BB0277">
      <w:pPr>
        <w:spacing w:after="120" w:line="240" w:lineRule="auto"/>
        <w:rPr>
          <w:sz w:val="22"/>
        </w:rPr>
      </w:pPr>
      <w:r w:rsidRPr="0086315E">
        <w:rPr>
          <w:sz w:val="22"/>
        </w:rPr>
        <w:t>Hornby, D. (1996). Appraisal 1, Introductory Valuation. Wooden ACT. Double D Products.</w:t>
      </w:r>
    </w:p>
    <w:p w:rsidR="00B333CE" w:rsidRPr="0086315E" w:rsidRDefault="00B333CE" w:rsidP="00BB0277">
      <w:pPr>
        <w:spacing w:after="120" w:line="240" w:lineRule="auto"/>
        <w:rPr>
          <w:sz w:val="22"/>
        </w:rPr>
      </w:pPr>
      <w:proofErr w:type="spellStart"/>
      <w:r w:rsidRPr="0086315E">
        <w:rPr>
          <w:sz w:val="22"/>
        </w:rPr>
        <w:t>Hyam</w:t>
      </w:r>
      <w:proofErr w:type="spellEnd"/>
      <w:r w:rsidRPr="0086315E">
        <w:rPr>
          <w:sz w:val="22"/>
        </w:rPr>
        <w:t>, A. (2004). The Law Affecting Valuation of Land in Australia, 3</w:t>
      </w:r>
      <w:r w:rsidRPr="0086315E">
        <w:rPr>
          <w:sz w:val="22"/>
          <w:vertAlign w:val="superscript"/>
        </w:rPr>
        <w:t>rd</w:t>
      </w:r>
      <w:r w:rsidRPr="0086315E">
        <w:rPr>
          <w:sz w:val="22"/>
        </w:rPr>
        <w:t xml:space="preserve"> Ed, </w:t>
      </w:r>
      <w:proofErr w:type="gramStart"/>
      <w:r w:rsidRPr="0086315E">
        <w:rPr>
          <w:sz w:val="22"/>
        </w:rPr>
        <w:t>The</w:t>
      </w:r>
      <w:proofErr w:type="gramEnd"/>
      <w:r w:rsidRPr="0086315E">
        <w:rPr>
          <w:sz w:val="22"/>
        </w:rPr>
        <w:t xml:space="preserve"> Federation Press, Annandale,</w:t>
      </w:r>
      <w:r w:rsidR="0019659F" w:rsidRPr="0086315E">
        <w:rPr>
          <w:sz w:val="22"/>
        </w:rPr>
        <w:t xml:space="preserve"> Sydney.</w:t>
      </w:r>
    </w:p>
    <w:p w:rsidR="0019659F" w:rsidRPr="0086315E" w:rsidRDefault="0019659F" w:rsidP="00BB0277">
      <w:pPr>
        <w:spacing w:after="120" w:line="240" w:lineRule="auto"/>
        <w:rPr>
          <w:sz w:val="22"/>
        </w:rPr>
      </w:pPr>
      <w:r w:rsidRPr="0086315E">
        <w:rPr>
          <w:sz w:val="22"/>
        </w:rPr>
        <w:t>Jacobs, M. (</w:t>
      </w:r>
      <w:r w:rsidR="007B0B09" w:rsidRPr="0086315E">
        <w:rPr>
          <w:sz w:val="22"/>
        </w:rPr>
        <w:t>1998</w:t>
      </w:r>
      <w:r w:rsidRPr="0086315E">
        <w:rPr>
          <w:sz w:val="22"/>
        </w:rPr>
        <w:t>). The Law of Compulsory Land Acquisition. Thomson Reuters Australia.</w:t>
      </w:r>
    </w:p>
    <w:p w:rsidR="000237C6" w:rsidRPr="0086315E" w:rsidRDefault="000237C6" w:rsidP="00BB0277">
      <w:pPr>
        <w:spacing w:after="120" w:line="240" w:lineRule="auto"/>
        <w:rPr>
          <w:sz w:val="22"/>
          <w:u w:val="single"/>
        </w:rPr>
      </w:pPr>
      <w:proofErr w:type="spellStart"/>
      <w:r w:rsidRPr="0086315E">
        <w:rPr>
          <w:sz w:val="22"/>
        </w:rPr>
        <w:t>Kalbro</w:t>
      </w:r>
      <w:proofErr w:type="spellEnd"/>
      <w:r w:rsidRPr="0086315E">
        <w:rPr>
          <w:sz w:val="22"/>
        </w:rPr>
        <w:t xml:space="preserve">, T., &amp; </w:t>
      </w:r>
      <w:proofErr w:type="spellStart"/>
      <w:r w:rsidRPr="0086315E">
        <w:rPr>
          <w:sz w:val="22"/>
        </w:rPr>
        <w:t>Sjodin</w:t>
      </w:r>
      <w:proofErr w:type="spellEnd"/>
      <w:r w:rsidRPr="0086315E">
        <w:rPr>
          <w:sz w:val="22"/>
        </w:rPr>
        <w:t>, E., (1993). "</w:t>
      </w:r>
      <w:proofErr w:type="spellStart"/>
      <w:r w:rsidRPr="0086315E">
        <w:rPr>
          <w:sz w:val="22"/>
        </w:rPr>
        <w:t>Ersattning</w:t>
      </w:r>
      <w:proofErr w:type="spellEnd"/>
      <w:r w:rsidRPr="0086315E">
        <w:rPr>
          <w:sz w:val="22"/>
        </w:rPr>
        <w:t xml:space="preserve"> vid </w:t>
      </w:r>
      <w:proofErr w:type="spellStart"/>
      <w:r w:rsidRPr="0086315E">
        <w:rPr>
          <w:sz w:val="22"/>
        </w:rPr>
        <w:t>fastighetsreglering</w:t>
      </w:r>
      <w:proofErr w:type="spellEnd"/>
      <w:r w:rsidRPr="0086315E">
        <w:rPr>
          <w:sz w:val="22"/>
        </w:rPr>
        <w:t xml:space="preserve"> (Compensation for </w:t>
      </w:r>
      <w:proofErr w:type="spellStart"/>
      <w:r w:rsidRPr="0086315E">
        <w:rPr>
          <w:sz w:val="22"/>
        </w:rPr>
        <w:t>Reallotment</w:t>
      </w:r>
      <w:proofErr w:type="spellEnd"/>
      <w:r w:rsidRPr="0086315E">
        <w:rPr>
          <w:sz w:val="22"/>
        </w:rPr>
        <w:t xml:space="preserve">)." </w:t>
      </w:r>
      <w:r w:rsidRPr="0086315E">
        <w:rPr>
          <w:sz w:val="22"/>
          <w:u w:val="single"/>
        </w:rPr>
        <w:t>Stockholm.</w:t>
      </w:r>
    </w:p>
    <w:p w:rsidR="003A7604" w:rsidRPr="0086315E" w:rsidRDefault="003A7604" w:rsidP="00BB0277">
      <w:pPr>
        <w:spacing w:after="120" w:line="240" w:lineRule="auto"/>
        <w:rPr>
          <w:sz w:val="22"/>
        </w:rPr>
      </w:pPr>
      <w:r w:rsidRPr="0086315E">
        <w:rPr>
          <w:sz w:val="22"/>
        </w:rPr>
        <w:t>Land and Property Information New Zealand, (2013) Personal Communi</w:t>
      </w:r>
      <w:r w:rsidR="0019659F" w:rsidRPr="0086315E">
        <w:rPr>
          <w:sz w:val="22"/>
        </w:rPr>
        <w:t>cation, Crown Property Management 9 &amp; 12 Sept 2013.</w:t>
      </w:r>
    </w:p>
    <w:p w:rsidR="000237C6" w:rsidRPr="0086315E" w:rsidRDefault="000237C6" w:rsidP="00BB0277">
      <w:pPr>
        <w:spacing w:after="120" w:line="240" w:lineRule="auto"/>
        <w:rPr>
          <w:sz w:val="22"/>
        </w:rPr>
      </w:pPr>
      <w:proofErr w:type="spellStart"/>
      <w:r w:rsidRPr="0086315E">
        <w:rPr>
          <w:sz w:val="22"/>
        </w:rPr>
        <w:t>Miceli</w:t>
      </w:r>
      <w:proofErr w:type="spellEnd"/>
      <w:r w:rsidRPr="0086315E">
        <w:rPr>
          <w:sz w:val="22"/>
        </w:rPr>
        <w:t xml:space="preserve">, T. J. (2004). </w:t>
      </w:r>
      <w:r w:rsidRPr="0086315E">
        <w:rPr>
          <w:sz w:val="22"/>
          <w:u w:val="single"/>
        </w:rPr>
        <w:t>The economics approach to law</w:t>
      </w:r>
      <w:r w:rsidRPr="0086315E">
        <w:rPr>
          <w:sz w:val="22"/>
        </w:rPr>
        <w:t>. Stanford, CA, Stanford University Press.</w:t>
      </w:r>
    </w:p>
    <w:p w:rsidR="000237C6" w:rsidRPr="0086315E" w:rsidRDefault="000237C6" w:rsidP="00BB0277">
      <w:pPr>
        <w:spacing w:after="120" w:line="240" w:lineRule="auto"/>
        <w:rPr>
          <w:sz w:val="22"/>
        </w:rPr>
      </w:pPr>
      <w:r w:rsidRPr="0086315E">
        <w:rPr>
          <w:sz w:val="22"/>
        </w:rPr>
        <w:t xml:space="preserve">Moore, M. (2009). Councils win bonus in forced land sales. </w:t>
      </w:r>
      <w:r w:rsidRPr="0086315E">
        <w:rPr>
          <w:sz w:val="22"/>
          <w:u w:val="single"/>
        </w:rPr>
        <w:t>Sydney Morning Herald</w:t>
      </w:r>
      <w:r w:rsidRPr="0086315E">
        <w:rPr>
          <w:sz w:val="22"/>
        </w:rPr>
        <w:t xml:space="preserve">. M. </w:t>
      </w:r>
      <w:proofErr w:type="spellStart"/>
      <w:r w:rsidRPr="0086315E">
        <w:rPr>
          <w:sz w:val="22"/>
        </w:rPr>
        <w:t>Peatman</w:t>
      </w:r>
      <w:proofErr w:type="spellEnd"/>
      <w:r w:rsidRPr="0086315E">
        <w:rPr>
          <w:sz w:val="22"/>
        </w:rPr>
        <w:t xml:space="preserve">. Sydney. </w:t>
      </w:r>
      <w:r w:rsidRPr="0086315E">
        <w:rPr>
          <w:b/>
          <w:bCs/>
          <w:sz w:val="22"/>
        </w:rPr>
        <w:t>18 May 2009</w:t>
      </w:r>
      <w:r w:rsidRPr="0086315E">
        <w:rPr>
          <w:sz w:val="22"/>
        </w:rPr>
        <w:t>.</w:t>
      </w:r>
    </w:p>
    <w:p w:rsidR="000237C6" w:rsidRPr="0086315E" w:rsidRDefault="000237C6" w:rsidP="00BB0277">
      <w:pPr>
        <w:spacing w:after="120" w:line="240" w:lineRule="auto"/>
        <w:rPr>
          <w:sz w:val="22"/>
        </w:rPr>
      </w:pPr>
      <w:r w:rsidRPr="0086315E">
        <w:rPr>
          <w:sz w:val="22"/>
        </w:rPr>
        <w:t xml:space="preserve">Prentice, P. (2002). Are the obligations of the (Just Terms Compensation) Act 1991 being achieved? </w:t>
      </w:r>
      <w:r w:rsidR="00185BE8" w:rsidRPr="0086315E">
        <w:rPr>
          <w:sz w:val="22"/>
        </w:rPr>
        <w:t xml:space="preserve">Thesis, </w:t>
      </w:r>
      <w:r w:rsidRPr="0086315E">
        <w:rPr>
          <w:sz w:val="22"/>
        </w:rPr>
        <w:t>University of Technology, Sydney.</w:t>
      </w:r>
    </w:p>
    <w:p w:rsidR="007B0B09" w:rsidRPr="0086315E" w:rsidRDefault="007B0B09" w:rsidP="00BB0277">
      <w:pPr>
        <w:spacing w:after="120" w:line="240" w:lineRule="auto"/>
        <w:rPr>
          <w:sz w:val="22"/>
        </w:rPr>
      </w:pPr>
      <w:r w:rsidRPr="0086315E">
        <w:rPr>
          <w:sz w:val="22"/>
        </w:rPr>
        <w:t xml:space="preserve">Property Council of Australia, 2009. </w:t>
      </w:r>
      <w:r w:rsidR="00EC30AE" w:rsidRPr="0086315E">
        <w:rPr>
          <w:sz w:val="22"/>
        </w:rPr>
        <w:t>Strata Title Renewal – Accommodating Growth Giving People Choice Renewing Our Cities, Sydney.</w:t>
      </w:r>
    </w:p>
    <w:p w:rsidR="003A7604" w:rsidRPr="0086315E" w:rsidRDefault="003A7604" w:rsidP="00BB0277">
      <w:pPr>
        <w:spacing w:after="120" w:line="240" w:lineRule="auto"/>
        <w:rPr>
          <w:sz w:val="22"/>
        </w:rPr>
      </w:pPr>
      <w:r w:rsidRPr="0086315E">
        <w:rPr>
          <w:sz w:val="22"/>
        </w:rPr>
        <w:t>Russell, D.J. (2013). Just Terms Compensation Legislation Review – Consultation Paper. NSW Attorney Generals Department, Sydney June 2013.</w:t>
      </w:r>
    </w:p>
    <w:p w:rsidR="000237C6" w:rsidRPr="0086315E" w:rsidRDefault="000237C6" w:rsidP="00BB0277">
      <w:pPr>
        <w:spacing w:after="120" w:line="240" w:lineRule="auto"/>
        <w:rPr>
          <w:sz w:val="22"/>
        </w:rPr>
      </w:pPr>
      <w:r w:rsidRPr="0086315E">
        <w:rPr>
          <w:sz w:val="22"/>
        </w:rPr>
        <w:t xml:space="preserve">Turnbull, G. K., &amp; </w:t>
      </w:r>
      <w:proofErr w:type="spellStart"/>
      <w:r w:rsidRPr="0086315E">
        <w:rPr>
          <w:sz w:val="22"/>
        </w:rPr>
        <w:t>Salvino</w:t>
      </w:r>
      <w:proofErr w:type="spellEnd"/>
      <w:r w:rsidRPr="0086315E">
        <w:rPr>
          <w:sz w:val="22"/>
        </w:rPr>
        <w:t xml:space="preserve">, R.,   (2006). </w:t>
      </w:r>
      <w:proofErr w:type="spellStart"/>
      <w:r w:rsidRPr="0086315E">
        <w:rPr>
          <w:sz w:val="22"/>
        </w:rPr>
        <w:t>Kelo</w:t>
      </w:r>
      <w:proofErr w:type="spellEnd"/>
      <w:r w:rsidRPr="0086315E">
        <w:rPr>
          <w:sz w:val="22"/>
        </w:rPr>
        <w:t xml:space="preserve"> v. Leviathan: The Public Purpose Doctrine and Government Size. </w:t>
      </w:r>
      <w:r w:rsidRPr="0086315E">
        <w:rPr>
          <w:sz w:val="22"/>
          <w:u w:val="single"/>
        </w:rPr>
        <w:t>Working Paper No. 06-02</w:t>
      </w:r>
      <w:r w:rsidRPr="0086315E">
        <w:rPr>
          <w:sz w:val="22"/>
        </w:rPr>
        <w:t>. Georgia State University.</w:t>
      </w:r>
    </w:p>
    <w:p w:rsidR="000237C6" w:rsidRDefault="000237C6" w:rsidP="00F6312C">
      <w:pPr>
        <w:rPr>
          <w:b/>
          <w:sz w:val="24"/>
          <w:szCs w:val="24"/>
        </w:rPr>
      </w:pPr>
    </w:p>
    <w:p w:rsidR="00CA0024" w:rsidRPr="00361F60" w:rsidRDefault="00CA0024" w:rsidP="00CA0024">
      <w:pPr>
        <w:pStyle w:val="BodyText"/>
        <w:rPr>
          <w:sz w:val="22"/>
          <w:szCs w:val="22"/>
          <w:lang w:val="en-US"/>
        </w:rPr>
      </w:pPr>
      <w:r w:rsidRPr="00361F60">
        <w:rPr>
          <w:b/>
          <w:sz w:val="22"/>
          <w:szCs w:val="22"/>
          <w:lang w:val="en-US"/>
        </w:rPr>
        <w:t>CONTACTS</w:t>
      </w:r>
    </w:p>
    <w:p w:rsidR="00CA0024" w:rsidRPr="00361F60" w:rsidRDefault="00CA0024" w:rsidP="00CA0024">
      <w:pPr>
        <w:pStyle w:val="BodyText"/>
        <w:rPr>
          <w:sz w:val="22"/>
          <w:szCs w:val="22"/>
          <w:lang w:val="en-US"/>
        </w:rPr>
      </w:pPr>
      <w:proofErr w:type="spellStart"/>
      <w:r w:rsidRPr="00361F60">
        <w:rPr>
          <w:sz w:val="22"/>
          <w:szCs w:val="22"/>
          <w:lang w:val="en-US"/>
        </w:rPr>
        <w:t>Dr</w:t>
      </w:r>
      <w:proofErr w:type="spellEnd"/>
      <w:r w:rsidRPr="00361F60">
        <w:rPr>
          <w:sz w:val="22"/>
          <w:szCs w:val="22"/>
          <w:lang w:val="en-US"/>
        </w:rPr>
        <w:t xml:space="preserve"> Vince </w:t>
      </w:r>
      <w:proofErr w:type="spellStart"/>
      <w:r w:rsidRPr="00361F60">
        <w:rPr>
          <w:sz w:val="22"/>
          <w:szCs w:val="22"/>
          <w:lang w:val="en-US"/>
        </w:rPr>
        <w:t>Mangioni</w:t>
      </w:r>
      <w:proofErr w:type="spellEnd"/>
    </w:p>
    <w:p w:rsidR="00CA0024" w:rsidRPr="00361F60" w:rsidRDefault="00CA0024" w:rsidP="00CA0024">
      <w:pPr>
        <w:pStyle w:val="BodyText"/>
        <w:rPr>
          <w:sz w:val="22"/>
          <w:szCs w:val="22"/>
          <w:lang w:val="en-US"/>
        </w:rPr>
      </w:pPr>
      <w:r w:rsidRPr="00361F60">
        <w:rPr>
          <w:sz w:val="22"/>
          <w:szCs w:val="22"/>
          <w:lang w:val="en-US"/>
        </w:rPr>
        <w:t>University of Technology, Sydney Australia</w:t>
      </w:r>
    </w:p>
    <w:p w:rsidR="00CA0024" w:rsidRPr="00361F60" w:rsidRDefault="00CA0024" w:rsidP="00CA0024">
      <w:pPr>
        <w:pStyle w:val="BodyText"/>
        <w:rPr>
          <w:sz w:val="22"/>
          <w:szCs w:val="22"/>
          <w:lang w:val="en-US"/>
        </w:rPr>
      </w:pPr>
      <w:r w:rsidRPr="00361F60">
        <w:rPr>
          <w:sz w:val="22"/>
          <w:szCs w:val="22"/>
          <w:lang w:val="en-US"/>
        </w:rPr>
        <w:t>PO Box 123</w:t>
      </w:r>
    </w:p>
    <w:p w:rsidR="00CA0024" w:rsidRPr="00361F60" w:rsidRDefault="00CA0024" w:rsidP="00CA0024">
      <w:pPr>
        <w:pStyle w:val="BodyText"/>
        <w:rPr>
          <w:sz w:val="22"/>
          <w:szCs w:val="22"/>
          <w:lang w:val="en-US"/>
        </w:rPr>
      </w:pPr>
      <w:r w:rsidRPr="00361F60">
        <w:rPr>
          <w:sz w:val="22"/>
          <w:szCs w:val="22"/>
          <w:lang w:val="en-US"/>
        </w:rPr>
        <w:t>Broadway, NSW 2007</w:t>
      </w:r>
    </w:p>
    <w:p w:rsidR="00CA0024" w:rsidRPr="00361F60" w:rsidRDefault="00CA0024" w:rsidP="00CA0024">
      <w:pPr>
        <w:pStyle w:val="BodyText"/>
        <w:rPr>
          <w:sz w:val="22"/>
          <w:szCs w:val="22"/>
          <w:lang w:val="en-US"/>
        </w:rPr>
      </w:pPr>
      <w:r w:rsidRPr="00361F60">
        <w:rPr>
          <w:sz w:val="22"/>
          <w:szCs w:val="22"/>
          <w:lang w:val="en-US"/>
        </w:rPr>
        <w:t>AUSTRALIA</w:t>
      </w:r>
    </w:p>
    <w:p w:rsidR="00CA0024" w:rsidRPr="00361F60" w:rsidRDefault="00CA0024" w:rsidP="00CA0024">
      <w:pPr>
        <w:pStyle w:val="BodyText"/>
        <w:rPr>
          <w:sz w:val="22"/>
          <w:szCs w:val="22"/>
          <w:lang w:val="en-US"/>
        </w:rPr>
      </w:pPr>
      <w:r w:rsidRPr="00361F60">
        <w:rPr>
          <w:sz w:val="22"/>
          <w:szCs w:val="22"/>
          <w:lang w:val="en-US"/>
        </w:rPr>
        <w:t>Tel. +61 2 9514-8900</w:t>
      </w:r>
    </w:p>
    <w:p w:rsidR="000237C6" w:rsidRPr="0084583E" w:rsidRDefault="00CA0024" w:rsidP="0084583E">
      <w:pPr>
        <w:pStyle w:val="BodyText"/>
        <w:rPr>
          <w:sz w:val="22"/>
          <w:szCs w:val="22"/>
          <w:lang w:val="en-US"/>
        </w:rPr>
      </w:pPr>
      <w:r w:rsidRPr="00361F60">
        <w:rPr>
          <w:sz w:val="22"/>
          <w:szCs w:val="22"/>
          <w:lang w:val="en-US"/>
        </w:rPr>
        <w:t xml:space="preserve">Email: </w:t>
      </w:r>
      <w:hyperlink r:id="rId8" w:history="1">
        <w:r w:rsidRPr="00361F60">
          <w:rPr>
            <w:rStyle w:val="Hyperlink"/>
            <w:sz w:val="22"/>
            <w:szCs w:val="22"/>
            <w:lang w:val="en-US"/>
          </w:rPr>
          <w:t>vincent.mangioni@uts.edu.au</w:t>
        </w:r>
      </w:hyperlink>
    </w:p>
    <w:sectPr w:rsidR="000237C6" w:rsidRPr="0084583E" w:rsidSect="0084583E">
      <w:footerReference w:type="default" r:id="rId9"/>
      <w:headerReference w:type="first" r:id="rId10"/>
      <w:footerReference w:type="first" r:id="rId11"/>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9F" w:rsidRDefault="0012719F" w:rsidP="00B029BC">
      <w:pPr>
        <w:spacing w:after="0" w:line="240" w:lineRule="auto"/>
      </w:pPr>
      <w:r>
        <w:separator/>
      </w:r>
    </w:p>
  </w:endnote>
  <w:endnote w:type="continuationSeparator" w:id="0">
    <w:p w:rsidR="0012719F" w:rsidRDefault="0012719F" w:rsidP="00B0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83E" w:rsidRPr="004E7D00" w:rsidRDefault="0084583E" w:rsidP="0084583E">
    <w:pPr>
      <w:pStyle w:val="Footer"/>
      <w:tabs>
        <w:tab w:val="right" w:pos="9000"/>
      </w:tabs>
    </w:pPr>
    <w:r>
      <w:t xml:space="preserve">Vince </w:t>
    </w:r>
    <w:proofErr w:type="spellStart"/>
    <w:r>
      <w:t>Mangioni</w:t>
    </w:r>
    <w:proofErr w:type="spellEnd"/>
  </w:p>
  <w:p w:rsidR="0084583E" w:rsidRPr="00F824EC" w:rsidRDefault="0084583E" w:rsidP="0084583E">
    <w:pPr>
      <w:pStyle w:val="Footer"/>
    </w:pPr>
    <w:r>
      <w:t>Modernising compensation principles for the regeneration of land uses in highly urbanised locations</w:t>
    </w:r>
  </w:p>
  <w:p w:rsidR="0084583E" w:rsidRPr="00361F60" w:rsidRDefault="0084583E" w:rsidP="0084583E">
    <w:pPr>
      <w:tabs>
        <w:tab w:val="left" w:pos="2190"/>
      </w:tabs>
      <w:spacing w:after="0" w:line="240" w:lineRule="auto"/>
    </w:pPr>
    <w:r w:rsidRPr="00361F60">
      <w:t>FIG Congress 2014</w:t>
    </w:r>
    <w:r>
      <w:tab/>
    </w:r>
  </w:p>
  <w:p w:rsidR="0084583E" w:rsidRPr="00361F60" w:rsidRDefault="0084583E" w:rsidP="0084583E">
    <w:pPr>
      <w:spacing w:after="0" w:line="240" w:lineRule="auto"/>
      <w:rPr>
        <w:iCs/>
      </w:rPr>
    </w:pPr>
    <w:r w:rsidRPr="00361F60">
      <w:rPr>
        <w:iCs/>
      </w:rPr>
      <w:t>Engaging the Challenges, Enhancing the Relevance</w:t>
    </w:r>
  </w:p>
  <w:p w:rsidR="0084583E" w:rsidRPr="00225BDD" w:rsidRDefault="0084583E" w:rsidP="0084583E">
    <w:pPr>
      <w:spacing w:after="0" w:line="240" w:lineRule="auto"/>
    </w:pPr>
    <w:r w:rsidRPr="00361F60">
      <w:t>Kuala Lumpur, Malaysia, 16 – 21 June 2014</w:t>
    </w:r>
  </w:p>
  <w:sdt>
    <w:sdtPr>
      <w:id w:val="23544950"/>
      <w:docPartObj>
        <w:docPartGallery w:val="Page Numbers (Bottom of Page)"/>
        <w:docPartUnique/>
      </w:docPartObj>
    </w:sdtPr>
    <w:sdtEndPr/>
    <w:sdtContent>
      <w:p w:rsidR="0084583E" w:rsidRDefault="00E96BB9" w:rsidP="0084583E">
        <w:pPr>
          <w:pStyle w:val="Footer"/>
          <w:jc w:val="right"/>
        </w:pPr>
        <w:r>
          <w:fldChar w:fldCharType="begin"/>
        </w:r>
        <w:r>
          <w:instrText xml:space="preserve"> PAGE   \* MERGEFORMAT </w:instrText>
        </w:r>
        <w:r>
          <w:fldChar w:fldCharType="separate"/>
        </w:r>
        <w:r w:rsidR="00204818">
          <w:rPr>
            <w:noProof/>
          </w:rPr>
          <w:t>3</w:t>
        </w:r>
        <w:r>
          <w:rPr>
            <w:noProof/>
          </w:rPr>
          <w:fldChar w:fldCharType="end"/>
        </w:r>
      </w:p>
    </w:sdtContent>
  </w:sdt>
  <w:p w:rsidR="0084583E" w:rsidRPr="00225BDD" w:rsidRDefault="0084583E" w:rsidP="000A7372">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72" w:rsidRPr="004E7D00" w:rsidRDefault="000A7372" w:rsidP="000A7372">
    <w:pPr>
      <w:pStyle w:val="Footer"/>
      <w:tabs>
        <w:tab w:val="right" w:pos="9000"/>
      </w:tabs>
    </w:pPr>
    <w:r>
      <w:t xml:space="preserve">Vince </w:t>
    </w:r>
    <w:proofErr w:type="spellStart"/>
    <w:r>
      <w:t>Mangioni</w:t>
    </w:r>
    <w:proofErr w:type="spellEnd"/>
  </w:p>
  <w:p w:rsidR="000A7372" w:rsidRPr="00F824EC" w:rsidRDefault="000A7372" w:rsidP="000A7372">
    <w:pPr>
      <w:pStyle w:val="Footer"/>
    </w:pPr>
    <w:r>
      <w:t>Modernising compensation principles for the regeneration of land uses in highly urbanised locations</w:t>
    </w:r>
  </w:p>
  <w:p w:rsidR="000A7372" w:rsidRPr="00361F60" w:rsidRDefault="000A7372" w:rsidP="000A7372">
    <w:pPr>
      <w:tabs>
        <w:tab w:val="left" w:pos="2190"/>
      </w:tabs>
      <w:spacing w:after="0" w:line="240" w:lineRule="auto"/>
    </w:pPr>
    <w:r w:rsidRPr="00361F60">
      <w:t>FIG Congress 2014</w:t>
    </w:r>
    <w:r>
      <w:tab/>
    </w:r>
  </w:p>
  <w:p w:rsidR="000A7372" w:rsidRPr="00361F60" w:rsidRDefault="000A7372" w:rsidP="000A7372">
    <w:pPr>
      <w:spacing w:after="0" w:line="240" w:lineRule="auto"/>
      <w:rPr>
        <w:iCs/>
      </w:rPr>
    </w:pPr>
    <w:r w:rsidRPr="00361F60">
      <w:rPr>
        <w:iCs/>
      </w:rPr>
      <w:t>Engaging the Challenges, Enhancing the Relevance</w:t>
    </w:r>
  </w:p>
  <w:p w:rsidR="000A7372" w:rsidRPr="00225BDD" w:rsidRDefault="000A7372" w:rsidP="000A7372">
    <w:pPr>
      <w:spacing w:after="0" w:line="240" w:lineRule="auto"/>
    </w:pPr>
    <w:r w:rsidRPr="00361F60">
      <w:t>Kuala Lumpur, Malaysia, 16 – 21 June 2014</w:t>
    </w:r>
  </w:p>
  <w:p w:rsidR="000A7372" w:rsidRDefault="000A7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9F" w:rsidRDefault="0012719F" w:rsidP="00B029BC">
      <w:pPr>
        <w:spacing w:after="0" w:line="240" w:lineRule="auto"/>
      </w:pPr>
      <w:r>
        <w:separator/>
      </w:r>
    </w:p>
  </w:footnote>
  <w:footnote w:type="continuationSeparator" w:id="0">
    <w:p w:rsidR="0012719F" w:rsidRDefault="0012719F" w:rsidP="00B02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72" w:rsidRDefault="000A7372">
    <w:pPr>
      <w:pStyle w:val="Header"/>
      <w:jc w:val="right"/>
    </w:pPr>
  </w:p>
  <w:p w:rsidR="000A7372" w:rsidRDefault="000A7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5DA"/>
    <w:multiLevelType w:val="hybridMultilevel"/>
    <w:tmpl w:val="A0A69A30"/>
    <w:lvl w:ilvl="0" w:tplc="62445A4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383A96"/>
    <w:multiLevelType w:val="hybridMultilevel"/>
    <w:tmpl w:val="3BEC30D4"/>
    <w:lvl w:ilvl="0" w:tplc="56CAD6C8">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3A320E1"/>
    <w:multiLevelType w:val="hybridMultilevel"/>
    <w:tmpl w:val="CF2C76E4"/>
    <w:lvl w:ilvl="0" w:tplc="354CEB34">
      <w:start w:val="2"/>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3DD3E0D"/>
    <w:multiLevelType w:val="hybridMultilevel"/>
    <w:tmpl w:val="C5EEB47C"/>
    <w:lvl w:ilvl="0" w:tplc="103A0486">
      <w:start w:val="2"/>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EB370E4"/>
    <w:multiLevelType w:val="hybridMultilevel"/>
    <w:tmpl w:val="AEFED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AC2C7D"/>
    <w:multiLevelType w:val="hybridMultilevel"/>
    <w:tmpl w:val="DB749658"/>
    <w:lvl w:ilvl="0" w:tplc="C456AD54">
      <w:start w:val="16"/>
      <w:numFmt w:val="bullet"/>
      <w:lvlText w:val="-"/>
      <w:lvlJc w:val="left"/>
      <w:pPr>
        <w:ind w:left="720" w:hanging="360"/>
      </w:pPr>
      <w:rPr>
        <w:rFonts w:ascii="Calibri" w:eastAsia="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nsid w:val="77A261A4"/>
    <w:multiLevelType w:val="hybridMultilevel"/>
    <w:tmpl w:val="25A47400"/>
    <w:lvl w:ilvl="0" w:tplc="510CC6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5A"/>
    <w:rsid w:val="000237C6"/>
    <w:rsid w:val="0003035B"/>
    <w:rsid w:val="00040DCD"/>
    <w:rsid w:val="00065455"/>
    <w:rsid w:val="0007033B"/>
    <w:rsid w:val="000913EC"/>
    <w:rsid w:val="00093359"/>
    <w:rsid w:val="00093783"/>
    <w:rsid w:val="000A34BE"/>
    <w:rsid w:val="000A7372"/>
    <w:rsid w:val="000B3C02"/>
    <w:rsid w:val="000C43F4"/>
    <w:rsid w:val="000D0913"/>
    <w:rsid w:val="000D5C7B"/>
    <w:rsid w:val="000E5D64"/>
    <w:rsid w:val="00105B7B"/>
    <w:rsid w:val="0012719F"/>
    <w:rsid w:val="00134002"/>
    <w:rsid w:val="00136075"/>
    <w:rsid w:val="0014346C"/>
    <w:rsid w:val="0015313B"/>
    <w:rsid w:val="0015796F"/>
    <w:rsid w:val="00166524"/>
    <w:rsid w:val="0017654C"/>
    <w:rsid w:val="00185BE8"/>
    <w:rsid w:val="0019659F"/>
    <w:rsid w:val="001F3AA6"/>
    <w:rsid w:val="00204818"/>
    <w:rsid w:val="00212378"/>
    <w:rsid w:val="0022411F"/>
    <w:rsid w:val="002329A3"/>
    <w:rsid w:val="00236D95"/>
    <w:rsid w:val="00262D0E"/>
    <w:rsid w:val="00277033"/>
    <w:rsid w:val="002864E0"/>
    <w:rsid w:val="00290077"/>
    <w:rsid w:val="00296389"/>
    <w:rsid w:val="002969C1"/>
    <w:rsid w:val="002B3A62"/>
    <w:rsid w:val="002B728F"/>
    <w:rsid w:val="002B7CAE"/>
    <w:rsid w:val="002C71F0"/>
    <w:rsid w:val="002D3819"/>
    <w:rsid w:val="002D7F0B"/>
    <w:rsid w:val="002F269C"/>
    <w:rsid w:val="00300E97"/>
    <w:rsid w:val="003364E9"/>
    <w:rsid w:val="003406CB"/>
    <w:rsid w:val="00362507"/>
    <w:rsid w:val="00363EEE"/>
    <w:rsid w:val="00366FDB"/>
    <w:rsid w:val="003715ED"/>
    <w:rsid w:val="00372323"/>
    <w:rsid w:val="0039281C"/>
    <w:rsid w:val="003928BB"/>
    <w:rsid w:val="003A732B"/>
    <w:rsid w:val="003A7604"/>
    <w:rsid w:val="004022B8"/>
    <w:rsid w:val="0043227C"/>
    <w:rsid w:val="00451FFA"/>
    <w:rsid w:val="00461C16"/>
    <w:rsid w:val="00461DED"/>
    <w:rsid w:val="004632F8"/>
    <w:rsid w:val="00487423"/>
    <w:rsid w:val="004A53F4"/>
    <w:rsid w:val="004B4153"/>
    <w:rsid w:val="004B700E"/>
    <w:rsid w:val="004D6CAF"/>
    <w:rsid w:val="004D7770"/>
    <w:rsid w:val="00543218"/>
    <w:rsid w:val="00553D95"/>
    <w:rsid w:val="00570C92"/>
    <w:rsid w:val="00571557"/>
    <w:rsid w:val="00571B16"/>
    <w:rsid w:val="005831C5"/>
    <w:rsid w:val="00583661"/>
    <w:rsid w:val="00592B39"/>
    <w:rsid w:val="00594CB8"/>
    <w:rsid w:val="005A2D8B"/>
    <w:rsid w:val="005B071C"/>
    <w:rsid w:val="005E6BD3"/>
    <w:rsid w:val="00612836"/>
    <w:rsid w:val="00637186"/>
    <w:rsid w:val="00656A13"/>
    <w:rsid w:val="00665AAC"/>
    <w:rsid w:val="006A0946"/>
    <w:rsid w:val="006A221A"/>
    <w:rsid w:val="006D37CD"/>
    <w:rsid w:val="006F66A5"/>
    <w:rsid w:val="00710BE7"/>
    <w:rsid w:val="00721126"/>
    <w:rsid w:val="00761284"/>
    <w:rsid w:val="0077457C"/>
    <w:rsid w:val="00791D79"/>
    <w:rsid w:val="007B0B09"/>
    <w:rsid w:val="007E3C79"/>
    <w:rsid w:val="0080319C"/>
    <w:rsid w:val="008171FE"/>
    <w:rsid w:val="0081759F"/>
    <w:rsid w:val="0084583E"/>
    <w:rsid w:val="0084680D"/>
    <w:rsid w:val="0086315E"/>
    <w:rsid w:val="00871100"/>
    <w:rsid w:val="00891B58"/>
    <w:rsid w:val="008A6EC7"/>
    <w:rsid w:val="008B33A5"/>
    <w:rsid w:val="008E1816"/>
    <w:rsid w:val="008E3C10"/>
    <w:rsid w:val="008F5A1B"/>
    <w:rsid w:val="0090612C"/>
    <w:rsid w:val="00926E86"/>
    <w:rsid w:val="00931BD0"/>
    <w:rsid w:val="0093287B"/>
    <w:rsid w:val="00985802"/>
    <w:rsid w:val="00986201"/>
    <w:rsid w:val="00986572"/>
    <w:rsid w:val="009907C1"/>
    <w:rsid w:val="009D1506"/>
    <w:rsid w:val="009E00A8"/>
    <w:rsid w:val="009E2865"/>
    <w:rsid w:val="009F7691"/>
    <w:rsid w:val="00A00BE8"/>
    <w:rsid w:val="00A1208D"/>
    <w:rsid w:val="00A12EF8"/>
    <w:rsid w:val="00A146E2"/>
    <w:rsid w:val="00A24524"/>
    <w:rsid w:val="00A24EFA"/>
    <w:rsid w:val="00A35715"/>
    <w:rsid w:val="00A450AF"/>
    <w:rsid w:val="00A473CA"/>
    <w:rsid w:val="00A6315A"/>
    <w:rsid w:val="00A91792"/>
    <w:rsid w:val="00AA63FC"/>
    <w:rsid w:val="00AD44EB"/>
    <w:rsid w:val="00AD5ED1"/>
    <w:rsid w:val="00AE4A26"/>
    <w:rsid w:val="00B00983"/>
    <w:rsid w:val="00B023A5"/>
    <w:rsid w:val="00B029BC"/>
    <w:rsid w:val="00B04450"/>
    <w:rsid w:val="00B04EA1"/>
    <w:rsid w:val="00B133E9"/>
    <w:rsid w:val="00B17EE8"/>
    <w:rsid w:val="00B20499"/>
    <w:rsid w:val="00B333CE"/>
    <w:rsid w:val="00B469C9"/>
    <w:rsid w:val="00B62A26"/>
    <w:rsid w:val="00B62B4F"/>
    <w:rsid w:val="00B63B82"/>
    <w:rsid w:val="00B67677"/>
    <w:rsid w:val="00BB0277"/>
    <w:rsid w:val="00BB3763"/>
    <w:rsid w:val="00BB711B"/>
    <w:rsid w:val="00BD5809"/>
    <w:rsid w:val="00BD5F0B"/>
    <w:rsid w:val="00BF2FFD"/>
    <w:rsid w:val="00C04FC3"/>
    <w:rsid w:val="00C35475"/>
    <w:rsid w:val="00C52C4B"/>
    <w:rsid w:val="00C76A15"/>
    <w:rsid w:val="00C945AE"/>
    <w:rsid w:val="00CA0024"/>
    <w:rsid w:val="00CA7D1D"/>
    <w:rsid w:val="00CE7CAA"/>
    <w:rsid w:val="00D12EA4"/>
    <w:rsid w:val="00D13C56"/>
    <w:rsid w:val="00D15C07"/>
    <w:rsid w:val="00D161CB"/>
    <w:rsid w:val="00D2068F"/>
    <w:rsid w:val="00D2358C"/>
    <w:rsid w:val="00D37C8E"/>
    <w:rsid w:val="00D4553A"/>
    <w:rsid w:val="00D55889"/>
    <w:rsid w:val="00D62E04"/>
    <w:rsid w:val="00D647E2"/>
    <w:rsid w:val="00D7631F"/>
    <w:rsid w:val="00D81644"/>
    <w:rsid w:val="00D94847"/>
    <w:rsid w:val="00D96D49"/>
    <w:rsid w:val="00DB1231"/>
    <w:rsid w:val="00DB359E"/>
    <w:rsid w:val="00DC29FB"/>
    <w:rsid w:val="00DC6257"/>
    <w:rsid w:val="00DD2565"/>
    <w:rsid w:val="00DD6840"/>
    <w:rsid w:val="00DD6F7B"/>
    <w:rsid w:val="00DF6E35"/>
    <w:rsid w:val="00DF7288"/>
    <w:rsid w:val="00E00381"/>
    <w:rsid w:val="00E33C6A"/>
    <w:rsid w:val="00E36064"/>
    <w:rsid w:val="00E47D7E"/>
    <w:rsid w:val="00E53061"/>
    <w:rsid w:val="00E63533"/>
    <w:rsid w:val="00E759DB"/>
    <w:rsid w:val="00E87AD9"/>
    <w:rsid w:val="00E959CD"/>
    <w:rsid w:val="00E96BB9"/>
    <w:rsid w:val="00E97A70"/>
    <w:rsid w:val="00EA32A6"/>
    <w:rsid w:val="00EA596E"/>
    <w:rsid w:val="00EB36F1"/>
    <w:rsid w:val="00EC2404"/>
    <w:rsid w:val="00EC30AE"/>
    <w:rsid w:val="00F05DDC"/>
    <w:rsid w:val="00F40031"/>
    <w:rsid w:val="00F6312C"/>
    <w:rsid w:val="00F66DE7"/>
    <w:rsid w:val="00F67361"/>
    <w:rsid w:val="00F7236D"/>
    <w:rsid w:val="00F83D7B"/>
    <w:rsid w:val="00FC424C"/>
    <w:rsid w:val="00FC5D51"/>
    <w:rsid w:val="00FD24D5"/>
    <w:rsid w:val="00FD2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07"/>
    <w:pPr>
      <w:jc w:val="both"/>
    </w:pPr>
    <w:rPr>
      <w:rFonts w:ascii="Times New Roman" w:hAnsi="Times New Roman"/>
      <w:sz w:val="20"/>
    </w:rPr>
  </w:style>
  <w:style w:type="paragraph" w:styleId="Heading2">
    <w:name w:val="heading 2"/>
    <w:basedOn w:val="Normal"/>
    <w:next w:val="Normal"/>
    <w:link w:val="Heading2Char"/>
    <w:uiPriority w:val="9"/>
    <w:semiHidden/>
    <w:unhideWhenUsed/>
    <w:qFormat/>
    <w:rsid w:val="00986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D24D5"/>
    <w:pPr>
      <w:keepNext/>
      <w:spacing w:before="240" w:after="60" w:line="36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semiHidden/>
    <w:unhideWhenUsed/>
    <w:qFormat/>
    <w:rsid w:val="009862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862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24D5"/>
    <w:rPr>
      <w:rFonts w:ascii="Arial" w:eastAsia="Times New Roman" w:hAnsi="Arial" w:cs="Arial"/>
      <w:b/>
      <w:bCs/>
      <w:sz w:val="26"/>
      <w:szCs w:val="26"/>
      <w:lang w:val="en-US"/>
    </w:rPr>
  </w:style>
  <w:style w:type="character" w:styleId="Hyperlink">
    <w:name w:val="Hyperlink"/>
    <w:basedOn w:val="DefaultParagraphFont"/>
    <w:rsid w:val="00FD24D5"/>
    <w:rPr>
      <w:color w:val="0000FF"/>
      <w:u w:val="single"/>
    </w:rPr>
  </w:style>
  <w:style w:type="paragraph" w:styleId="NormalWeb">
    <w:name w:val="Normal (Web)"/>
    <w:basedOn w:val="Normal"/>
    <w:rsid w:val="00FD24D5"/>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rsid w:val="00571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8BB"/>
    <w:pPr>
      <w:ind w:left="720"/>
      <w:contextualSpacing/>
    </w:pPr>
  </w:style>
  <w:style w:type="character" w:customStyle="1" w:styleId="Heading2Char">
    <w:name w:val="Heading 2 Char"/>
    <w:basedOn w:val="DefaultParagraphFont"/>
    <w:link w:val="Heading2"/>
    <w:uiPriority w:val="9"/>
    <w:semiHidden/>
    <w:rsid w:val="0098620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8620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86201"/>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986201"/>
    <w:rPr>
      <w:b/>
      <w:bCs/>
      <w:i/>
      <w:iCs/>
      <w:color w:val="4F81BD"/>
    </w:rPr>
  </w:style>
  <w:style w:type="paragraph" w:styleId="NoSpacing">
    <w:name w:val="No Spacing"/>
    <w:uiPriority w:val="1"/>
    <w:qFormat/>
    <w:rsid w:val="00986201"/>
    <w:pPr>
      <w:spacing w:after="0" w:line="240" w:lineRule="auto"/>
    </w:pPr>
    <w:rPr>
      <w:rFonts w:ascii="Calibri" w:eastAsia="Calibri" w:hAnsi="Calibri" w:cs="Times New Roman"/>
      <w:lang w:val="en-US"/>
    </w:rPr>
  </w:style>
  <w:style w:type="character" w:styleId="Strong">
    <w:name w:val="Strong"/>
    <w:aliases w:val="Figures"/>
    <w:basedOn w:val="DefaultParagraphFont"/>
    <w:uiPriority w:val="22"/>
    <w:qFormat/>
    <w:rsid w:val="00986201"/>
    <w:rPr>
      <w:rFonts w:ascii="Arial" w:eastAsia="Times New Roman" w:hAnsi="Arial" w:cs="Times New Roman"/>
      <w:bCs/>
      <w:color w:val="auto"/>
      <w:sz w:val="20"/>
      <w:szCs w:val="24"/>
    </w:rPr>
  </w:style>
  <w:style w:type="paragraph" w:styleId="Title">
    <w:name w:val="Title"/>
    <w:basedOn w:val="Normal"/>
    <w:next w:val="Normal"/>
    <w:link w:val="TitleChar"/>
    <w:uiPriority w:val="10"/>
    <w:qFormat/>
    <w:rsid w:val="0039281C"/>
    <w:pPr>
      <w:pBdr>
        <w:bottom w:val="single" w:sz="8" w:space="4" w:color="4F81BD" w:themeColor="accent1"/>
      </w:pBdr>
      <w:spacing w:after="300" w:line="240" w:lineRule="auto"/>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39281C"/>
    <w:rPr>
      <w:rFonts w:ascii="Times New Roman" w:eastAsiaTheme="majorEastAsia" w:hAnsi="Times New Roman" w:cstheme="majorBidi"/>
      <w:spacing w:val="5"/>
      <w:kern w:val="28"/>
      <w:sz w:val="28"/>
      <w:szCs w:val="52"/>
    </w:rPr>
  </w:style>
  <w:style w:type="paragraph" w:styleId="Header">
    <w:name w:val="header"/>
    <w:basedOn w:val="Normal"/>
    <w:link w:val="HeaderChar"/>
    <w:uiPriority w:val="99"/>
    <w:unhideWhenUsed/>
    <w:rsid w:val="00B02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9BC"/>
    <w:rPr>
      <w:rFonts w:ascii="Times New Roman" w:hAnsi="Times New Roman"/>
      <w:sz w:val="20"/>
    </w:rPr>
  </w:style>
  <w:style w:type="paragraph" w:styleId="Footer">
    <w:name w:val="footer"/>
    <w:basedOn w:val="Normal"/>
    <w:link w:val="FooterChar"/>
    <w:uiPriority w:val="99"/>
    <w:unhideWhenUsed/>
    <w:rsid w:val="00B02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9BC"/>
    <w:rPr>
      <w:rFonts w:ascii="Times New Roman" w:hAnsi="Times New Roman"/>
      <w:sz w:val="20"/>
    </w:rPr>
  </w:style>
  <w:style w:type="paragraph" w:styleId="BodyText">
    <w:name w:val="Body Text"/>
    <w:basedOn w:val="Normal"/>
    <w:link w:val="BodyTextChar"/>
    <w:rsid w:val="00CA0024"/>
    <w:pPr>
      <w:spacing w:after="0" w:line="240" w:lineRule="auto"/>
      <w:jc w:val="left"/>
    </w:pPr>
    <w:rPr>
      <w:rFonts w:eastAsia="Times New Roman" w:cs="Times New Roman"/>
      <w:sz w:val="24"/>
      <w:szCs w:val="20"/>
      <w:lang w:val="da-DK"/>
    </w:rPr>
  </w:style>
  <w:style w:type="character" w:customStyle="1" w:styleId="BodyTextChar">
    <w:name w:val="Body Text Char"/>
    <w:basedOn w:val="DefaultParagraphFont"/>
    <w:link w:val="BodyText"/>
    <w:rsid w:val="00CA0024"/>
    <w:rPr>
      <w:rFonts w:ascii="Times New Roman" w:eastAsia="Times New Roman" w:hAnsi="Times New Roman" w:cs="Times New Roman"/>
      <w:sz w:val="24"/>
      <w:szCs w:val="20"/>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07"/>
    <w:pPr>
      <w:jc w:val="both"/>
    </w:pPr>
    <w:rPr>
      <w:rFonts w:ascii="Times New Roman" w:hAnsi="Times New Roman"/>
      <w:sz w:val="20"/>
    </w:rPr>
  </w:style>
  <w:style w:type="paragraph" w:styleId="Heading2">
    <w:name w:val="heading 2"/>
    <w:basedOn w:val="Normal"/>
    <w:next w:val="Normal"/>
    <w:link w:val="Heading2Char"/>
    <w:uiPriority w:val="9"/>
    <w:semiHidden/>
    <w:unhideWhenUsed/>
    <w:qFormat/>
    <w:rsid w:val="00986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D24D5"/>
    <w:pPr>
      <w:keepNext/>
      <w:spacing w:before="240" w:after="60" w:line="36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semiHidden/>
    <w:unhideWhenUsed/>
    <w:qFormat/>
    <w:rsid w:val="009862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862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24D5"/>
    <w:rPr>
      <w:rFonts w:ascii="Arial" w:eastAsia="Times New Roman" w:hAnsi="Arial" w:cs="Arial"/>
      <w:b/>
      <w:bCs/>
      <w:sz w:val="26"/>
      <w:szCs w:val="26"/>
      <w:lang w:val="en-US"/>
    </w:rPr>
  </w:style>
  <w:style w:type="character" w:styleId="Hyperlink">
    <w:name w:val="Hyperlink"/>
    <w:basedOn w:val="DefaultParagraphFont"/>
    <w:rsid w:val="00FD24D5"/>
    <w:rPr>
      <w:color w:val="0000FF"/>
      <w:u w:val="single"/>
    </w:rPr>
  </w:style>
  <w:style w:type="paragraph" w:styleId="NormalWeb">
    <w:name w:val="Normal (Web)"/>
    <w:basedOn w:val="Normal"/>
    <w:rsid w:val="00FD24D5"/>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rsid w:val="00571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8BB"/>
    <w:pPr>
      <w:ind w:left="720"/>
      <w:contextualSpacing/>
    </w:pPr>
  </w:style>
  <w:style w:type="character" w:customStyle="1" w:styleId="Heading2Char">
    <w:name w:val="Heading 2 Char"/>
    <w:basedOn w:val="DefaultParagraphFont"/>
    <w:link w:val="Heading2"/>
    <w:uiPriority w:val="9"/>
    <w:semiHidden/>
    <w:rsid w:val="0098620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8620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86201"/>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986201"/>
    <w:rPr>
      <w:b/>
      <w:bCs/>
      <w:i/>
      <w:iCs/>
      <w:color w:val="4F81BD"/>
    </w:rPr>
  </w:style>
  <w:style w:type="paragraph" w:styleId="NoSpacing">
    <w:name w:val="No Spacing"/>
    <w:uiPriority w:val="1"/>
    <w:qFormat/>
    <w:rsid w:val="00986201"/>
    <w:pPr>
      <w:spacing w:after="0" w:line="240" w:lineRule="auto"/>
    </w:pPr>
    <w:rPr>
      <w:rFonts w:ascii="Calibri" w:eastAsia="Calibri" w:hAnsi="Calibri" w:cs="Times New Roman"/>
      <w:lang w:val="en-US"/>
    </w:rPr>
  </w:style>
  <w:style w:type="character" w:styleId="Strong">
    <w:name w:val="Strong"/>
    <w:aliases w:val="Figures"/>
    <w:basedOn w:val="DefaultParagraphFont"/>
    <w:uiPriority w:val="22"/>
    <w:qFormat/>
    <w:rsid w:val="00986201"/>
    <w:rPr>
      <w:rFonts w:ascii="Arial" w:eastAsia="Times New Roman" w:hAnsi="Arial" w:cs="Times New Roman"/>
      <w:bCs/>
      <w:color w:val="auto"/>
      <w:sz w:val="20"/>
      <w:szCs w:val="24"/>
    </w:rPr>
  </w:style>
  <w:style w:type="paragraph" w:styleId="Title">
    <w:name w:val="Title"/>
    <w:basedOn w:val="Normal"/>
    <w:next w:val="Normal"/>
    <w:link w:val="TitleChar"/>
    <w:uiPriority w:val="10"/>
    <w:qFormat/>
    <w:rsid w:val="0039281C"/>
    <w:pPr>
      <w:pBdr>
        <w:bottom w:val="single" w:sz="8" w:space="4" w:color="4F81BD" w:themeColor="accent1"/>
      </w:pBdr>
      <w:spacing w:after="300" w:line="240" w:lineRule="auto"/>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39281C"/>
    <w:rPr>
      <w:rFonts w:ascii="Times New Roman" w:eastAsiaTheme="majorEastAsia" w:hAnsi="Times New Roman" w:cstheme="majorBidi"/>
      <w:spacing w:val="5"/>
      <w:kern w:val="28"/>
      <w:sz w:val="28"/>
      <w:szCs w:val="52"/>
    </w:rPr>
  </w:style>
  <w:style w:type="paragraph" w:styleId="Header">
    <w:name w:val="header"/>
    <w:basedOn w:val="Normal"/>
    <w:link w:val="HeaderChar"/>
    <w:uiPriority w:val="99"/>
    <w:unhideWhenUsed/>
    <w:rsid w:val="00B02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9BC"/>
    <w:rPr>
      <w:rFonts w:ascii="Times New Roman" w:hAnsi="Times New Roman"/>
      <w:sz w:val="20"/>
    </w:rPr>
  </w:style>
  <w:style w:type="paragraph" w:styleId="Footer">
    <w:name w:val="footer"/>
    <w:basedOn w:val="Normal"/>
    <w:link w:val="FooterChar"/>
    <w:uiPriority w:val="99"/>
    <w:unhideWhenUsed/>
    <w:rsid w:val="00B02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9BC"/>
    <w:rPr>
      <w:rFonts w:ascii="Times New Roman" w:hAnsi="Times New Roman"/>
      <w:sz w:val="20"/>
    </w:rPr>
  </w:style>
  <w:style w:type="paragraph" w:styleId="BodyText">
    <w:name w:val="Body Text"/>
    <w:basedOn w:val="Normal"/>
    <w:link w:val="BodyTextChar"/>
    <w:rsid w:val="00CA0024"/>
    <w:pPr>
      <w:spacing w:after="0" w:line="240" w:lineRule="auto"/>
      <w:jc w:val="left"/>
    </w:pPr>
    <w:rPr>
      <w:rFonts w:eastAsia="Times New Roman" w:cs="Times New Roman"/>
      <w:sz w:val="24"/>
      <w:szCs w:val="20"/>
      <w:lang w:val="da-DK"/>
    </w:rPr>
  </w:style>
  <w:style w:type="character" w:customStyle="1" w:styleId="BodyTextChar">
    <w:name w:val="Body Text Char"/>
    <w:basedOn w:val="DefaultParagraphFont"/>
    <w:link w:val="BodyText"/>
    <w:rsid w:val="00CA0024"/>
    <w:rPr>
      <w:rFonts w:ascii="Times New Roman" w:eastAsia="Times New Roman" w:hAnsi="Times New Roman" w:cs="Times New Roman"/>
      <w:sz w:val="24"/>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6399">
      <w:bodyDiv w:val="1"/>
      <w:marLeft w:val="0"/>
      <w:marRight w:val="0"/>
      <w:marTop w:val="0"/>
      <w:marBottom w:val="0"/>
      <w:divBdr>
        <w:top w:val="none" w:sz="0" w:space="0" w:color="auto"/>
        <w:left w:val="none" w:sz="0" w:space="0" w:color="auto"/>
        <w:bottom w:val="none" w:sz="0" w:space="0" w:color="auto"/>
        <w:right w:val="none" w:sz="0" w:space="0" w:color="auto"/>
      </w:divBdr>
    </w:div>
    <w:div w:id="1293444810">
      <w:bodyDiv w:val="1"/>
      <w:marLeft w:val="0"/>
      <w:marRight w:val="0"/>
      <w:marTop w:val="0"/>
      <w:marBottom w:val="0"/>
      <w:divBdr>
        <w:top w:val="none" w:sz="0" w:space="0" w:color="auto"/>
        <w:left w:val="none" w:sz="0" w:space="0" w:color="auto"/>
        <w:bottom w:val="none" w:sz="0" w:space="0" w:color="auto"/>
        <w:right w:val="none" w:sz="0" w:space="0" w:color="auto"/>
      </w:divBdr>
      <w:divsChild>
        <w:div w:id="172275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36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1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mangioni@uts.edu.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13</Pages>
  <Words>6543</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Sydney Independent Property Valuations Pty Ltd</Company>
  <LinksUpToDate>false</LinksUpToDate>
  <CharactersWithSpaces>43757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Mangioni</dc:creator>
  <cp:lastModifiedBy>Vince</cp:lastModifiedBy>
  <cp:revision>12</cp:revision>
  <cp:lastPrinted>2014-02-13T20:43:00Z</cp:lastPrinted>
  <dcterms:created xsi:type="dcterms:W3CDTF">2014-02-13T20:48:00Z</dcterms:created>
  <dcterms:modified xsi:type="dcterms:W3CDTF">2014-02-18T01:54:00Z</dcterms:modified>
</cp:coreProperties>
</file>