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F89DD" w14:textId="77777777" w:rsidR="0081593F" w:rsidRDefault="0081593F" w:rsidP="001B6F83">
      <w:pPr>
        <w:spacing w:after="0" w:line="480" w:lineRule="auto"/>
        <w:rPr>
          <w:rFonts w:ascii="Times New Roman" w:hAnsi="Times New Roman" w:cs="Times New Roman"/>
          <w:b/>
          <w:sz w:val="36"/>
          <w:szCs w:val="36"/>
        </w:rPr>
      </w:pPr>
      <w:bookmarkStart w:id="0" w:name="_GoBack"/>
      <w:bookmarkEnd w:id="0"/>
    </w:p>
    <w:p w14:paraId="5A1549E4" w14:textId="77777777" w:rsidR="00A932F2" w:rsidRDefault="00A932F2" w:rsidP="001B6F83">
      <w:pPr>
        <w:spacing w:after="0" w:line="480" w:lineRule="auto"/>
        <w:rPr>
          <w:rFonts w:ascii="Times New Roman" w:hAnsi="Times New Roman" w:cs="Times New Roman"/>
          <w:b/>
          <w:sz w:val="36"/>
          <w:szCs w:val="36"/>
        </w:rPr>
      </w:pPr>
    </w:p>
    <w:p w14:paraId="7DC0A83C" w14:textId="77777777" w:rsidR="00A932F2" w:rsidRDefault="00A932F2" w:rsidP="001B6F83">
      <w:pPr>
        <w:spacing w:after="0" w:line="480" w:lineRule="auto"/>
        <w:rPr>
          <w:rFonts w:ascii="Times New Roman" w:hAnsi="Times New Roman" w:cs="Times New Roman"/>
          <w:b/>
          <w:sz w:val="36"/>
          <w:szCs w:val="36"/>
        </w:rPr>
      </w:pPr>
    </w:p>
    <w:p w14:paraId="63030207" w14:textId="77777777" w:rsidR="00A932F2" w:rsidRDefault="00A932F2" w:rsidP="001B6F83">
      <w:pPr>
        <w:spacing w:after="0" w:line="480" w:lineRule="auto"/>
        <w:rPr>
          <w:rFonts w:ascii="Times New Roman" w:hAnsi="Times New Roman" w:cs="Times New Roman"/>
          <w:b/>
          <w:sz w:val="36"/>
          <w:szCs w:val="36"/>
        </w:rPr>
      </w:pPr>
    </w:p>
    <w:p w14:paraId="0571A6AE" w14:textId="74141668" w:rsidR="00A932F2" w:rsidRPr="001B6F83" w:rsidRDefault="00A932F2" w:rsidP="001B6F83">
      <w:pPr>
        <w:spacing w:after="0" w:line="480" w:lineRule="auto"/>
        <w:rPr>
          <w:rFonts w:ascii="Times New Roman" w:hAnsi="Times New Roman" w:cs="Times New Roman"/>
          <w:sz w:val="28"/>
          <w:szCs w:val="36"/>
        </w:rPr>
      </w:pPr>
      <w:r w:rsidRPr="001B6F83">
        <w:rPr>
          <w:rFonts w:ascii="Times New Roman" w:hAnsi="Times New Roman" w:cs="Times New Roman"/>
          <w:sz w:val="28"/>
          <w:szCs w:val="36"/>
        </w:rPr>
        <w:t>&lt;PN&gt;PART III</w:t>
      </w:r>
    </w:p>
    <w:p w14:paraId="1568C72B" w14:textId="77777777" w:rsidR="0081593F" w:rsidRDefault="0081593F" w:rsidP="001B6F83">
      <w:pPr>
        <w:spacing w:after="0" w:line="480" w:lineRule="auto"/>
        <w:rPr>
          <w:rFonts w:ascii="Times New Roman" w:hAnsi="Times New Roman" w:cs="Times New Roman"/>
          <w:b/>
          <w:sz w:val="36"/>
          <w:szCs w:val="36"/>
        </w:rPr>
      </w:pPr>
    </w:p>
    <w:p w14:paraId="41AC92A3" w14:textId="77777777" w:rsidR="00A932F2" w:rsidRDefault="00A932F2" w:rsidP="001B6F83">
      <w:pPr>
        <w:spacing w:after="0" w:line="480" w:lineRule="auto"/>
        <w:rPr>
          <w:rFonts w:ascii="Times New Roman" w:hAnsi="Times New Roman" w:cs="Times New Roman"/>
          <w:b/>
          <w:sz w:val="36"/>
          <w:szCs w:val="36"/>
        </w:rPr>
      </w:pPr>
    </w:p>
    <w:p w14:paraId="14823EA0" w14:textId="77777777" w:rsidR="00A932F2" w:rsidRDefault="00A932F2" w:rsidP="001B6F83">
      <w:pPr>
        <w:spacing w:after="0" w:line="480" w:lineRule="auto"/>
        <w:rPr>
          <w:rFonts w:ascii="Times New Roman" w:hAnsi="Times New Roman" w:cs="Times New Roman"/>
          <w:b/>
          <w:sz w:val="36"/>
          <w:szCs w:val="36"/>
        </w:rPr>
      </w:pPr>
    </w:p>
    <w:p w14:paraId="63A93792" w14:textId="77777777" w:rsidR="00A932F2" w:rsidRDefault="00A932F2" w:rsidP="001B6F83">
      <w:pPr>
        <w:spacing w:after="0" w:line="480" w:lineRule="auto"/>
        <w:rPr>
          <w:rFonts w:ascii="Times New Roman" w:hAnsi="Times New Roman" w:cs="Times New Roman"/>
          <w:b/>
          <w:sz w:val="36"/>
          <w:szCs w:val="36"/>
        </w:rPr>
      </w:pPr>
    </w:p>
    <w:p w14:paraId="6DC5C5C3" w14:textId="5740AEFE" w:rsidR="00A932F2" w:rsidRPr="001B6F83" w:rsidRDefault="00A932F2" w:rsidP="001B6F83">
      <w:pPr>
        <w:spacing w:after="0" w:line="480" w:lineRule="auto"/>
        <w:rPr>
          <w:rFonts w:ascii="Times New Roman" w:hAnsi="Times New Roman" w:cs="Times New Roman"/>
          <w:sz w:val="32"/>
          <w:szCs w:val="36"/>
        </w:rPr>
      </w:pPr>
      <w:r w:rsidRPr="001B6F83">
        <w:rPr>
          <w:rFonts w:ascii="Times New Roman" w:hAnsi="Times New Roman" w:cs="Times New Roman"/>
          <w:sz w:val="32"/>
          <w:szCs w:val="36"/>
        </w:rPr>
        <w:t>&lt;PT&gt; Analysing policy choices</w:t>
      </w:r>
    </w:p>
    <w:p w14:paraId="6FAD74F7" w14:textId="67862881" w:rsidR="00A932F2" w:rsidRDefault="00A932F2">
      <w:pPr>
        <w:rPr>
          <w:rFonts w:ascii="Times New Roman" w:hAnsi="Times New Roman" w:cs="Times New Roman"/>
          <w:b/>
          <w:sz w:val="36"/>
          <w:szCs w:val="36"/>
        </w:rPr>
      </w:pPr>
      <w:r>
        <w:rPr>
          <w:rFonts w:ascii="Times New Roman" w:hAnsi="Times New Roman" w:cs="Times New Roman"/>
          <w:b/>
          <w:sz w:val="36"/>
          <w:szCs w:val="36"/>
        </w:rPr>
        <w:br w:type="page"/>
      </w:r>
    </w:p>
    <w:p w14:paraId="20CCBBBA" w14:textId="77777777" w:rsidR="0081593F" w:rsidRDefault="0081593F" w:rsidP="001B6F83">
      <w:pPr>
        <w:spacing w:after="0" w:line="480" w:lineRule="auto"/>
        <w:rPr>
          <w:rFonts w:ascii="Times New Roman" w:hAnsi="Times New Roman" w:cs="Times New Roman"/>
          <w:b/>
          <w:sz w:val="36"/>
          <w:szCs w:val="36"/>
        </w:rPr>
      </w:pPr>
    </w:p>
    <w:p w14:paraId="694A8065" w14:textId="77777777" w:rsidR="00A932F2" w:rsidRDefault="00A932F2" w:rsidP="001B6F83">
      <w:pPr>
        <w:spacing w:after="0" w:line="480" w:lineRule="auto"/>
        <w:rPr>
          <w:rFonts w:ascii="Times New Roman" w:hAnsi="Times New Roman" w:cs="Times New Roman"/>
          <w:b/>
          <w:sz w:val="36"/>
          <w:szCs w:val="36"/>
        </w:rPr>
      </w:pPr>
    </w:p>
    <w:p w14:paraId="6A2C9AE0" w14:textId="77777777" w:rsidR="00A932F2" w:rsidRDefault="00A932F2" w:rsidP="001B6F83">
      <w:pPr>
        <w:spacing w:after="0" w:line="480" w:lineRule="auto"/>
        <w:rPr>
          <w:rFonts w:ascii="Times New Roman" w:hAnsi="Times New Roman" w:cs="Times New Roman"/>
          <w:b/>
          <w:sz w:val="36"/>
          <w:szCs w:val="36"/>
        </w:rPr>
      </w:pPr>
    </w:p>
    <w:p w14:paraId="6C6D1858" w14:textId="77777777" w:rsidR="0081593F" w:rsidRDefault="0081593F" w:rsidP="001B6F83">
      <w:pPr>
        <w:spacing w:after="0" w:line="480" w:lineRule="auto"/>
        <w:rPr>
          <w:rFonts w:ascii="Times New Roman" w:hAnsi="Times New Roman" w:cs="Times New Roman"/>
          <w:b/>
          <w:sz w:val="36"/>
          <w:szCs w:val="36"/>
        </w:rPr>
      </w:pPr>
    </w:p>
    <w:p w14:paraId="6B51574E" w14:textId="74F321E5" w:rsidR="007B2110" w:rsidRPr="001B6F83" w:rsidRDefault="0081593F" w:rsidP="001B6F83">
      <w:pPr>
        <w:spacing w:after="0" w:line="480" w:lineRule="auto"/>
        <w:rPr>
          <w:rFonts w:ascii="Times New Roman" w:hAnsi="Times New Roman" w:cs="Times New Roman"/>
          <w:sz w:val="36"/>
          <w:szCs w:val="36"/>
        </w:rPr>
      </w:pPr>
      <w:r w:rsidRPr="001B6F83">
        <w:rPr>
          <w:rFonts w:ascii="Times New Roman" w:hAnsi="Times New Roman" w:cs="Times New Roman"/>
          <w:sz w:val="36"/>
          <w:szCs w:val="36"/>
        </w:rPr>
        <w:t>&lt;CN&gt;12</w:t>
      </w:r>
      <w:proofErr w:type="gramStart"/>
      <w:r w:rsidRPr="001B6F83">
        <w:rPr>
          <w:rFonts w:ascii="Times New Roman" w:hAnsi="Times New Roman" w:cs="Times New Roman"/>
          <w:sz w:val="36"/>
          <w:szCs w:val="36"/>
        </w:rPr>
        <w:t>.&lt;</w:t>
      </w:r>
      <w:proofErr w:type="gramEnd"/>
      <w:r w:rsidRPr="001B6F83">
        <w:rPr>
          <w:rFonts w:ascii="Times New Roman" w:hAnsi="Times New Roman" w:cs="Times New Roman"/>
          <w:sz w:val="36"/>
          <w:szCs w:val="36"/>
        </w:rPr>
        <w:t>EN&gt;&lt;CT&gt;</w:t>
      </w:r>
      <w:r w:rsidR="00A360EC" w:rsidRPr="001B6F83">
        <w:rPr>
          <w:rFonts w:ascii="Times New Roman" w:hAnsi="Times New Roman" w:cs="Times New Roman"/>
          <w:sz w:val="36"/>
          <w:szCs w:val="36"/>
        </w:rPr>
        <w:t>Climate change law and policymaking: the u</w:t>
      </w:r>
      <w:r w:rsidR="007B2110" w:rsidRPr="001B6F83">
        <w:rPr>
          <w:rFonts w:ascii="Times New Roman" w:hAnsi="Times New Roman" w:cs="Times New Roman"/>
          <w:sz w:val="36"/>
          <w:szCs w:val="36"/>
        </w:rPr>
        <w:t xml:space="preserve">tility of the Delphi </w:t>
      </w:r>
      <w:r w:rsidR="00E1346F">
        <w:rPr>
          <w:rFonts w:ascii="Times New Roman" w:hAnsi="Times New Roman" w:cs="Times New Roman"/>
          <w:sz w:val="36"/>
          <w:szCs w:val="36"/>
        </w:rPr>
        <w:t>m</w:t>
      </w:r>
      <w:r w:rsidR="007B2110" w:rsidRPr="001B6F83">
        <w:rPr>
          <w:rFonts w:ascii="Times New Roman" w:hAnsi="Times New Roman" w:cs="Times New Roman"/>
          <w:sz w:val="36"/>
          <w:szCs w:val="36"/>
        </w:rPr>
        <w:t>ethod</w:t>
      </w:r>
    </w:p>
    <w:p w14:paraId="513EB0EF" w14:textId="77777777" w:rsidR="0081593F" w:rsidRDefault="0081593F" w:rsidP="001B6F83">
      <w:pPr>
        <w:spacing w:after="0" w:line="480" w:lineRule="auto"/>
        <w:rPr>
          <w:rFonts w:ascii="Times New Roman" w:hAnsi="Times New Roman" w:cs="Times New Roman"/>
        </w:rPr>
      </w:pPr>
    </w:p>
    <w:p w14:paraId="2A8F4326" w14:textId="6D16A587" w:rsidR="00404C5A" w:rsidRPr="001B6F83" w:rsidRDefault="0081593F" w:rsidP="001B6F83">
      <w:pPr>
        <w:spacing w:after="0" w:line="480" w:lineRule="auto"/>
        <w:rPr>
          <w:rFonts w:ascii="Times New Roman" w:hAnsi="Times New Roman" w:cs="Times New Roman"/>
          <w:b/>
          <w:sz w:val="28"/>
        </w:rPr>
      </w:pPr>
      <w:r w:rsidRPr="001B6F83">
        <w:rPr>
          <w:rFonts w:ascii="Times New Roman" w:hAnsi="Times New Roman" w:cs="Times New Roman"/>
          <w:b/>
          <w:sz w:val="28"/>
        </w:rPr>
        <w:t>&lt;AU&gt;</w:t>
      </w:r>
      <w:r w:rsidR="000079BF" w:rsidRPr="001B6F83">
        <w:rPr>
          <w:rFonts w:ascii="Times New Roman" w:hAnsi="Times New Roman" w:cs="Times New Roman"/>
          <w:b/>
          <w:sz w:val="28"/>
        </w:rPr>
        <w:t>Evgney Guglyuvatyy</w:t>
      </w:r>
      <w:r w:rsidR="00404C5A" w:rsidRPr="001B6F83">
        <w:rPr>
          <w:rStyle w:val="EndnoteReference"/>
          <w:rFonts w:ascii="Times New Roman" w:hAnsi="Times New Roman" w:cs="Times New Roman"/>
          <w:b/>
          <w:sz w:val="28"/>
        </w:rPr>
        <w:endnoteReference w:customMarkFollows="1" w:id="1"/>
        <w:sym w:font="Symbol" w:char="F02A"/>
      </w:r>
      <w:r w:rsidR="00404C5A" w:rsidRPr="001B6F83">
        <w:rPr>
          <w:rFonts w:ascii="Times New Roman" w:hAnsi="Times New Roman" w:cs="Times New Roman"/>
          <w:b/>
          <w:sz w:val="28"/>
        </w:rPr>
        <w:t xml:space="preserve"> and Natalie P Stoianoff</w:t>
      </w:r>
      <w:r w:rsidR="00404C5A" w:rsidRPr="001B6F83">
        <w:rPr>
          <w:rStyle w:val="EndnoteReference"/>
          <w:rFonts w:ascii="Times New Roman" w:hAnsi="Times New Roman" w:cs="Times New Roman"/>
          <w:b/>
          <w:sz w:val="28"/>
        </w:rPr>
        <w:endnoteReference w:customMarkFollows="1" w:id="2"/>
        <w:sym w:font="Symbol" w:char="F02A"/>
      </w:r>
      <w:r w:rsidR="00404C5A" w:rsidRPr="001B6F83">
        <w:rPr>
          <w:rStyle w:val="EndnoteReference"/>
          <w:rFonts w:ascii="Times New Roman" w:hAnsi="Times New Roman" w:cs="Times New Roman"/>
          <w:b/>
          <w:sz w:val="28"/>
        </w:rPr>
        <w:sym w:font="Symbol" w:char="F02A"/>
      </w:r>
    </w:p>
    <w:p w14:paraId="550FCD5D" w14:textId="77777777" w:rsidR="00404C5A" w:rsidRPr="00910DD1" w:rsidRDefault="00404C5A" w:rsidP="00E47FE1">
      <w:pPr>
        <w:pBdr>
          <w:bottom w:val="single" w:sz="6" w:space="1" w:color="auto"/>
        </w:pBdr>
        <w:spacing w:after="0" w:line="480" w:lineRule="auto"/>
        <w:rPr>
          <w:rFonts w:ascii="Times New Roman" w:hAnsi="Times New Roman" w:cs="Times New Roman"/>
        </w:rPr>
      </w:pPr>
    </w:p>
    <w:p w14:paraId="5A464A57" w14:textId="70CD5E31" w:rsidR="0081593F" w:rsidRPr="00910DD1" w:rsidRDefault="0081593F" w:rsidP="00E47FE1">
      <w:pPr>
        <w:spacing w:after="0" w:line="480" w:lineRule="auto"/>
        <w:rPr>
          <w:rFonts w:ascii="Times New Roman" w:hAnsi="Times New Roman" w:cs="Times New Roman"/>
          <w:b/>
        </w:rPr>
      </w:pPr>
    </w:p>
    <w:p w14:paraId="133A0E7F" w14:textId="4AC721B8" w:rsidR="00404C5A" w:rsidRPr="001B6F83" w:rsidRDefault="0081593F" w:rsidP="001B6F83">
      <w:pPr>
        <w:pStyle w:val="Heading1"/>
        <w:numPr>
          <w:ilvl w:val="0"/>
          <w:numId w:val="0"/>
        </w:numPr>
        <w:spacing w:before="0" w:after="0" w:line="480" w:lineRule="auto"/>
        <w:ind w:left="360" w:hanging="360"/>
        <w:rPr>
          <w:rFonts w:ascii="Times New Roman" w:hAnsi="Times New Roman" w:cs="Times New Roman"/>
          <w:b w:val="0"/>
          <w:szCs w:val="28"/>
        </w:rPr>
      </w:pPr>
      <w:r w:rsidRPr="0081593F">
        <w:rPr>
          <w:rFonts w:ascii="Times New Roman" w:hAnsi="Times New Roman" w:cs="Times New Roman"/>
          <w:b w:val="0"/>
          <w:szCs w:val="28"/>
        </w:rPr>
        <w:t>&lt;A&gt;THE DELPHI METHOD</w:t>
      </w:r>
    </w:p>
    <w:p w14:paraId="7DFA1EE8" w14:textId="77777777" w:rsidR="0081593F" w:rsidRDefault="0081593F" w:rsidP="00E47FE1">
      <w:pPr>
        <w:spacing w:after="0" w:line="480" w:lineRule="auto"/>
        <w:rPr>
          <w:rFonts w:ascii="Times New Roman" w:hAnsi="Times New Roman" w:cs="Times New Roman"/>
        </w:rPr>
      </w:pPr>
    </w:p>
    <w:p w14:paraId="354AD9C8" w14:textId="2FD773F6" w:rsidR="00404C5A" w:rsidRDefault="00404C5A" w:rsidP="00E47FE1">
      <w:pPr>
        <w:spacing w:after="0" w:line="480" w:lineRule="auto"/>
        <w:rPr>
          <w:rFonts w:ascii="Times New Roman" w:hAnsi="Times New Roman" w:cs="Times New Roman"/>
        </w:rPr>
      </w:pPr>
      <w:r w:rsidRPr="00910DD1">
        <w:rPr>
          <w:rFonts w:ascii="Times New Roman" w:hAnsi="Times New Roman" w:cs="Times New Roman"/>
        </w:rPr>
        <w:t>A balanced law or policymaking process requires an effective policy assessment approach.</w:t>
      </w:r>
      <w:r w:rsidRPr="00910DD1">
        <w:rPr>
          <w:rStyle w:val="EndnoteReference"/>
          <w:rFonts w:ascii="Times New Roman" w:hAnsi="Times New Roman" w:cs="Times New Roman"/>
        </w:rPr>
        <w:endnoteReference w:id="3"/>
      </w:r>
      <w:r w:rsidRPr="00910DD1">
        <w:rPr>
          <w:rFonts w:ascii="Times New Roman" w:hAnsi="Times New Roman" w:cs="Times New Roman"/>
        </w:rPr>
        <w:t xml:space="preserve"> However, processes of political decision-making are frequently not rationally</w:t>
      </w:r>
      <w:r w:rsidR="00CF6D48">
        <w:rPr>
          <w:rFonts w:ascii="Times New Roman" w:hAnsi="Times New Roman" w:cs="Times New Roman"/>
        </w:rPr>
        <w:t xml:space="preserve"> </w:t>
      </w:r>
      <w:r w:rsidRPr="00910DD1">
        <w:rPr>
          <w:rFonts w:ascii="Times New Roman" w:hAnsi="Times New Roman" w:cs="Times New Roman"/>
        </w:rPr>
        <w:t>based.</w:t>
      </w:r>
      <w:r w:rsidRPr="00910DD1">
        <w:rPr>
          <w:rStyle w:val="EndnoteReference"/>
          <w:rFonts w:ascii="Times New Roman" w:hAnsi="Times New Roman" w:cs="Times New Roman"/>
        </w:rPr>
        <w:endnoteReference w:id="4"/>
      </w:r>
      <w:r w:rsidRPr="00910DD1">
        <w:rPr>
          <w:rFonts w:ascii="Times New Roman" w:hAnsi="Times New Roman" w:cs="Times New Roman"/>
        </w:rPr>
        <w:t xml:space="preserve"> Many commentators agree that policymaking is strongly influenced by politics and that the choice of available policy options is limited by institutional dependencies and political factors.</w:t>
      </w:r>
      <w:r w:rsidRPr="00910DD1">
        <w:rPr>
          <w:rStyle w:val="EndnoteReference"/>
          <w:rFonts w:ascii="Times New Roman" w:hAnsi="Times New Roman" w:cs="Times New Roman"/>
        </w:rPr>
        <w:endnoteReference w:id="5"/>
      </w:r>
      <w:r w:rsidRPr="00910DD1">
        <w:rPr>
          <w:rFonts w:ascii="Times New Roman" w:hAnsi="Times New Roman" w:cs="Times New Roman"/>
        </w:rPr>
        <w:t xml:space="preserve"> In achieving their own goals, participants in the policymaking process may have different sets of preferences influencing policy evaluation. These different preferences will inhibit collaboration aimed at ascertaining the most suitable policy option overall.</w:t>
      </w:r>
      <w:r w:rsidRPr="00910DD1">
        <w:rPr>
          <w:rStyle w:val="EndnoteReference"/>
          <w:rFonts w:ascii="Times New Roman" w:hAnsi="Times New Roman" w:cs="Times New Roman"/>
        </w:rPr>
        <w:endnoteReference w:id="6"/>
      </w:r>
      <w:r w:rsidRPr="00910DD1">
        <w:rPr>
          <w:rFonts w:ascii="Times New Roman" w:hAnsi="Times New Roman" w:cs="Times New Roman"/>
        </w:rPr>
        <w:t xml:space="preserve"> Nonetheless, the principles of rational discussion and balanced problem solving can be employed in policymaking processes.</w:t>
      </w:r>
      <w:r w:rsidRPr="00910DD1">
        <w:rPr>
          <w:rStyle w:val="EndnoteReference"/>
          <w:rFonts w:ascii="Times New Roman" w:hAnsi="Times New Roman" w:cs="Times New Roman"/>
        </w:rPr>
        <w:endnoteReference w:id="7"/>
      </w:r>
    </w:p>
    <w:p w14:paraId="1391979D" w14:textId="4DA2921F" w:rsidR="00404C5A" w:rsidRPr="00910DD1" w:rsidRDefault="00404C5A" w:rsidP="001B6F83">
      <w:pPr>
        <w:spacing w:after="0" w:line="480" w:lineRule="auto"/>
        <w:ind w:firstLine="720"/>
        <w:rPr>
          <w:rFonts w:ascii="Times New Roman" w:hAnsi="Times New Roman" w:cs="Times New Roman"/>
        </w:rPr>
      </w:pPr>
      <w:r w:rsidRPr="00910DD1">
        <w:rPr>
          <w:rFonts w:ascii="Times New Roman" w:hAnsi="Times New Roman" w:cs="Times New Roman"/>
        </w:rPr>
        <w:t>The history of the evaluation of environmental policy is rather short and the concepts are fragmented, but the interest in evaluations in this field is growing rapidly in many countries.</w:t>
      </w:r>
      <w:r w:rsidRPr="00910DD1">
        <w:rPr>
          <w:rStyle w:val="EndnoteReference"/>
          <w:rFonts w:ascii="Times New Roman" w:hAnsi="Times New Roman" w:cs="Times New Roman"/>
        </w:rPr>
        <w:endnoteReference w:id="8"/>
      </w:r>
      <w:r w:rsidRPr="00910DD1">
        <w:rPr>
          <w:rFonts w:ascii="Times New Roman" w:hAnsi="Times New Roman" w:cs="Times New Roman"/>
        </w:rPr>
        <w:t xml:space="preserve"> The need for policy evaluation is not only </w:t>
      </w:r>
      <w:r w:rsidR="00E1346F" w:rsidRPr="00910DD1">
        <w:rPr>
          <w:rFonts w:ascii="Times New Roman" w:hAnsi="Times New Roman" w:cs="Times New Roman"/>
        </w:rPr>
        <w:t>emphasi</w:t>
      </w:r>
      <w:r w:rsidR="00E1346F">
        <w:rPr>
          <w:rFonts w:ascii="Times New Roman" w:hAnsi="Times New Roman" w:cs="Times New Roman"/>
        </w:rPr>
        <w:t>z</w:t>
      </w:r>
      <w:r w:rsidR="00E1346F" w:rsidRPr="00910DD1">
        <w:rPr>
          <w:rFonts w:ascii="Times New Roman" w:hAnsi="Times New Roman" w:cs="Times New Roman"/>
        </w:rPr>
        <w:t xml:space="preserve">ed </w:t>
      </w:r>
      <w:r w:rsidRPr="00910DD1">
        <w:rPr>
          <w:rFonts w:ascii="Times New Roman" w:hAnsi="Times New Roman" w:cs="Times New Roman"/>
        </w:rPr>
        <w:t xml:space="preserve">within environmental research but also policymakers and administrators are more frequently articulating the necessity for environmental policy evaluations. </w:t>
      </w:r>
      <w:r w:rsidRPr="00910DD1">
        <w:rPr>
          <w:rFonts w:ascii="Times New Roman" w:hAnsi="Times New Roman" w:cs="Times New Roman"/>
        </w:rPr>
        <w:lastRenderedPageBreak/>
        <w:t xml:space="preserve">Evaluation of climate change related policies is also </w:t>
      </w:r>
      <w:r w:rsidR="00A9280D" w:rsidRPr="00910DD1">
        <w:rPr>
          <w:rFonts w:ascii="Times New Roman" w:hAnsi="Times New Roman" w:cs="Times New Roman"/>
        </w:rPr>
        <w:t>recogni</w:t>
      </w:r>
      <w:r w:rsidR="00A9280D">
        <w:rPr>
          <w:rFonts w:ascii="Times New Roman" w:hAnsi="Times New Roman" w:cs="Times New Roman"/>
        </w:rPr>
        <w:t>z</w:t>
      </w:r>
      <w:r w:rsidR="00A9280D" w:rsidRPr="00910DD1">
        <w:rPr>
          <w:rFonts w:ascii="Times New Roman" w:hAnsi="Times New Roman" w:cs="Times New Roman"/>
        </w:rPr>
        <w:t xml:space="preserve">ed </w:t>
      </w:r>
      <w:r w:rsidRPr="00910DD1">
        <w:rPr>
          <w:rFonts w:ascii="Times New Roman" w:hAnsi="Times New Roman" w:cs="Times New Roman"/>
        </w:rPr>
        <w:t>as an important stage of policymaking but there are not many examples of climate policy evaluations.</w:t>
      </w:r>
      <w:r w:rsidRPr="00910DD1">
        <w:rPr>
          <w:rStyle w:val="EndnoteReference"/>
          <w:rFonts w:ascii="Times New Roman" w:hAnsi="Times New Roman" w:cs="Times New Roman"/>
        </w:rPr>
        <w:endnoteReference w:id="9"/>
      </w:r>
    </w:p>
    <w:p w14:paraId="5372203A" w14:textId="25FB03F9" w:rsidR="00404C5A" w:rsidRPr="00910DD1" w:rsidRDefault="00404C5A" w:rsidP="001B6F83">
      <w:pPr>
        <w:spacing w:after="0" w:line="480" w:lineRule="auto"/>
        <w:ind w:firstLine="720"/>
        <w:rPr>
          <w:rFonts w:ascii="Times New Roman" w:hAnsi="Times New Roman" w:cs="Times New Roman"/>
        </w:rPr>
      </w:pPr>
      <w:r w:rsidRPr="00910DD1">
        <w:rPr>
          <w:rFonts w:ascii="Times New Roman" w:hAnsi="Times New Roman" w:cs="Times New Roman"/>
        </w:rPr>
        <w:t>A climate change policy evaluation procedure needs to consider many crucial factors. For example, economics tends to treat economic efficiency as a pivotal concept, while environmental science focuses on pollution, and none of the disciplines combine all concerns.</w:t>
      </w:r>
      <w:r w:rsidRPr="00910DD1">
        <w:rPr>
          <w:rStyle w:val="EndnoteReference"/>
          <w:rFonts w:ascii="Times New Roman" w:hAnsi="Times New Roman" w:cs="Times New Roman"/>
        </w:rPr>
        <w:endnoteReference w:id="10"/>
      </w:r>
      <w:r w:rsidRPr="00910DD1">
        <w:rPr>
          <w:rFonts w:ascii="Times New Roman" w:hAnsi="Times New Roman" w:cs="Times New Roman"/>
        </w:rPr>
        <w:t xml:space="preserve"> Accordingly, an efficient and effective policy might still be defective if, for instance, it dangerously compromises equity. In a similar vein, hypothetical equity of a policy would not </w:t>
      </w:r>
      <w:r w:rsidR="00A9280D" w:rsidRPr="00910DD1">
        <w:rPr>
          <w:rFonts w:ascii="Times New Roman" w:hAnsi="Times New Roman" w:cs="Times New Roman"/>
        </w:rPr>
        <w:t>rationali</w:t>
      </w:r>
      <w:r w:rsidR="00A9280D">
        <w:rPr>
          <w:rFonts w:ascii="Times New Roman" w:hAnsi="Times New Roman" w:cs="Times New Roman"/>
        </w:rPr>
        <w:t>z</w:t>
      </w:r>
      <w:r w:rsidR="00A9280D" w:rsidRPr="00910DD1">
        <w:rPr>
          <w:rFonts w:ascii="Times New Roman" w:hAnsi="Times New Roman" w:cs="Times New Roman"/>
        </w:rPr>
        <w:t xml:space="preserve">e </w:t>
      </w:r>
      <w:r w:rsidRPr="00910DD1">
        <w:rPr>
          <w:rFonts w:ascii="Times New Roman" w:hAnsi="Times New Roman" w:cs="Times New Roman"/>
        </w:rPr>
        <w:t>its lack of efficiency and environmental effectiveness. For this reason, all of the corresponding factors need to be considered simultaneously at the stage of policy evaluation.</w:t>
      </w:r>
    </w:p>
    <w:p w14:paraId="5C4B21C4" w14:textId="7A47567A" w:rsidR="00404C5A" w:rsidRPr="00910DD1" w:rsidRDefault="00404C5A" w:rsidP="001B6F83">
      <w:pPr>
        <w:spacing w:after="0" w:line="480" w:lineRule="auto"/>
        <w:ind w:firstLine="360"/>
        <w:rPr>
          <w:rFonts w:ascii="Times New Roman" w:hAnsi="Times New Roman" w:cs="Times New Roman"/>
        </w:rPr>
      </w:pPr>
      <w:r w:rsidRPr="00910DD1">
        <w:rPr>
          <w:rFonts w:ascii="Times New Roman" w:hAnsi="Times New Roman" w:cs="Times New Roman"/>
        </w:rPr>
        <w:t xml:space="preserve">This chapter </w:t>
      </w:r>
      <w:r w:rsidR="00E1346F" w:rsidRPr="00910DD1">
        <w:rPr>
          <w:rFonts w:ascii="Times New Roman" w:hAnsi="Times New Roman" w:cs="Times New Roman"/>
        </w:rPr>
        <w:t>utili</w:t>
      </w:r>
      <w:r w:rsidR="00E1346F">
        <w:rPr>
          <w:rFonts w:ascii="Times New Roman" w:hAnsi="Times New Roman" w:cs="Times New Roman"/>
        </w:rPr>
        <w:t>z</w:t>
      </w:r>
      <w:r w:rsidR="00E1346F" w:rsidRPr="00910DD1">
        <w:rPr>
          <w:rFonts w:ascii="Times New Roman" w:hAnsi="Times New Roman" w:cs="Times New Roman"/>
        </w:rPr>
        <w:t xml:space="preserve">es </w:t>
      </w:r>
      <w:r w:rsidRPr="00910DD1">
        <w:rPr>
          <w:rFonts w:ascii="Times New Roman" w:hAnsi="Times New Roman" w:cs="Times New Roman"/>
        </w:rPr>
        <w:t xml:space="preserve">a policy evaluation study as an example of the utility of the Delphi method in climate change policymaking. In this study the Delphi method assisted in </w:t>
      </w:r>
      <w:r w:rsidR="00A9280D" w:rsidRPr="00910DD1">
        <w:rPr>
          <w:rFonts w:ascii="Times New Roman" w:hAnsi="Times New Roman" w:cs="Times New Roman"/>
        </w:rPr>
        <w:t>prioriti</w:t>
      </w:r>
      <w:r w:rsidR="00A9280D">
        <w:rPr>
          <w:rFonts w:ascii="Times New Roman" w:hAnsi="Times New Roman" w:cs="Times New Roman"/>
        </w:rPr>
        <w:t>z</w:t>
      </w:r>
      <w:r w:rsidR="00A9280D" w:rsidRPr="00910DD1">
        <w:rPr>
          <w:rFonts w:ascii="Times New Roman" w:hAnsi="Times New Roman" w:cs="Times New Roman"/>
        </w:rPr>
        <w:t xml:space="preserve">ing </w:t>
      </w:r>
      <w:r w:rsidRPr="00910DD1">
        <w:rPr>
          <w:rFonts w:ascii="Times New Roman" w:hAnsi="Times New Roman" w:cs="Times New Roman"/>
        </w:rPr>
        <w:t xml:space="preserve">the criteria used in the evaluation. The need for policy evaluation is not only </w:t>
      </w:r>
      <w:r w:rsidR="00A9280D" w:rsidRPr="00910DD1">
        <w:rPr>
          <w:rFonts w:ascii="Times New Roman" w:hAnsi="Times New Roman" w:cs="Times New Roman"/>
        </w:rPr>
        <w:t>emphasi</w:t>
      </w:r>
      <w:r w:rsidR="00A9280D">
        <w:rPr>
          <w:rFonts w:ascii="Times New Roman" w:hAnsi="Times New Roman" w:cs="Times New Roman"/>
        </w:rPr>
        <w:t>z</w:t>
      </w:r>
      <w:r w:rsidR="00A9280D" w:rsidRPr="00910DD1">
        <w:rPr>
          <w:rFonts w:ascii="Times New Roman" w:hAnsi="Times New Roman" w:cs="Times New Roman"/>
        </w:rPr>
        <w:t xml:space="preserve">ed </w:t>
      </w:r>
      <w:r w:rsidRPr="00910DD1">
        <w:rPr>
          <w:rFonts w:ascii="Times New Roman" w:hAnsi="Times New Roman" w:cs="Times New Roman"/>
        </w:rPr>
        <w:t>within environmental research but also policymakers and administrators are more frequently articulating the necessity for environmental policy evaluations.</w:t>
      </w:r>
      <w:r w:rsidRPr="00910DD1">
        <w:rPr>
          <w:rStyle w:val="EndnoteReference"/>
          <w:rFonts w:ascii="Times New Roman" w:hAnsi="Times New Roman" w:cs="Times New Roman"/>
        </w:rPr>
        <w:endnoteReference w:id="11"/>
      </w:r>
      <w:r w:rsidRPr="00910DD1">
        <w:rPr>
          <w:rFonts w:ascii="Times New Roman" w:hAnsi="Times New Roman" w:cs="Times New Roman"/>
        </w:rPr>
        <w:t xml:space="preserve"> This chapter discusses the Delphi method as a useful instrument in environmental policy research. Based on the findings of the Delphi study conducted to facilitate climate change policies assessment in Australia the authors analyse the strengths and limitations of the method</w:t>
      </w:r>
      <w:r w:rsidR="00910DD1" w:rsidRPr="00910DD1">
        <w:rPr>
          <w:rFonts w:ascii="Times New Roman" w:hAnsi="Times New Roman" w:cs="Times New Roman"/>
        </w:rPr>
        <w:t>.</w:t>
      </w:r>
    </w:p>
    <w:p w14:paraId="495B4E18" w14:textId="77777777" w:rsidR="00404C5A" w:rsidRPr="00910DD1" w:rsidRDefault="00404C5A" w:rsidP="00E47FE1">
      <w:pPr>
        <w:autoSpaceDE w:val="0"/>
        <w:autoSpaceDN w:val="0"/>
        <w:adjustRightInd w:val="0"/>
        <w:spacing w:after="0" w:line="480" w:lineRule="auto"/>
        <w:rPr>
          <w:rFonts w:ascii="Times New Roman" w:hAnsi="Times New Roman" w:cs="Times New Roman"/>
          <w:b/>
        </w:rPr>
      </w:pPr>
    </w:p>
    <w:p w14:paraId="4ECFCC27" w14:textId="101BB017" w:rsidR="00404C5A" w:rsidRPr="001B6F83" w:rsidRDefault="00A9280D" w:rsidP="001B6F83">
      <w:pPr>
        <w:pStyle w:val="Heading1"/>
        <w:numPr>
          <w:ilvl w:val="0"/>
          <w:numId w:val="0"/>
        </w:numPr>
        <w:spacing w:before="0" w:after="0" w:line="480" w:lineRule="auto"/>
        <w:ind w:left="360" w:hanging="360"/>
        <w:rPr>
          <w:rFonts w:ascii="Times New Roman" w:hAnsi="Times New Roman" w:cs="Times New Roman"/>
          <w:sz w:val="20"/>
          <w:szCs w:val="22"/>
        </w:rPr>
      </w:pPr>
      <w:r w:rsidRPr="001B6F83">
        <w:rPr>
          <w:rFonts w:ascii="Times New Roman" w:hAnsi="Times New Roman" w:cs="Times New Roman"/>
          <w:sz w:val="20"/>
          <w:szCs w:val="22"/>
        </w:rPr>
        <w:t>&lt;B&gt;</w:t>
      </w:r>
      <w:r w:rsidR="00404C5A" w:rsidRPr="001B6F83">
        <w:rPr>
          <w:rFonts w:ascii="Times New Roman" w:hAnsi="Times New Roman" w:cs="Times New Roman"/>
          <w:sz w:val="20"/>
          <w:szCs w:val="22"/>
        </w:rPr>
        <w:t>Defining the Delphi Method</w:t>
      </w:r>
    </w:p>
    <w:p w14:paraId="113F214C" w14:textId="77777777" w:rsidR="00A9280D" w:rsidRDefault="00A9280D" w:rsidP="00E47FE1">
      <w:pPr>
        <w:spacing w:after="0" w:line="480" w:lineRule="auto"/>
        <w:rPr>
          <w:rFonts w:ascii="Times New Roman" w:hAnsi="Times New Roman" w:cs="Times New Roman"/>
        </w:rPr>
      </w:pPr>
    </w:p>
    <w:p w14:paraId="14D7E16B" w14:textId="1DCD6D0D" w:rsidR="00404C5A" w:rsidRPr="00910DD1" w:rsidRDefault="00404C5A" w:rsidP="00E47FE1">
      <w:pPr>
        <w:spacing w:after="0" w:line="480" w:lineRule="auto"/>
        <w:rPr>
          <w:rFonts w:ascii="Times New Roman" w:hAnsi="Times New Roman" w:cs="Times New Roman"/>
        </w:rPr>
      </w:pPr>
      <w:r w:rsidRPr="00910DD1">
        <w:rPr>
          <w:rFonts w:ascii="Times New Roman" w:hAnsi="Times New Roman" w:cs="Times New Roman"/>
        </w:rPr>
        <w:t>In the 1950s, researchers working at the Rand Corporation developed the Delphi method.</w:t>
      </w:r>
      <w:r w:rsidRPr="00910DD1">
        <w:rPr>
          <w:rStyle w:val="EndnoteReference"/>
          <w:rFonts w:ascii="Times New Roman" w:hAnsi="Times New Roman" w:cs="Times New Roman"/>
        </w:rPr>
        <w:endnoteReference w:id="12"/>
      </w:r>
      <w:r w:rsidRPr="00910DD1">
        <w:rPr>
          <w:rFonts w:ascii="Times New Roman" w:hAnsi="Times New Roman" w:cs="Times New Roman"/>
        </w:rPr>
        <w:t xml:space="preserve"> This method was designed as a tool for forecasting future events using a series of questionnaires combined with controlled-opinion feedback.</w:t>
      </w:r>
      <w:r w:rsidRPr="00910DD1">
        <w:rPr>
          <w:rStyle w:val="EndnoteReference"/>
          <w:rFonts w:ascii="Times New Roman" w:hAnsi="Times New Roman" w:cs="Times New Roman"/>
        </w:rPr>
        <w:endnoteReference w:id="13"/>
      </w:r>
      <w:r w:rsidRPr="00910DD1">
        <w:rPr>
          <w:rFonts w:ascii="Times New Roman" w:hAnsi="Times New Roman" w:cs="Times New Roman"/>
        </w:rPr>
        <w:t xml:space="preserve"> The development of this tool has resulted in expanded and more diverse capabilities in academic research, and decision-ma</w:t>
      </w:r>
      <w:r w:rsidR="00910DD1" w:rsidRPr="00910DD1">
        <w:rPr>
          <w:rFonts w:ascii="Times New Roman" w:hAnsi="Times New Roman" w:cs="Times New Roman"/>
        </w:rPr>
        <w:t>king by industry and government</w:t>
      </w:r>
      <w:r w:rsidRPr="00910DD1">
        <w:rPr>
          <w:rFonts w:ascii="Times New Roman" w:hAnsi="Times New Roman" w:cs="Times New Roman"/>
        </w:rPr>
        <w:t>.</w:t>
      </w:r>
      <w:r w:rsidRPr="00910DD1">
        <w:rPr>
          <w:rStyle w:val="EndnoteReference"/>
          <w:rFonts w:ascii="Times New Roman" w:hAnsi="Times New Roman" w:cs="Times New Roman"/>
        </w:rPr>
        <w:endnoteReference w:id="14"/>
      </w:r>
    </w:p>
    <w:p w14:paraId="38EF72E7" w14:textId="0386242C" w:rsidR="00404C5A" w:rsidRPr="00910DD1" w:rsidRDefault="00404C5A" w:rsidP="001B6F83">
      <w:pPr>
        <w:spacing w:after="0" w:line="480" w:lineRule="auto"/>
        <w:ind w:firstLine="360"/>
        <w:rPr>
          <w:rFonts w:ascii="Times New Roman" w:hAnsi="Times New Roman" w:cs="Times New Roman"/>
        </w:rPr>
      </w:pPr>
      <w:r w:rsidRPr="00910DD1">
        <w:rPr>
          <w:rFonts w:ascii="Times New Roman" w:hAnsi="Times New Roman" w:cs="Times New Roman"/>
        </w:rPr>
        <w:t>The Delphi method is frequently utilised for the examination of ideas as well as the creation of appropriate information for decision-making.</w:t>
      </w:r>
      <w:r w:rsidRPr="00910DD1">
        <w:rPr>
          <w:rStyle w:val="EndnoteReference"/>
          <w:rFonts w:ascii="Times New Roman" w:hAnsi="Times New Roman" w:cs="Times New Roman"/>
        </w:rPr>
        <w:endnoteReference w:id="15"/>
      </w:r>
      <w:r w:rsidR="00A9280D">
        <w:rPr>
          <w:rFonts w:ascii="Times New Roman" w:hAnsi="Times New Roman" w:cs="Times New Roman"/>
        </w:rPr>
        <w:t xml:space="preserve"> </w:t>
      </w:r>
      <w:r w:rsidRPr="00910DD1">
        <w:rPr>
          <w:rFonts w:ascii="Times New Roman" w:hAnsi="Times New Roman" w:cs="Times New Roman"/>
        </w:rPr>
        <w:t>Equipped to handle complex problems or tasks systematically, this method provides a process for collecting knowledge from an identified group of experts by means of a series of questionnaires combined with controlled opinion feedback.</w:t>
      </w:r>
      <w:r w:rsidRPr="00910DD1">
        <w:rPr>
          <w:rStyle w:val="EndnoteReference"/>
          <w:rFonts w:ascii="Times New Roman" w:hAnsi="Times New Roman" w:cs="Times New Roman"/>
        </w:rPr>
        <w:endnoteReference w:id="16"/>
      </w:r>
      <w:r w:rsidRPr="00910DD1" w:rsidDel="002270C6">
        <w:rPr>
          <w:rFonts w:ascii="Times New Roman" w:hAnsi="Times New Roman" w:cs="Times New Roman"/>
        </w:rPr>
        <w:t xml:space="preserve"> </w:t>
      </w:r>
      <w:r w:rsidRPr="00910DD1">
        <w:rPr>
          <w:rFonts w:ascii="Times New Roman" w:hAnsi="Times New Roman" w:cs="Times New Roman"/>
        </w:rPr>
        <w:t xml:space="preserve">These questionnaires facilitate accumulation of personal responses to the problems posed and allow the experts </w:t>
      </w:r>
      <w:r w:rsidRPr="00910DD1">
        <w:rPr>
          <w:rFonts w:ascii="Times New Roman" w:hAnsi="Times New Roman" w:cs="Times New Roman"/>
        </w:rPr>
        <w:lastRenderedPageBreak/>
        <w:t>the flexibility to either confirm or vary their responses. The characteristics of the Delphi method are anonymity, controlled feedback, and statistical response,</w:t>
      </w:r>
      <w:r w:rsidRPr="00910DD1">
        <w:rPr>
          <w:rStyle w:val="EndnoteReference"/>
          <w:rFonts w:ascii="Times New Roman" w:hAnsi="Times New Roman" w:cs="Times New Roman"/>
        </w:rPr>
        <w:endnoteReference w:id="17"/>
      </w:r>
      <w:r w:rsidRPr="00910DD1">
        <w:rPr>
          <w:rFonts w:ascii="Times New Roman" w:hAnsi="Times New Roman" w:cs="Times New Roman"/>
        </w:rPr>
        <w:t xml:space="preserve"> </w:t>
      </w:r>
      <w:r w:rsidR="00A9280D" w:rsidRPr="00910DD1">
        <w:rPr>
          <w:rFonts w:ascii="Times New Roman" w:hAnsi="Times New Roman" w:cs="Times New Roman"/>
        </w:rPr>
        <w:t>characteri</w:t>
      </w:r>
      <w:r w:rsidR="00A9280D">
        <w:rPr>
          <w:rFonts w:ascii="Times New Roman" w:hAnsi="Times New Roman" w:cs="Times New Roman"/>
        </w:rPr>
        <w:t>z</w:t>
      </w:r>
      <w:r w:rsidR="00A9280D" w:rsidRPr="00910DD1">
        <w:rPr>
          <w:rFonts w:ascii="Times New Roman" w:hAnsi="Times New Roman" w:cs="Times New Roman"/>
        </w:rPr>
        <w:t xml:space="preserve">ed </w:t>
      </w:r>
      <w:r w:rsidRPr="00910DD1">
        <w:rPr>
          <w:rFonts w:ascii="Times New Roman" w:hAnsi="Times New Roman" w:cs="Times New Roman"/>
        </w:rPr>
        <w:t>as a 'relatively strongly structured group communication process’ where the group is comprised of experts dealing with often incomplete available information.</w:t>
      </w:r>
      <w:r w:rsidRPr="00910DD1">
        <w:rPr>
          <w:rStyle w:val="EndnoteReference"/>
          <w:rFonts w:ascii="Times New Roman" w:hAnsi="Times New Roman" w:cs="Times New Roman"/>
        </w:rPr>
        <w:endnoteReference w:id="18"/>
      </w:r>
      <w:r w:rsidRPr="00910DD1">
        <w:rPr>
          <w:rFonts w:ascii="Times New Roman" w:hAnsi="Times New Roman" w:cs="Times New Roman"/>
        </w:rPr>
        <w:t xml:space="preserve"> The other important characteristic of the Delphi method is its ability to transfer the implicit and complex knowledge to a simpler plan or proposal.</w:t>
      </w:r>
      <w:r w:rsidRPr="00910DD1">
        <w:rPr>
          <w:rStyle w:val="EndnoteReference"/>
          <w:rFonts w:ascii="Times New Roman" w:hAnsi="Times New Roman" w:cs="Times New Roman"/>
        </w:rPr>
        <w:endnoteReference w:id="19"/>
      </w:r>
      <w:r w:rsidRPr="00910DD1">
        <w:rPr>
          <w:rFonts w:ascii="Times New Roman" w:hAnsi="Times New Roman" w:cs="Times New Roman"/>
        </w:rPr>
        <w:t xml:space="preserve"> That makes the Delphi method useful for policymaking processes involving a variety of stakeholders.</w:t>
      </w:r>
      <w:r w:rsidRPr="00910DD1">
        <w:rPr>
          <w:rStyle w:val="EndnoteReference"/>
          <w:rFonts w:ascii="Times New Roman" w:hAnsi="Times New Roman" w:cs="Times New Roman"/>
        </w:rPr>
        <w:endnoteReference w:id="20"/>
      </w:r>
    </w:p>
    <w:p w14:paraId="5517E820" w14:textId="77777777" w:rsidR="00404C5A" w:rsidRPr="00910DD1" w:rsidRDefault="00404C5A" w:rsidP="00E47FE1">
      <w:pPr>
        <w:autoSpaceDE w:val="0"/>
        <w:autoSpaceDN w:val="0"/>
        <w:adjustRightInd w:val="0"/>
        <w:spacing w:after="0" w:line="480" w:lineRule="auto"/>
        <w:rPr>
          <w:rFonts w:ascii="Times New Roman" w:hAnsi="Times New Roman" w:cs="Times New Roman"/>
        </w:rPr>
      </w:pPr>
    </w:p>
    <w:p w14:paraId="1130F629" w14:textId="026DA37E" w:rsidR="00404C5A" w:rsidRPr="001B6F83" w:rsidRDefault="00A9280D" w:rsidP="001B6F83">
      <w:pPr>
        <w:pStyle w:val="Heading1"/>
        <w:numPr>
          <w:ilvl w:val="0"/>
          <w:numId w:val="0"/>
        </w:numPr>
        <w:spacing w:before="0" w:after="0" w:line="480" w:lineRule="auto"/>
        <w:ind w:left="360" w:hanging="360"/>
        <w:rPr>
          <w:rFonts w:ascii="Times New Roman" w:hAnsi="Times New Roman" w:cs="Times New Roman"/>
          <w:sz w:val="20"/>
          <w:szCs w:val="22"/>
        </w:rPr>
      </w:pPr>
      <w:bookmarkStart w:id="1" w:name="_Toc358884914"/>
      <w:r w:rsidRPr="001B6F83">
        <w:rPr>
          <w:rFonts w:ascii="Times New Roman" w:hAnsi="Times New Roman" w:cs="Times New Roman"/>
          <w:sz w:val="20"/>
          <w:szCs w:val="22"/>
        </w:rPr>
        <w:t>&lt;B&gt;</w:t>
      </w:r>
      <w:r w:rsidR="00404C5A" w:rsidRPr="001B6F83">
        <w:rPr>
          <w:rFonts w:ascii="Times New Roman" w:hAnsi="Times New Roman" w:cs="Times New Roman"/>
          <w:sz w:val="20"/>
          <w:szCs w:val="22"/>
        </w:rPr>
        <w:t>Some Examples of Use of the Method</w:t>
      </w:r>
      <w:bookmarkEnd w:id="1"/>
    </w:p>
    <w:p w14:paraId="675C2172" w14:textId="77777777" w:rsidR="00A9280D" w:rsidRDefault="00A9280D" w:rsidP="00E47FE1">
      <w:pPr>
        <w:autoSpaceDE w:val="0"/>
        <w:autoSpaceDN w:val="0"/>
        <w:adjustRightInd w:val="0"/>
        <w:spacing w:after="0" w:line="480" w:lineRule="auto"/>
        <w:rPr>
          <w:rFonts w:ascii="Times New Roman" w:hAnsi="Times New Roman" w:cs="Times New Roman"/>
        </w:rPr>
      </w:pPr>
    </w:p>
    <w:p w14:paraId="1E6030E7" w14:textId="03344BE4" w:rsidR="00404C5A" w:rsidRPr="00910DD1" w:rsidRDefault="00404C5A" w:rsidP="00E47FE1">
      <w:pPr>
        <w:autoSpaceDE w:val="0"/>
        <w:autoSpaceDN w:val="0"/>
        <w:adjustRightInd w:val="0"/>
        <w:spacing w:after="0" w:line="480" w:lineRule="auto"/>
        <w:rPr>
          <w:rFonts w:ascii="Times New Roman" w:hAnsi="Times New Roman" w:cs="Times New Roman"/>
        </w:rPr>
      </w:pPr>
      <w:r w:rsidRPr="00910DD1">
        <w:rPr>
          <w:rFonts w:ascii="Times New Roman" w:hAnsi="Times New Roman" w:cs="Times New Roman"/>
        </w:rPr>
        <w:t>The Delphi method has been used in different research contexts. Examples include, analysing the features of a good offender treatment programme in criminology studies;</w:t>
      </w:r>
      <w:r w:rsidRPr="00910DD1">
        <w:rPr>
          <w:rStyle w:val="EndnoteReference"/>
          <w:rFonts w:ascii="Times New Roman" w:hAnsi="Times New Roman" w:cs="Times New Roman"/>
        </w:rPr>
        <w:endnoteReference w:id="21"/>
      </w:r>
      <w:r w:rsidRPr="00910DD1">
        <w:rPr>
          <w:rFonts w:ascii="Times New Roman" w:hAnsi="Times New Roman" w:cs="Times New Roman"/>
        </w:rPr>
        <w:t xml:space="preserve"> identifying key words essential for analysing the international discourse on intellectual property law;</w:t>
      </w:r>
      <w:r w:rsidRPr="00910DD1">
        <w:rPr>
          <w:rStyle w:val="EndnoteReference"/>
          <w:rFonts w:ascii="Times New Roman" w:hAnsi="Times New Roman" w:cs="Times New Roman"/>
        </w:rPr>
        <w:endnoteReference w:id="22"/>
      </w:r>
      <w:r w:rsidRPr="00910DD1">
        <w:rPr>
          <w:rFonts w:ascii="Times New Roman" w:hAnsi="Times New Roman" w:cs="Times New Roman"/>
        </w:rPr>
        <w:t xml:space="preserve"> and country risk assessment when dealing with export letter of credit transactions.</w:t>
      </w:r>
      <w:r w:rsidRPr="00910DD1">
        <w:rPr>
          <w:rStyle w:val="EndnoteReference"/>
          <w:rFonts w:ascii="Times New Roman" w:hAnsi="Times New Roman" w:cs="Times New Roman"/>
        </w:rPr>
        <w:endnoteReference w:id="23"/>
      </w:r>
    </w:p>
    <w:p w14:paraId="6B40D59F" w14:textId="6C0A03AE" w:rsidR="00404C5A" w:rsidRPr="00910DD1" w:rsidRDefault="00404C5A" w:rsidP="001B6F83">
      <w:pPr>
        <w:autoSpaceDE w:val="0"/>
        <w:autoSpaceDN w:val="0"/>
        <w:adjustRightInd w:val="0"/>
        <w:spacing w:after="0" w:line="480" w:lineRule="auto"/>
        <w:ind w:firstLine="720"/>
        <w:rPr>
          <w:rFonts w:ascii="Times New Roman" w:hAnsi="Times New Roman" w:cs="Times New Roman"/>
          <w:color w:val="000000"/>
        </w:rPr>
      </w:pPr>
      <w:r w:rsidRPr="00910DD1">
        <w:rPr>
          <w:rFonts w:ascii="Times New Roman" w:hAnsi="Times New Roman" w:cs="Times New Roman"/>
        </w:rPr>
        <w:t>There are various studies where the Delphi method has been utilised for policy-related issues,</w:t>
      </w:r>
      <w:r w:rsidRPr="00910DD1">
        <w:rPr>
          <w:rStyle w:val="EndnoteReference"/>
          <w:rFonts w:ascii="Times New Roman" w:hAnsi="Times New Roman" w:cs="Times New Roman"/>
        </w:rPr>
        <w:endnoteReference w:id="24"/>
      </w:r>
      <w:r w:rsidRPr="00910DD1">
        <w:rPr>
          <w:rFonts w:ascii="Times New Roman" w:hAnsi="Times New Roman" w:cs="Times New Roman"/>
        </w:rPr>
        <w:t xml:space="preserve"> such as in the field of taxation policy where Evans has successfully utilised this method.</w:t>
      </w:r>
      <w:r w:rsidRPr="00910DD1">
        <w:rPr>
          <w:rStyle w:val="EndnoteReference"/>
          <w:rFonts w:ascii="Times New Roman" w:hAnsi="Times New Roman" w:cs="Times New Roman"/>
        </w:rPr>
        <w:endnoteReference w:id="25"/>
      </w:r>
      <w:r w:rsidRPr="00910DD1">
        <w:rPr>
          <w:rFonts w:ascii="Times New Roman" w:hAnsi="Times New Roman" w:cs="Times New Roman"/>
        </w:rPr>
        <w:t xml:space="preserve"> In the environmental policy context, the Delphi method has been applied to natural resource issues such as forest biodiversity, sustainability, heritage tourism, environmental disputes, forecasting, national park selection and aquatic habitat selection.</w:t>
      </w:r>
      <w:r w:rsidRPr="00910DD1">
        <w:rPr>
          <w:rStyle w:val="EndnoteReference"/>
          <w:rFonts w:ascii="Times New Roman" w:hAnsi="Times New Roman" w:cs="Times New Roman"/>
        </w:rPr>
        <w:endnoteReference w:id="26"/>
      </w:r>
      <w:r w:rsidRPr="00910DD1">
        <w:rPr>
          <w:rFonts w:ascii="Times New Roman" w:hAnsi="Times New Roman" w:cs="Times New Roman"/>
        </w:rPr>
        <w:t xml:space="preserve"> There are also some examples of the Delphi method being applied to climate change policy issues. One of the early examples is the Finnish study by</w:t>
      </w:r>
      <w:r w:rsidRPr="00910DD1">
        <w:t xml:space="preserve"> </w:t>
      </w:r>
      <w:proofErr w:type="spellStart"/>
      <w:r w:rsidRPr="00910DD1">
        <w:rPr>
          <w:rFonts w:ascii="Times New Roman" w:hAnsi="Times New Roman" w:cs="Times New Roman"/>
        </w:rPr>
        <w:t>Wilenius</w:t>
      </w:r>
      <w:proofErr w:type="spellEnd"/>
      <w:r w:rsidRPr="00910DD1">
        <w:rPr>
          <w:rFonts w:ascii="Times New Roman" w:hAnsi="Times New Roman" w:cs="Times New Roman"/>
        </w:rPr>
        <w:t xml:space="preserve"> and </w:t>
      </w:r>
      <w:proofErr w:type="spellStart"/>
      <w:r w:rsidRPr="00910DD1">
        <w:rPr>
          <w:rFonts w:ascii="Times New Roman" w:hAnsi="Times New Roman" w:cs="Times New Roman"/>
        </w:rPr>
        <w:t>Tirkkonen</w:t>
      </w:r>
      <w:proofErr w:type="spellEnd"/>
      <w:r w:rsidRPr="00910DD1">
        <w:rPr>
          <w:rStyle w:val="EndnoteReference"/>
          <w:rFonts w:ascii="Times New Roman" w:hAnsi="Times New Roman" w:cs="Times New Roman"/>
        </w:rPr>
        <w:endnoteReference w:id="27"/>
      </w:r>
      <w:r w:rsidRPr="00910DD1">
        <w:rPr>
          <w:rFonts w:ascii="Times New Roman" w:hAnsi="Times New Roman" w:cs="Times New Roman"/>
        </w:rPr>
        <w:t xml:space="preserve"> or the Dutch National Research Programme.</w:t>
      </w:r>
      <w:r w:rsidRPr="00910DD1">
        <w:rPr>
          <w:rStyle w:val="EndnoteReference"/>
          <w:rFonts w:ascii="Times New Roman" w:hAnsi="Times New Roman" w:cs="Times New Roman"/>
        </w:rPr>
        <w:endnoteReference w:id="28"/>
      </w:r>
      <w:r w:rsidR="00F967D7">
        <w:rPr>
          <w:rFonts w:ascii="Times New Roman" w:hAnsi="Times New Roman" w:cs="Times New Roman"/>
        </w:rPr>
        <w:t xml:space="preserve"> The more recent application</w:t>
      </w:r>
      <w:r w:rsidRPr="00910DD1">
        <w:rPr>
          <w:rFonts w:ascii="Times New Roman" w:hAnsi="Times New Roman" w:cs="Times New Roman"/>
        </w:rPr>
        <w:t xml:space="preserve"> of the Delphi method in this context is the US Government Accountability Office (GAO) study conducted to identify </w:t>
      </w:r>
      <w:r w:rsidRPr="00910DD1">
        <w:rPr>
          <w:rFonts w:ascii="Times New Roman" w:hAnsi="Times New Roman" w:cs="Times New Roman"/>
          <w:color w:val="000000"/>
        </w:rPr>
        <w:t>experts’ opinions concerning climate change economic policy options.</w:t>
      </w:r>
      <w:r w:rsidRPr="00910DD1">
        <w:rPr>
          <w:rStyle w:val="EndnoteReference"/>
          <w:rFonts w:ascii="Times New Roman" w:hAnsi="Times New Roman" w:cs="Times New Roman"/>
        </w:rPr>
        <w:endnoteReference w:id="29"/>
      </w:r>
      <w:r w:rsidRPr="00910DD1">
        <w:rPr>
          <w:rFonts w:ascii="Times New Roman" w:hAnsi="Times New Roman" w:cs="Times New Roman"/>
          <w:color w:val="000000"/>
        </w:rPr>
        <w:t xml:space="preserve"> Another example is a Malaysian study based on the research of Guglyuvat</w:t>
      </w:r>
      <w:r w:rsidR="004D7E9B">
        <w:rPr>
          <w:rFonts w:ascii="Times New Roman" w:hAnsi="Times New Roman" w:cs="Times New Roman"/>
          <w:color w:val="000000"/>
        </w:rPr>
        <w:t>y</w:t>
      </w:r>
      <w:r w:rsidRPr="00910DD1">
        <w:rPr>
          <w:rFonts w:ascii="Times New Roman" w:hAnsi="Times New Roman" w:cs="Times New Roman"/>
          <w:color w:val="000000"/>
        </w:rPr>
        <w:t xml:space="preserve">y and of </w:t>
      </w:r>
      <w:proofErr w:type="spellStart"/>
      <w:r w:rsidRPr="00910DD1">
        <w:rPr>
          <w:rFonts w:ascii="Times New Roman" w:hAnsi="Times New Roman" w:cs="Times New Roman"/>
          <w:color w:val="000000"/>
        </w:rPr>
        <w:t>Mariolla</w:t>
      </w:r>
      <w:proofErr w:type="spellEnd"/>
      <w:r w:rsidRPr="00910DD1">
        <w:rPr>
          <w:rFonts w:ascii="Times New Roman" w:hAnsi="Times New Roman" w:cs="Times New Roman"/>
          <w:color w:val="000000"/>
        </w:rPr>
        <w:t>.</w:t>
      </w:r>
      <w:r w:rsidRPr="00910DD1">
        <w:rPr>
          <w:rStyle w:val="EndnoteReference"/>
          <w:rFonts w:ascii="Times New Roman" w:hAnsi="Times New Roman" w:cs="Times New Roman"/>
          <w:color w:val="000000"/>
        </w:rPr>
        <w:endnoteReference w:id="30"/>
      </w:r>
      <w:r w:rsidRPr="00910DD1">
        <w:rPr>
          <w:rFonts w:ascii="Times New Roman" w:hAnsi="Times New Roman" w:cs="Times New Roman"/>
          <w:color w:val="000000"/>
        </w:rPr>
        <w:t xml:space="preserve"> This study was conducted with a group of Malaysian experts and professionals from various fields to identify operative strategies for promoting effective environmental policy in Malaysia.</w:t>
      </w:r>
      <w:r w:rsidRPr="00910DD1">
        <w:rPr>
          <w:rStyle w:val="EndnoteReference"/>
          <w:rFonts w:ascii="Times New Roman" w:hAnsi="Times New Roman" w:cs="Times New Roman"/>
          <w:color w:val="000000"/>
        </w:rPr>
        <w:endnoteReference w:id="31"/>
      </w:r>
    </w:p>
    <w:p w14:paraId="31502E72" w14:textId="36DB5CCB" w:rsidR="00404C5A" w:rsidRPr="00910DD1" w:rsidRDefault="00404C5A" w:rsidP="001B6F83">
      <w:pPr>
        <w:autoSpaceDE w:val="0"/>
        <w:autoSpaceDN w:val="0"/>
        <w:adjustRightInd w:val="0"/>
        <w:spacing w:after="0" w:line="480" w:lineRule="auto"/>
        <w:ind w:firstLine="360"/>
        <w:rPr>
          <w:rFonts w:ascii="Times New Roman" w:hAnsi="Times New Roman" w:cs="Times New Roman"/>
        </w:rPr>
      </w:pPr>
      <w:r w:rsidRPr="00910DD1">
        <w:rPr>
          <w:rFonts w:ascii="Times New Roman" w:hAnsi="Times New Roman" w:cs="Times New Roman"/>
          <w:color w:val="000000"/>
        </w:rPr>
        <w:t>The Australian example that is discussed in the next section comprises a Delphi study conducted to verify the evaluation criteria for Australian climate change policy and to assess the relative importance of those criteria.</w:t>
      </w:r>
      <w:r w:rsidRPr="00910DD1">
        <w:rPr>
          <w:rStyle w:val="EndnoteReference"/>
          <w:rFonts w:ascii="Times New Roman" w:hAnsi="Times New Roman" w:cs="Times New Roman"/>
          <w:color w:val="000000"/>
        </w:rPr>
        <w:endnoteReference w:id="32"/>
      </w:r>
    </w:p>
    <w:p w14:paraId="6C12A4A7" w14:textId="77777777" w:rsidR="00404C5A" w:rsidRDefault="00404C5A" w:rsidP="00E47FE1">
      <w:pPr>
        <w:autoSpaceDE w:val="0"/>
        <w:autoSpaceDN w:val="0"/>
        <w:adjustRightInd w:val="0"/>
        <w:spacing w:after="0" w:line="480" w:lineRule="auto"/>
        <w:rPr>
          <w:rFonts w:ascii="Times New Roman" w:hAnsi="Times New Roman" w:cs="Times New Roman"/>
        </w:rPr>
      </w:pPr>
    </w:p>
    <w:p w14:paraId="22438152" w14:textId="77777777" w:rsidR="00A036D0" w:rsidRPr="00910DD1" w:rsidRDefault="00A036D0" w:rsidP="00E47FE1">
      <w:pPr>
        <w:autoSpaceDE w:val="0"/>
        <w:autoSpaceDN w:val="0"/>
        <w:adjustRightInd w:val="0"/>
        <w:spacing w:after="0" w:line="480" w:lineRule="auto"/>
        <w:rPr>
          <w:rFonts w:ascii="Times New Roman" w:hAnsi="Times New Roman" w:cs="Times New Roman"/>
        </w:rPr>
      </w:pPr>
    </w:p>
    <w:p w14:paraId="12C4FAF0" w14:textId="1883B88E" w:rsidR="00404C5A" w:rsidRPr="001B6F83" w:rsidRDefault="00A9280D" w:rsidP="001B6F83">
      <w:pPr>
        <w:pStyle w:val="Heading1"/>
        <w:numPr>
          <w:ilvl w:val="0"/>
          <w:numId w:val="0"/>
        </w:numPr>
        <w:spacing w:before="0" w:after="0" w:line="480" w:lineRule="auto"/>
        <w:ind w:left="360" w:hanging="360"/>
        <w:rPr>
          <w:rFonts w:ascii="Times New Roman" w:hAnsi="Times New Roman" w:cs="Times New Roman"/>
          <w:b w:val="0"/>
          <w:szCs w:val="28"/>
        </w:rPr>
      </w:pPr>
      <w:bookmarkStart w:id="2" w:name="_Toc358884915"/>
      <w:r w:rsidRPr="00FC4E19">
        <w:rPr>
          <w:rFonts w:ascii="Times New Roman" w:hAnsi="Times New Roman" w:cs="Times New Roman"/>
          <w:b w:val="0"/>
          <w:szCs w:val="28"/>
        </w:rPr>
        <w:t>&lt;A&gt;</w:t>
      </w:r>
      <w:r w:rsidRPr="00A9280D">
        <w:rPr>
          <w:rFonts w:ascii="Times New Roman" w:hAnsi="Times New Roman" w:cs="Times New Roman"/>
          <w:b w:val="0"/>
          <w:szCs w:val="28"/>
        </w:rPr>
        <w:t>THE AUSTRALIAN CLIMATE CHANGE POLICY CONTEXT</w:t>
      </w:r>
      <w:bookmarkEnd w:id="2"/>
    </w:p>
    <w:p w14:paraId="6897F9D2" w14:textId="77777777" w:rsidR="00A9280D" w:rsidRDefault="00A9280D" w:rsidP="001B6F83">
      <w:pPr>
        <w:pStyle w:val="Heading1"/>
        <w:numPr>
          <w:ilvl w:val="0"/>
          <w:numId w:val="0"/>
        </w:numPr>
        <w:spacing w:before="0" w:after="0" w:line="480" w:lineRule="auto"/>
        <w:ind w:left="360" w:hanging="360"/>
        <w:rPr>
          <w:rFonts w:ascii="Times New Roman" w:hAnsi="Times New Roman" w:cs="Times New Roman"/>
          <w:sz w:val="22"/>
          <w:szCs w:val="22"/>
        </w:rPr>
      </w:pPr>
      <w:bookmarkStart w:id="3" w:name="_Toc358884916"/>
    </w:p>
    <w:p w14:paraId="29DB7BFE" w14:textId="104BED24" w:rsidR="00404C5A" w:rsidRPr="001B6F83" w:rsidRDefault="00A9280D" w:rsidP="001B6F83">
      <w:pPr>
        <w:pStyle w:val="Heading1"/>
        <w:numPr>
          <w:ilvl w:val="0"/>
          <w:numId w:val="0"/>
        </w:numPr>
        <w:spacing w:before="0" w:after="0" w:line="480" w:lineRule="auto"/>
        <w:ind w:left="360" w:hanging="360"/>
        <w:rPr>
          <w:rFonts w:ascii="Times New Roman" w:hAnsi="Times New Roman" w:cs="Times New Roman"/>
          <w:sz w:val="20"/>
          <w:szCs w:val="22"/>
        </w:rPr>
      </w:pPr>
      <w:r w:rsidRPr="001B6F83">
        <w:rPr>
          <w:rFonts w:ascii="Times New Roman" w:hAnsi="Times New Roman" w:cs="Times New Roman"/>
          <w:sz w:val="20"/>
          <w:szCs w:val="22"/>
        </w:rPr>
        <w:t>&lt;B&gt;</w:t>
      </w:r>
      <w:r w:rsidR="00404C5A" w:rsidRPr="001B6F83">
        <w:rPr>
          <w:rFonts w:ascii="Times New Roman" w:hAnsi="Times New Roman" w:cs="Times New Roman"/>
          <w:sz w:val="20"/>
          <w:szCs w:val="22"/>
        </w:rPr>
        <w:t>Climate Change Law Making in Australia</w:t>
      </w:r>
      <w:bookmarkEnd w:id="3"/>
    </w:p>
    <w:p w14:paraId="6E5209BD" w14:textId="77777777" w:rsidR="00A9280D" w:rsidRDefault="00A9280D" w:rsidP="00E47FE1">
      <w:pPr>
        <w:pStyle w:val="Standard"/>
        <w:spacing w:line="480" w:lineRule="auto"/>
        <w:rPr>
          <w:sz w:val="22"/>
          <w:szCs w:val="22"/>
        </w:rPr>
      </w:pPr>
    </w:p>
    <w:p w14:paraId="64307897" w14:textId="4CD80663" w:rsidR="00404C5A" w:rsidRPr="00910DD1" w:rsidRDefault="00404C5A" w:rsidP="00E47FE1">
      <w:pPr>
        <w:pStyle w:val="Standard"/>
        <w:spacing w:line="480" w:lineRule="auto"/>
        <w:rPr>
          <w:sz w:val="22"/>
          <w:szCs w:val="22"/>
        </w:rPr>
      </w:pPr>
      <w:r w:rsidRPr="00910DD1">
        <w:rPr>
          <w:sz w:val="22"/>
          <w:szCs w:val="22"/>
        </w:rPr>
        <w:t>With the exception of the current government, both sides of politics in Australia have been committed to establishing an emissions trading scheme (ETS) designed to mitigate climate change.</w:t>
      </w:r>
      <w:r w:rsidRPr="00910DD1">
        <w:rPr>
          <w:rStyle w:val="EndnoteReference"/>
          <w:sz w:val="22"/>
          <w:szCs w:val="22"/>
        </w:rPr>
        <w:endnoteReference w:id="33"/>
      </w:r>
      <w:r w:rsidRPr="00910DD1">
        <w:rPr>
          <w:sz w:val="22"/>
          <w:szCs w:val="22"/>
        </w:rPr>
        <w:t xml:space="preserve"> For example, </w:t>
      </w:r>
      <w:r w:rsidRPr="00910DD1">
        <w:rPr>
          <w:color w:val="auto"/>
          <w:sz w:val="22"/>
          <w:szCs w:val="22"/>
        </w:rPr>
        <w:t xml:space="preserve">in December 2006, the then </w:t>
      </w:r>
      <w:r w:rsidR="00910DD1" w:rsidRPr="00910DD1">
        <w:rPr>
          <w:color w:val="auto"/>
          <w:sz w:val="22"/>
          <w:szCs w:val="22"/>
        </w:rPr>
        <w:t>Howard</w:t>
      </w:r>
      <w:r w:rsidRPr="00910DD1">
        <w:rPr>
          <w:color w:val="auto"/>
          <w:sz w:val="22"/>
          <w:szCs w:val="22"/>
        </w:rPr>
        <w:t xml:space="preserve"> government announced that Australia would introduce a domestic ETS by 2012.</w:t>
      </w:r>
      <w:r w:rsidRPr="00910DD1">
        <w:rPr>
          <w:rStyle w:val="EndnoteReference"/>
          <w:color w:val="auto"/>
          <w:sz w:val="22"/>
          <w:szCs w:val="22"/>
        </w:rPr>
        <w:endnoteReference w:id="34"/>
      </w:r>
      <w:r w:rsidRPr="00910DD1">
        <w:rPr>
          <w:color w:val="auto"/>
          <w:sz w:val="22"/>
          <w:szCs w:val="22"/>
        </w:rPr>
        <w:t xml:space="preserve"> </w:t>
      </w:r>
      <w:r w:rsidRPr="00910DD1">
        <w:rPr>
          <w:sz w:val="22"/>
          <w:szCs w:val="22"/>
        </w:rPr>
        <w:t>The succeeding Rudd government announced an Australian Carbon Pollution Reduction Scheme (ACPRS) in 2008 in response to the findings of the Garnaut Report.</w:t>
      </w:r>
      <w:r w:rsidRPr="00910DD1">
        <w:rPr>
          <w:rStyle w:val="EndnoteReference"/>
          <w:sz w:val="22"/>
          <w:szCs w:val="22"/>
        </w:rPr>
        <w:endnoteReference w:id="35"/>
      </w:r>
      <w:r w:rsidRPr="00910DD1">
        <w:rPr>
          <w:sz w:val="22"/>
          <w:szCs w:val="22"/>
        </w:rPr>
        <w:t xml:space="preserve"> However, the ACPRS legislation was twice defeated in the Australian Parliament in 2009. The next Australian government, led by Australia’s first female Prime Minister, Julia Gillard, established the Multi-Party Climate Change Committee (the Committee)</w:t>
      </w:r>
      <w:r w:rsidRPr="00910DD1">
        <w:rPr>
          <w:rStyle w:val="EndnoteReference"/>
          <w:sz w:val="22"/>
          <w:szCs w:val="22"/>
        </w:rPr>
        <w:endnoteReference w:id="36"/>
      </w:r>
      <w:r w:rsidRPr="00910DD1">
        <w:rPr>
          <w:sz w:val="22"/>
          <w:szCs w:val="22"/>
        </w:rPr>
        <w:t xml:space="preserve"> consisting of members of the federal government and senators which proposed a temporary carbon pricing scheme,</w:t>
      </w:r>
      <w:r w:rsidRPr="00910DD1">
        <w:rPr>
          <w:rStyle w:val="EndnoteReference"/>
          <w:sz w:val="22"/>
          <w:szCs w:val="22"/>
        </w:rPr>
        <w:endnoteReference w:id="37"/>
      </w:r>
      <w:r w:rsidRPr="00910DD1">
        <w:rPr>
          <w:sz w:val="22"/>
          <w:szCs w:val="22"/>
        </w:rPr>
        <w:t xml:space="preserve"> to be followed by an ETS and incorporating a variety of other complementary measures. This Clean Energy Future scheme, as it was called, came into operation from 1 July 2012. The following briefly considers the process of the Committee in developing this scheme.</w:t>
      </w:r>
    </w:p>
    <w:p w14:paraId="328F3756" w14:textId="1679E17A" w:rsidR="00404C5A" w:rsidRDefault="00404C5A" w:rsidP="001B6F83">
      <w:pPr>
        <w:pStyle w:val="Standard"/>
        <w:spacing w:line="480" w:lineRule="auto"/>
        <w:ind w:firstLine="360"/>
        <w:rPr>
          <w:sz w:val="22"/>
          <w:szCs w:val="22"/>
        </w:rPr>
      </w:pPr>
      <w:r w:rsidRPr="00910DD1">
        <w:rPr>
          <w:sz w:val="22"/>
          <w:szCs w:val="22"/>
        </w:rPr>
        <w:t>The primary task of the Committee was to design a climate change policy framework and specifically to establish a carbon price mechanism. To begin with the Committee issued eleven policy principles that were intended to provide ‘a consistent basis for the deliberations on a carbon price’.</w:t>
      </w:r>
      <w:r w:rsidRPr="00910DD1">
        <w:rPr>
          <w:rStyle w:val="EndnoteReference"/>
          <w:sz w:val="22"/>
          <w:szCs w:val="22"/>
        </w:rPr>
        <w:endnoteReference w:id="38"/>
      </w:r>
      <w:r w:rsidRPr="00910DD1">
        <w:rPr>
          <w:sz w:val="22"/>
          <w:szCs w:val="22"/>
        </w:rPr>
        <w:t xml:space="preserve"> The principles were as follows:</w:t>
      </w:r>
    </w:p>
    <w:p w14:paraId="03520EB8" w14:textId="7E0B5054" w:rsidR="004A4181" w:rsidRPr="00910DD1" w:rsidRDefault="004A4181" w:rsidP="00FC4E19">
      <w:pPr>
        <w:pStyle w:val="Standard"/>
        <w:spacing w:line="480" w:lineRule="auto"/>
        <w:rPr>
          <w:sz w:val="22"/>
          <w:szCs w:val="22"/>
        </w:rPr>
      </w:pPr>
      <w:r>
        <w:rPr>
          <w:sz w:val="22"/>
          <w:szCs w:val="22"/>
        </w:rPr>
        <w:t>&lt;bl&gt;</w:t>
      </w:r>
    </w:p>
    <w:p w14:paraId="3B4AA919"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t>Environmental effectiveness</w:t>
      </w:r>
    </w:p>
    <w:p w14:paraId="3A45E92B"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t>Economic efficiency</w:t>
      </w:r>
    </w:p>
    <w:p w14:paraId="270EDC3B"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t>Budget neutrality</w:t>
      </w:r>
    </w:p>
    <w:p w14:paraId="00239376"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t>Competitiveness of Australian industries</w:t>
      </w:r>
    </w:p>
    <w:p w14:paraId="6FDCC90A" w14:textId="77777777" w:rsidR="00404C5A" w:rsidRPr="00910DD1" w:rsidRDefault="00404C5A" w:rsidP="00A036D0">
      <w:pPr>
        <w:pStyle w:val="Standard"/>
        <w:numPr>
          <w:ilvl w:val="0"/>
          <w:numId w:val="35"/>
        </w:numPr>
        <w:spacing w:line="480" w:lineRule="auto"/>
        <w:rPr>
          <w:bCs/>
          <w:sz w:val="22"/>
          <w:szCs w:val="22"/>
        </w:rPr>
      </w:pPr>
      <w:r w:rsidRPr="00910DD1">
        <w:rPr>
          <w:bCs/>
          <w:sz w:val="22"/>
          <w:szCs w:val="22"/>
        </w:rPr>
        <w:t>Energy security</w:t>
      </w:r>
    </w:p>
    <w:p w14:paraId="0419872A"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lastRenderedPageBreak/>
        <w:t>Investment certainty</w:t>
      </w:r>
    </w:p>
    <w:p w14:paraId="626301CA"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t>Fairness</w:t>
      </w:r>
    </w:p>
    <w:p w14:paraId="0B4890AE"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t>Flexibility</w:t>
      </w:r>
    </w:p>
    <w:p w14:paraId="79E32512"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t>Administrative simplicity</w:t>
      </w:r>
    </w:p>
    <w:p w14:paraId="1A1216C8" w14:textId="77777777" w:rsidR="00404C5A" w:rsidRPr="00910DD1" w:rsidRDefault="00404C5A" w:rsidP="00A036D0">
      <w:pPr>
        <w:pStyle w:val="Standard"/>
        <w:numPr>
          <w:ilvl w:val="0"/>
          <w:numId w:val="35"/>
        </w:numPr>
        <w:spacing w:line="480" w:lineRule="auto"/>
        <w:rPr>
          <w:sz w:val="22"/>
          <w:szCs w:val="22"/>
        </w:rPr>
      </w:pPr>
      <w:r w:rsidRPr="00910DD1">
        <w:rPr>
          <w:sz w:val="22"/>
          <w:szCs w:val="22"/>
        </w:rPr>
        <w:t>Clear accountabilities, and</w:t>
      </w:r>
    </w:p>
    <w:p w14:paraId="4300B838" w14:textId="5CCBD32B" w:rsidR="00404C5A" w:rsidRPr="00910DD1" w:rsidRDefault="00D50811" w:rsidP="00A036D0">
      <w:pPr>
        <w:pStyle w:val="Standard"/>
        <w:numPr>
          <w:ilvl w:val="0"/>
          <w:numId w:val="35"/>
        </w:numPr>
        <w:spacing w:line="480" w:lineRule="auto"/>
        <w:rPr>
          <w:sz w:val="22"/>
          <w:szCs w:val="22"/>
        </w:rPr>
      </w:pPr>
      <w:r>
        <w:rPr>
          <w:sz w:val="22"/>
          <w:szCs w:val="22"/>
        </w:rPr>
        <w:t>S</w:t>
      </w:r>
      <w:r w:rsidR="00F967D7">
        <w:rPr>
          <w:sz w:val="22"/>
          <w:szCs w:val="22"/>
        </w:rPr>
        <w:t>upport</w:t>
      </w:r>
      <w:r>
        <w:rPr>
          <w:sz w:val="22"/>
          <w:szCs w:val="22"/>
        </w:rPr>
        <w:t>s</w:t>
      </w:r>
      <w:r w:rsidR="00404C5A" w:rsidRPr="00910DD1">
        <w:rPr>
          <w:sz w:val="22"/>
          <w:szCs w:val="22"/>
        </w:rPr>
        <w:t xml:space="preserve"> Australia’s international objectives and obligations.</w:t>
      </w:r>
      <w:r w:rsidR="00404C5A" w:rsidRPr="00910DD1">
        <w:rPr>
          <w:rStyle w:val="EndnoteReference"/>
          <w:sz w:val="22"/>
          <w:szCs w:val="22"/>
        </w:rPr>
        <w:endnoteReference w:id="39"/>
      </w:r>
    </w:p>
    <w:p w14:paraId="13159C29" w14:textId="3F147BD4" w:rsidR="004A4181" w:rsidRDefault="004A4181" w:rsidP="00E47FE1">
      <w:pPr>
        <w:spacing w:after="0" w:line="480" w:lineRule="auto"/>
        <w:rPr>
          <w:rFonts w:ascii="Times New Roman" w:hAnsi="Times New Roman" w:cs="Times New Roman"/>
        </w:rPr>
      </w:pPr>
      <w:r>
        <w:rPr>
          <w:rFonts w:ascii="Times New Roman" w:hAnsi="Times New Roman" w:cs="Times New Roman"/>
        </w:rPr>
        <w:t>&lt;/bl&gt;</w:t>
      </w:r>
    </w:p>
    <w:p w14:paraId="0DA813B7" w14:textId="12710E43" w:rsidR="00404C5A" w:rsidRPr="00910DD1" w:rsidRDefault="00404C5A" w:rsidP="00E47FE1">
      <w:pPr>
        <w:spacing w:after="0" w:line="480" w:lineRule="auto"/>
        <w:rPr>
          <w:rFonts w:ascii="Times New Roman" w:hAnsi="Times New Roman" w:cs="Times New Roman"/>
        </w:rPr>
      </w:pPr>
      <w:r w:rsidRPr="00910DD1">
        <w:rPr>
          <w:rFonts w:ascii="Times New Roman" w:hAnsi="Times New Roman" w:cs="Times New Roman"/>
        </w:rPr>
        <w:t>The Committee specified that these 11 principles would facilitate the development of the carbon pricing mechanism.</w:t>
      </w:r>
      <w:r w:rsidRPr="00910DD1">
        <w:rPr>
          <w:rStyle w:val="EndnoteReference"/>
          <w:rFonts w:ascii="Times New Roman" w:hAnsi="Times New Roman" w:cs="Times New Roman"/>
        </w:rPr>
        <w:endnoteReference w:id="40"/>
      </w:r>
    </w:p>
    <w:p w14:paraId="0408FF05" w14:textId="37997EF6" w:rsidR="00404C5A" w:rsidRPr="00910DD1" w:rsidRDefault="00404C5A" w:rsidP="001B6F83">
      <w:pPr>
        <w:spacing w:after="0" w:line="480" w:lineRule="auto"/>
        <w:ind w:firstLine="720"/>
        <w:rPr>
          <w:rFonts w:ascii="Times New Roman" w:hAnsi="Times New Roman" w:cs="Times New Roman"/>
        </w:rPr>
      </w:pPr>
      <w:r w:rsidRPr="00910DD1">
        <w:rPr>
          <w:rFonts w:ascii="Times New Roman" w:hAnsi="Times New Roman" w:cs="Times New Roman"/>
        </w:rPr>
        <w:t>The implemented carbon price scheme is similar in some respects to the design of the earlier proposed ACPRS.</w:t>
      </w:r>
      <w:r w:rsidRPr="00910DD1">
        <w:rPr>
          <w:rStyle w:val="EndnoteReference"/>
          <w:rFonts w:ascii="Times New Roman" w:hAnsi="Times New Roman" w:cs="Times New Roman"/>
        </w:rPr>
        <w:endnoteReference w:id="41"/>
      </w:r>
      <w:r w:rsidRPr="00910DD1">
        <w:rPr>
          <w:rFonts w:ascii="Times New Roman" w:hAnsi="Times New Roman" w:cs="Times New Roman"/>
        </w:rPr>
        <w:t xml:space="preserve"> Nevertheless, the Committee’s carbon pricing mechanism provided some substantial improvements. For example, a generous industry compensation package was implemented as a temporary measure based on historic emissions levels for the affected industries and the assistance package for households was designed to compensate low and medium income earners rather than high income earners.</w:t>
      </w:r>
      <w:r w:rsidRPr="00910DD1">
        <w:rPr>
          <w:rStyle w:val="EndnoteReference"/>
          <w:rFonts w:ascii="Times New Roman" w:hAnsi="Times New Roman" w:cs="Times New Roman"/>
        </w:rPr>
        <w:endnoteReference w:id="42"/>
      </w:r>
      <w:r w:rsidRPr="00910DD1">
        <w:rPr>
          <w:rFonts w:ascii="Times New Roman" w:hAnsi="Times New Roman" w:cs="Times New Roman"/>
        </w:rPr>
        <w:t xml:space="preserve"> Additionally, various supporting measures designed to boost energy efficiency and green innovation provided a significant improvement. Meanwhile, the legislation drafted to implement the scheme did not reflect some of the Committee’s criteria adequately.</w:t>
      </w:r>
      <w:r w:rsidRPr="00910DD1">
        <w:rPr>
          <w:rStyle w:val="EndnoteReference"/>
          <w:rFonts w:ascii="Times New Roman" w:hAnsi="Times New Roman" w:cs="Times New Roman"/>
        </w:rPr>
        <w:endnoteReference w:id="43"/>
      </w:r>
    </w:p>
    <w:p w14:paraId="682C0462" w14:textId="20BE158F" w:rsidR="00404C5A" w:rsidRPr="00910DD1" w:rsidRDefault="00D972FE" w:rsidP="001B6F83">
      <w:pPr>
        <w:spacing w:after="0" w:line="480" w:lineRule="auto"/>
        <w:ind w:firstLine="360"/>
        <w:rPr>
          <w:rFonts w:ascii="Times New Roman" w:hAnsi="Times New Roman" w:cs="Times New Roman"/>
        </w:rPr>
      </w:pPr>
      <w:r>
        <w:rPr>
          <w:rFonts w:ascii="Times New Roman" w:hAnsi="Times New Roman" w:cs="Times New Roman"/>
        </w:rPr>
        <w:t>The g</w:t>
      </w:r>
      <w:r w:rsidR="00404C5A" w:rsidRPr="00910DD1">
        <w:rPr>
          <w:rFonts w:ascii="Times New Roman" w:hAnsi="Times New Roman" w:cs="Times New Roman"/>
        </w:rPr>
        <w:t>overnment announced that the legislation ‘is the most cost-effective and economically responsible way of reducing Australia's carbon pollution’</w:t>
      </w:r>
      <w:r w:rsidR="002813CB" w:rsidRPr="00910DD1">
        <w:rPr>
          <w:rFonts w:ascii="Times New Roman" w:hAnsi="Times New Roman" w:cs="Times New Roman"/>
        </w:rPr>
        <w:fldChar w:fldCharType="begin"/>
      </w:r>
      <w:r w:rsidR="00404C5A" w:rsidRPr="00910DD1">
        <w:rPr>
          <w:rFonts w:ascii="Times New Roman" w:hAnsi="Times New Roman" w:cs="Times New Roman"/>
        </w:rPr>
        <w:instrText xml:space="preserve"> ADDIN EN.CITE &lt;EndNote&gt;&lt;Cite&gt;&lt;Author&gt;The Green Paper&lt;/Author&gt;&lt;Year&gt;2008&lt;/Year&gt;&lt;RecNum&gt;118&lt;/RecNum&gt;&lt;record&gt;&lt;rec-number&gt;118&lt;/rec-number&gt;&lt;foreign-keys&gt;&lt;key app="EN" db-id="dswxzd9tkt9fzied2vkva9eqd2pdwvdwd29v"&gt;118&lt;/key&gt;&lt;/foreign-keys&gt;&lt;ref-type name="Journal Article"&gt;17&lt;/ref-type&gt;&lt;contributors&gt;&lt;authors&gt;&lt;author&gt;The Green Paper,&lt;/author&gt;&lt;/authors&gt;&lt;/contributors&gt;&lt;titles&gt;&lt;title&gt;Carbon Pollution Reduction Scheme Green Paper&lt;/title&gt;&lt;secondary-title&gt;Australian Government&lt;/secondary-title&gt;&lt;/titles&gt;&lt;periodical&gt;&lt;full-title&gt;Australian Government&lt;/full-title&gt;&lt;/periodical&gt;&lt;keywords&gt;&lt;keyword&gt;AU eco-policy&lt;/keyword&gt;&lt;/keywords&gt;&lt;dates&gt;&lt;year&gt;2008&lt;/year&gt;&lt;/dates&gt;&lt;urls&gt;&lt;related-urls&gt;&lt;url&gt;http://www.climatechange.gov.au/greenpaper/index.html&lt;/url&gt;&lt;/related-urls&gt;&lt;/urls&gt;&lt;access-date&gt;02/009/2008&lt;/access-date&gt;&lt;/record&gt;&lt;/Cite&gt;&lt;/EndNote&gt;</w:instrText>
      </w:r>
      <w:r w:rsidR="002813CB" w:rsidRPr="00910DD1">
        <w:rPr>
          <w:rFonts w:ascii="Times New Roman" w:hAnsi="Times New Roman" w:cs="Times New Roman"/>
        </w:rPr>
        <w:fldChar w:fldCharType="end"/>
      </w:r>
      <w:r w:rsidR="00404C5A" w:rsidRPr="00910DD1">
        <w:rPr>
          <w:rFonts w:ascii="Times New Roman" w:hAnsi="Times New Roman" w:cs="Times New Roman"/>
        </w:rPr>
        <w:t>,</w:t>
      </w:r>
      <w:r w:rsidR="00404C5A" w:rsidRPr="00910DD1">
        <w:rPr>
          <w:rStyle w:val="EndnoteReference"/>
          <w:rFonts w:ascii="Times New Roman" w:hAnsi="Times New Roman" w:cs="Times New Roman"/>
        </w:rPr>
        <w:endnoteReference w:id="44"/>
      </w:r>
      <w:r w:rsidR="00404C5A" w:rsidRPr="00910DD1">
        <w:rPr>
          <w:rFonts w:ascii="Times New Roman" w:hAnsi="Times New Roman" w:cs="Times New Roman"/>
        </w:rPr>
        <w:t xml:space="preserve"> indicating that the costs-effectiveness of GHG emissions reduction was favoured over other important criteria. Furthermore, the entire process of the policy design by the Committee is unclear. For instance, there was no information revealed concerning major features of policymaking such as what methods have been employed to </w:t>
      </w:r>
      <w:r w:rsidR="004A4181" w:rsidRPr="00910DD1">
        <w:rPr>
          <w:rFonts w:ascii="Times New Roman" w:hAnsi="Times New Roman" w:cs="Times New Roman"/>
        </w:rPr>
        <w:t>prioriti</w:t>
      </w:r>
      <w:r w:rsidR="004A4181">
        <w:rPr>
          <w:rFonts w:ascii="Times New Roman" w:hAnsi="Times New Roman" w:cs="Times New Roman"/>
        </w:rPr>
        <w:t>z</w:t>
      </w:r>
      <w:r w:rsidR="004A4181" w:rsidRPr="00910DD1">
        <w:rPr>
          <w:rFonts w:ascii="Times New Roman" w:hAnsi="Times New Roman" w:cs="Times New Roman"/>
        </w:rPr>
        <w:t xml:space="preserve">e </w:t>
      </w:r>
      <w:r w:rsidR="00404C5A" w:rsidRPr="00910DD1">
        <w:rPr>
          <w:rFonts w:ascii="Times New Roman" w:hAnsi="Times New Roman" w:cs="Times New Roman"/>
        </w:rPr>
        <w:t>criteria and how policy options were assessed if at all. In addition, the policy was modified in 2012 and once again there was no clarification why the policy had been changed.</w:t>
      </w:r>
      <w:r w:rsidR="00404C5A" w:rsidRPr="00910DD1">
        <w:rPr>
          <w:rStyle w:val="EndnoteReference"/>
          <w:rFonts w:ascii="Times New Roman" w:hAnsi="Times New Roman" w:cs="Times New Roman"/>
        </w:rPr>
        <w:endnoteReference w:id="45"/>
      </w:r>
    </w:p>
    <w:p w14:paraId="7BB10BD3" w14:textId="77777777" w:rsidR="00404C5A" w:rsidRPr="00910DD1" w:rsidRDefault="00404C5A" w:rsidP="00E47FE1">
      <w:pPr>
        <w:spacing w:after="0" w:line="480" w:lineRule="auto"/>
        <w:rPr>
          <w:rFonts w:ascii="Times New Roman" w:hAnsi="Times New Roman" w:cs="Times New Roman"/>
        </w:rPr>
      </w:pPr>
    </w:p>
    <w:p w14:paraId="521F90E4" w14:textId="374DD7A1" w:rsidR="00404C5A" w:rsidRPr="001B6F83" w:rsidRDefault="004A4181" w:rsidP="001B6F83">
      <w:pPr>
        <w:pStyle w:val="Heading1"/>
        <w:numPr>
          <w:ilvl w:val="0"/>
          <w:numId w:val="0"/>
        </w:numPr>
        <w:spacing w:before="0" w:after="0" w:line="480" w:lineRule="auto"/>
        <w:ind w:left="360" w:hanging="360"/>
        <w:rPr>
          <w:rFonts w:ascii="Times New Roman" w:hAnsi="Times New Roman" w:cs="Times New Roman"/>
          <w:sz w:val="20"/>
          <w:szCs w:val="22"/>
        </w:rPr>
      </w:pPr>
      <w:r w:rsidRPr="001B6F83">
        <w:rPr>
          <w:rFonts w:ascii="Times New Roman" w:hAnsi="Times New Roman" w:cs="Times New Roman"/>
          <w:sz w:val="20"/>
          <w:szCs w:val="22"/>
        </w:rPr>
        <w:t>&lt;B&gt;</w:t>
      </w:r>
      <w:r w:rsidR="00404C5A" w:rsidRPr="001B6F83">
        <w:rPr>
          <w:rFonts w:ascii="Times New Roman" w:hAnsi="Times New Roman" w:cs="Times New Roman"/>
          <w:sz w:val="20"/>
          <w:szCs w:val="22"/>
        </w:rPr>
        <w:t>Applying the Delphi Method – a Case Study</w:t>
      </w:r>
    </w:p>
    <w:p w14:paraId="36066F65" w14:textId="77777777" w:rsidR="004A4181" w:rsidRDefault="004A4181" w:rsidP="00E47FE1">
      <w:pPr>
        <w:spacing w:after="0" w:line="480" w:lineRule="auto"/>
        <w:rPr>
          <w:rFonts w:ascii="Times New Roman" w:hAnsi="Times New Roman" w:cs="Times New Roman"/>
        </w:rPr>
      </w:pPr>
    </w:p>
    <w:p w14:paraId="200662C2" w14:textId="2BCAD91D" w:rsidR="00404C5A" w:rsidRPr="00910DD1" w:rsidRDefault="00404C5A" w:rsidP="00E47FE1">
      <w:pPr>
        <w:spacing w:after="0" w:line="480" w:lineRule="auto"/>
        <w:rPr>
          <w:rFonts w:ascii="Times New Roman" w:hAnsi="Times New Roman" w:cs="Times New Roman"/>
          <w:color w:val="000000"/>
        </w:rPr>
      </w:pPr>
      <w:r w:rsidRPr="00910DD1">
        <w:rPr>
          <w:rFonts w:ascii="Times New Roman" w:hAnsi="Times New Roman" w:cs="Times New Roman"/>
        </w:rPr>
        <w:lastRenderedPageBreak/>
        <w:t>The Delphi method was used by Guglyuvatyy as one part of a broader research project conducted in 2010.</w:t>
      </w:r>
      <w:r w:rsidRPr="00910DD1">
        <w:rPr>
          <w:rStyle w:val="EndnoteReference"/>
          <w:rFonts w:ascii="Times New Roman" w:hAnsi="Times New Roman" w:cs="Times New Roman"/>
        </w:rPr>
        <w:endnoteReference w:id="46"/>
      </w:r>
      <w:r w:rsidRPr="00910DD1">
        <w:rPr>
          <w:rFonts w:ascii="Times New Roman" w:hAnsi="Times New Roman" w:cs="Times New Roman"/>
        </w:rPr>
        <w:t xml:space="preserve"> The key </w:t>
      </w:r>
      <w:r w:rsidR="00D972FE">
        <w:rPr>
          <w:rFonts w:ascii="Times New Roman" w:hAnsi="Times New Roman" w:cs="Times New Roman"/>
        </w:rPr>
        <w:t>question for this study focusses</w:t>
      </w:r>
      <w:r w:rsidRPr="00910DD1">
        <w:rPr>
          <w:rFonts w:ascii="Times New Roman" w:hAnsi="Times New Roman" w:cs="Times New Roman"/>
        </w:rPr>
        <w:t xml:space="preserve"> on </w:t>
      </w:r>
      <w:r w:rsidR="00D972FE">
        <w:rPr>
          <w:rFonts w:ascii="Times New Roman" w:hAnsi="Times New Roman" w:cs="Times New Roman"/>
        </w:rPr>
        <w:t xml:space="preserve">what would be an optimal policy </w:t>
      </w:r>
      <w:r w:rsidR="00D972FE" w:rsidRPr="00910DD1">
        <w:rPr>
          <w:rFonts w:ascii="Times New Roman" w:hAnsi="Times New Roman" w:cs="Times New Roman"/>
        </w:rPr>
        <w:t>for climate change mitigation in Australia a carbon tax or an emissions trading scheme</w:t>
      </w:r>
      <w:r w:rsidR="00D972FE">
        <w:rPr>
          <w:rFonts w:ascii="Times New Roman" w:hAnsi="Times New Roman" w:cs="Times New Roman"/>
        </w:rPr>
        <w:t>.</w:t>
      </w:r>
      <w:r w:rsidRPr="00910DD1">
        <w:rPr>
          <w:rFonts w:ascii="Times New Roman" w:hAnsi="Times New Roman" w:cs="Times New Roman"/>
        </w:rPr>
        <w:t xml:space="preserve"> The study assessed carbon tax and emissions trading policy options on the basis of multiple climate change policy criteria and included various research methods. T</w:t>
      </w:r>
      <w:r w:rsidRPr="00910DD1">
        <w:rPr>
          <w:rFonts w:ascii="Times New Roman" w:hAnsi="Times New Roman" w:cs="Times New Roman"/>
          <w:color w:val="000000"/>
        </w:rPr>
        <w:t>he study demonstrates how the Delphi method can contribute to the policymaking process, in this instance being utilised to assess a set of evaluation criteria.</w:t>
      </w:r>
    </w:p>
    <w:p w14:paraId="30075D7B" w14:textId="2EF5009A" w:rsidR="00404C5A" w:rsidRPr="00910DD1" w:rsidRDefault="00404C5A" w:rsidP="001B6F83">
      <w:pPr>
        <w:spacing w:after="0" w:line="480" w:lineRule="auto"/>
        <w:ind w:firstLine="720"/>
        <w:rPr>
          <w:rFonts w:ascii="Times New Roman" w:hAnsi="Times New Roman" w:cs="Times New Roman"/>
          <w:color w:val="000000"/>
        </w:rPr>
      </w:pPr>
      <w:r w:rsidRPr="00910DD1">
        <w:rPr>
          <w:rFonts w:ascii="Times New Roman" w:hAnsi="Times New Roman" w:cs="Times New Roman"/>
        </w:rPr>
        <w:t>The Delphi method was designed to obtain experts’ opinions concerning the list of criteria relevant to evaluating the two carbon pricing instruments being analysed and weigh the relative importance of those criteria.</w:t>
      </w:r>
      <w:r w:rsidRPr="00910DD1">
        <w:rPr>
          <w:rStyle w:val="EndnoteReference"/>
          <w:rFonts w:ascii="Times New Roman" w:hAnsi="Times New Roman" w:cs="Times New Roman"/>
        </w:rPr>
        <w:endnoteReference w:id="47"/>
      </w:r>
      <w:r w:rsidRPr="00910DD1">
        <w:rPr>
          <w:rFonts w:ascii="Times New Roman" w:hAnsi="Times New Roman" w:cs="Times New Roman"/>
        </w:rPr>
        <w:t xml:space="preserve"> The multidisciplinary nature of climate change lends itself to methods, such as Delphi, which bridge the gap between research and practice. </w:t>
      </w:r>
      <w:r w:rsidRPr="00910DD1">
        <w:rPr>
          <w:rFonts w:ascii="Times New Roman" w:hAnsi="Times New Roman" w:cs="Times New Roman"/>
          <w:color w:val="000000"/>
        </w:rPr>
        <w:t>It is generally acknowledged that to select an optimal instrument the policies should be first evaluated in accordance with a set of specific criteria.</w:t>
      </w:r>
      <w:r w:rsidRPr="00910DD1">
        <w:rPr>
          <w:rStyle w:val="EndnoteReference"/>
          <w:rFonts w:ascii="Times New Roman" w:hAnsi="Times New Roman" w:cs="Times New Roman"/>
          <w:color w:val="000000"/>
        </w:rPr>
        <w:endnoteReference w:id="48"/>
      </w:r>
      <w:r w:rsidRPr="00910DD1">
        <w:rPr>
          <w:rFonts w:ascii="Times New Roman" w:hAnsi="Times New Roman" w:cs="Times New Roman"/>
          <w:color w:val="000000"/>
        </w:rPr>
        <w:t xml:space="preserve"> </w:t>
      </w:r>
      <w:r w:rsidRPr="00910DD1">
        <w:rPr>
          <w:rFonts w:ascii="Times New Roman" w:hAnsi="Times New Roman" w:cs="Times New Roman"/>
          <w:lang w:eastAsia="en-AU"/>
        </w:rPr>
        <w:t xml:space="preserve">Guglyuvatyy’s study selected evaluation criteria on the basis of existing research assessing climate change policies. Moreover, the study tested identified criteria by means of the Delphi method. Thus, to update and verify the list of the criteria, Australian experts were involved in the Delphi study to ensure an Australian perspective was maintained. </w:t>
      </w:r>
      <w:r w:rsidRPr="00910DD1">
        <w:rPr>
          <w:rFonts w:ascii="Times New Roman" w:hAnsi="Times New Roman" w:cs="Times New Roman"/>
          <w:color w:val="000000"/>
        </w:rPr>
        <w:t xml:space="preserve">The criteria presented in Table </w:t>
      </w:r>
      <w:r w:rsidR="00B50DDE">
        <w:rPr>
          <w:rFonts w:ascii="Times New Roman" w:hAnsi="Times New Roman" w:cs="Times New Roman"/>
          <w:color w:val="000000"/>
        </w:rPr>
        <w:t>12.</w:t>
      </w:r>
      <w:r w:rsidRPr="00910DD1">
        <w:rPr>
          <w:rFonts w:ascii="Times New Roman" w:hAnsi="Times New Roman" w:cs="Times New Roman"/>
          <w:color w:val="000000"/>
        </w:rPr>
        <w:t>1 reflect the general principles of rational climate change policy.</w:t>
      </w:r>
    </w:p>
    <w:p w14:paraId="259A0995" w14:textId="77777777" w:rsidR="00404C5A" w:rsidRPr="00910DD1" w:rsidRDefault="00404C5A" w:rsidP="00E47FE1">
      <w:pPr>
        <w:autoSpaceDE w:val="0"/>
        <w:autoSpaceDN w:val="0"/>
        <w:adjustRightInd w:val="0"/>
        <w:spacing w:after="0" w:line="480" w:lineRule="auto"/>
        <w:rPr>
          <w:rFonts w:ascii="Times New Roman" w:hAnsi="Times New Roman" w:cs="Times New Roman"/>
          <w:lang w:eastAsia="en-AU"/>
        </w:rPr>
      </w:pPr>
    </w:p>
    <w:p w14:paraId="216E6110" w14:textId="4764E14F" w:rsidR="00404C5A" w:rsidRDefault="00B50DDE" w:rsidP="00E47FE1">
      <w:pPr>
        <w:pStyle w:val="Caption"/>
        <w:keepNext/>
        <w:spacing w:line="480" w:lineRule="auto"/>
        <w:rPr>
          <w:b w:val="0"/>
          <w:i/>
          <w:sz w:val="22"/>
          <w:szCs w:val="22"/>
        </w:rPr>
      </w:pPr>
      <w:r w:rsidRPr="001B6F83">
        <w:rPr>
          <w:b w:val="0"/>
          <w:i/>
          <w:sz w:val="22"/>
          <w:szCs w:val="22"/>
        </w:rPr>
        <w:t>&lt;cap&gt;</w:t>
      </w:r>
      <w:r w:rsidR="00404C5A" w:rsidRPr="001B6F83">
        <w:rPr>
          <w:b w:val="0"/>
          <w:i/>
          <w:sz w:val="22"/>
          <w:szCs w:val="22"/>
        </w:rPr>
        <w:t xml:space="preserve">Table </w:t>
      </w:r>
      <w:r w:rsidRPr="001B6F83">
        <w:rPr>
          <w:b w:val="0"/>
          <w:i/>
          <w:sz w:val="22"/>
          <w:szCs w:val="22"/>
        </w:rPr>
        <w:t>12.</w:t>
      </w:r>
      <w:r w:rsidR="00404C5A" w:rsidRPr="001B6F83">
        <w:rPr>
          <w:b w:val="0"/>
          <w:i/>
          <w:sz w:val="22"/>
          <w:szCs w:val="22"/>
        </w:rPr>
        <w:t>1 Preliminary list of the criteria for climate change policy evaluation</w:t>
      </w:r>
    </w:p>
    <w:p w14:paraId="04246BD2" w14:textId="77777777" w:rsidR="00B50DDE" w:rsidRPr="00FC4E19" w:rsidRDefault="00B50DDE" w:rsidP="001B6F83"/>
    <w:tbl>
      <w:tblPr>
        <w:tblW w:w="0" w:type="auto"/>
        <w:tblInd w:w="52" w:type="dxa"/>
        <w:tblLook w:val="01E0" w:firstRow="1" w:lastRow="1" w:firstColumn="1" w:lastColumn="1" w:noHBand="0" w:noVBand="0"/>
      </w:tblPr>
      <w:tblGrid>
        <w:gridCol w:w="7853"/>
      </w:tblGrid>
      <w:tr w:rsidR="00404C5A" w:rsidRPr="00910DD1" w14:paraId="4BB90DB9" w14:textId="77777777" w:rsidTr="001B6F83">
        <w:tc>
          <w:tcPr>
            <w:tcW w:w="7853" w:type="dxa"/>
            <w:tcBorders>
              <w:top w:val="single" w:sz="4" w:space="0" w:color="auto"/>
              <w:bottom w:val="single" w:sz="4" w:space="0" w:color="auto"/>
            </w:tcBorders>
          </w:tcPr>
          <w:p w14:paraId="228E64AD" w14:textId="77777777" w:rsidR="00404C5A" w:rsidRPr="00910DD1" w:rsidRDefault="00404C5A" w:rsidP="00E47FE1">
            <w:pPr>
              <w:pStyle w:val="Default"/>
              <w:spacing w:line="480" w:lineRule="auto"/>
              <w:rPr>
                <w:b/>
                <w:bCs/>
                <w:sz w:val="22"/>
                <w:szCs w:val="22"/>
                <w:lang w:val="en-AU"/>
              </w:rPr>
            </w:pPr>
            <w:r w:rsidRPr="00910DD1">
              <w:rPr>
                <w:b/>
                <w:bCs/>
                <w:sz w:val="22"/>
                <w:szCs w:val="22"/>
                <w:lang w:val="en-AU"/>
              </w:rPr>
              <w:t xml:space="preserve">Selected criteria </w:t>
            </w:r>
          </w:p>
        </w:tc>
      </w:tr>
      <w:tr w:rsidR="00404C5A" w:rsidRPr="00910DD1" w14:paraId="4698E1FA" w14:textId="77777777" w:rsidTr="001B6F83">
        <w:tc>
          <w:tcPr>
            <w:tcW w:w="7853" w:type="dxa"/>
            <w:tcBorders>
              <w:top w:val="single" w:sz="4" w:space="0" w:color="auto"/>
            </w:tcBorders>
          </w:tcPr>
          <w:p w14:paraId="155059FC" w14:textId="0824EC97" w:rsidR="00404C5A" w:rsidRPr="00910DD1" w:rsidRDefault="00404C5A" w:rsidP="00E47FE1">
            <w:pPr>
              <w:pStyle w:val="Default"/>
              <w:numPr>
                <w:ilvl w:val="0"/>
                <w:numId w:val="14"/>
              </w:numPr>
              <w:spacing w:line="480" w:lineRule="auto"/>
              <w:rPr>
                <w:bCs/>
                <w:sz w:val="22"/>
                <w:szCs w:val="22"/>
                <w:lang w:val="en-AU"/>
              </w:rPr>
            </w:pPr>
            <w:r w:rsidRPr="00910DD1">
              <w:rPr>
                <w:bCs/>
                <w:sz w:val="22"/>
                <w:szCs w:val="22"/>
                <w:lang w:val="en-AU"/>
              </w:rPr>
              <w:t>Environmental effectiveness</w:t>
            </w:r>
          </w:p>
        </w:tc>
      </w:tr>
      <w:tr w:rsidR="00404C5A" w:rsidRPr="00910DD1" w14:paraId="1F7E5D8D" w14:textId="77777777" w:rsidTr="001B6F83">
        <w:tc>
          <w:tcPr>
            <w:tcW w:w="7853" w:type="dxa"/>
          </w:tcPr>
          <w:p w14:paraId="72220DF5" w14:textId="0B950BC4" w:rsidR="00404C5A" w:rsidRPr="00910DD1" w:rsidRDefault="00404C5A" w:rsidP="00E47FE1">
            <w:pPr>
              <w:pStyle w:val="Default"/>
              <w:numPr>
                <w:ilvl w:val="0"/>
                <w:numId w:val="14"/>
              </w:numPr>
              <w:spacing w:line="480" w:lineRule="auto"/>
              <w:rPr>
                <w:sz w:val="22"/>
                <w:szCs w:val="22"/>
                <w:lang w:val="en-AU"/>
              </w:rPr>
            </w:pPr>
            <w:r w:rsidRPr="00910DD1">
              <w:rPr>
                <w:bCs/>
                <w:sz w:val="22"/>
                <w:szCs w:val="22"/>
                <w:lang w:val="en-AU"/>
              </w:rPr>
              <w:t>Cost-effectiveness</w:t>
            </w:r>
          </w:p>
        </w:tc>
      </w:tr>
      <w:tr w:rsidR="00404C5A" w:rsidRPr="00910DD1" w14:paraId="67058874" w14:textId="77777777" w:rsidTr="001B6F83">
        <w:tc>
          <w:tcPr>
            <w:tcW w:w="7853" w:type="dxa"/>
          </w:tcPr>
          <w:p w14:paraId="4DD7B347" w14:textId="77777777" w:rsidR="00404C5A" w:rsidRPr="00910DD1" w:rsidRDefault="00404C5A" w:rsidP="00E47FE1">
            <w:pPr>
              <w:pStyle w:val="Default"/>
              <w:numPr>
                <w:ilvl w:val="0"/>
                <w:numId w:val="14"/>
              </w:numPr>
              <w:spacing w:line="480" w:lineRule="auto"/>
              <w:rPr>
                <w:sz w:val="22"/>
                <w:szCs w:val="22"/>
                <w:lang w:val="en-AU"/>
              </w:rPr>
            </w:pPr>
            <w:r w:rsidRPr="00910DD1">
              <w:rPr>
                <w:sz w:val="22"/>
                <w:szCs w:val="22"/>
                <w:lang w:val="en-AU"/>
              </w:rPr>
              <w:t>Correct price signal</w:t>
            </w:r>
          </w:p>
        </w:tc>
      </w:tr>
      <w:tr w:rsidR="00404C5A" w:rsidRPr="00910DD1" w14:paraId="62FA627E" w14:textId="77777777" w:rsidTr="001B6F83">
        <w:tc>
          <w:tcPr>
            <w:tcW w:w="7853" w:type="dxa"/>
          </w:tcPr>
          <w:p w14:paraId="5A50A5ED" w14:textId="77777777" w:rsidR="00404C5A" w:rsidRPr="00910DD1" w:rsidRDefault="00404C5A" w:rsidP="00E47FE1">
            <w:pPr>
              <w:pStyle w:val="Default"/>
              <w:numPr>
                <w:ilvl w:val="0"/>
                <w:numId w:val="14"/>
              </w:numPr>
              <w:spacing w:line="480" w:lineRule="auto"/>
              <w:rPr>
                <w:sz w:val="22"/>
                <w:szCs w:val="22"/>
                <w:lang w:val="en-AU"/>
              </w:rPr>
            </w:pPr>
            <w:r w:rsidRPr="00910DD1">
              <w:rPr>
                <w:sz w:val="22"/>
                <w:szCs w:val="22"/>
                <w:lang w:val="en-AU"/>
              </w:rPr>
              <w:t>Competitiveness issues</w:t>
            </w:r>
          </w:p>
        </w:tc>
      </w:tr>
      <w:tr w:rsidR="00404C5A" w:rsidRPr="00910DD1" w14:paraId="5B7DACC6" w14:textId="77777777" w:rsidTr="001B6F83">
        <w:tc>
          <w:tcPr>
            <w:tcW w:w="7853" w:type="dxa"/>
          </w:tcPr>
          <w:p w14:paraId="3AA15D1B" w14:textId="77777777" w:rsidR="00404C5A" w:rsidRPr="00910DD1" w:rsidRDefault="00404C5A" w:rsidP="00E47FE1">
            <w:pPr>
              <w:pStyle w:val="Default"/>
              <w:numPr>
                <w:ilvl w:val="0"/>
                <w:numId w:val="14"/>
              </w:numPr>
              <w:spacing w:line="480" w:lineRule="auto"/>
              <w:rPr>
                <w:sz w:val="22"/>
                <w:szCs w:val="22"/>
                <w:lang w:val="en-AU"/>
              </w:rPr>
            </w:pPr>
            <w:r w:rsidRPr="00910DD1">
              <w:rPr>
                <w:sz w:val="22"/>
                <w:szCs w:val="22"/>
                <w:lang w:val="en-AU"/>
              </w:rPr>
              <w:t>Administrative costs</w:t>
            </w:r>
          </w:p>
        </w:tc>
      </w:tr>
      <w:tr w:rsidR="00404C5A" w:rsidRPr="00910DD1" w14:paraId="3C6CE3F2" w14:textId="77777777" w:rsidTr="001B6F83">
        <w:tc>
          <w:tcPr>
            <w:tcW w:w="7853" w:type="dxa"/>
          </w:tcPr>
          <w:p w14:paraId="7F5A0B35" w14:textId="77777777" w:rsidR="00404C5A" w:rsidRPr="00910DD1" w:rsidRDefault="00404C5A" w:rsidP="00E47FE1">
            <w:pPr>
              <w:pStyle w:val="Default"/>
              <w:numPr>
                <w:ilvl w:val="0"/>
                <w:numId w:val="14"/>
              </w:numPr>
              <w:spacing w:line="480" w:lineRule="auto"/>
              <w:rPr>
                <w:sz w:val="22"/>
                <w:szCs w:val="22"/>
                <w:lang w:val="en-AU"/>
              </w:rPr>
            </w:pPr>
            <w:r w:rsidRPr="00910DD1">
              <w:rPr>
                <w:sz w:val="22"/>
                <w:szCs w:val="22"/>
                <w:lang w:val="en-AU"/>
              </w:rPr>
              <w:t>Compliance costs</w:t>
            </w:r>
          </w:p>
        </w:tc>
      </w:tr>
      <w:tr w:rsidR="00404C5A" w:rsidRPr="00910DD1" w14:paraId="753FA5FE" w14:textId="77777777" w:rsidTr="001B6F83">
        <w:tc>
          <w:tcPr>
            <w:tcW w:w="7853" w:type="dxa"/>
          </w:tcPr>
          <w:p w14:paraId="38717FC6" w14:textId="77777777" w:rsidR="00404C5A" w:rsidRPr="00910DD1" w:rsidRDefault="00404C5A" w:rsidP="00E47FE1">
            <w:pPr>
              <w:pStyle w:val="Default"/>
              <w:numPr>
                <w:ilvl w:val="0"/>
                <w:numId w:val="14"/>
              </w:numPr>
              <w:spacing w:line="480" w:lineRule="auto"/>
              <w:rPr>
                <w:sz w:val="22"/>
                <w:szCs w:val="22"/>
                <w:lang w:val="en-AU"/>
              </w:rPr>
            </w:pPr>
            <w:r w:rsidRPr="00910DD1">
              <w:rPr>
                <w:bCs/>
                <w:sz w:val="22"/>
                <w:szCs w:val="22"/>
                <w:lang w:val="en-AU"/>
              </w:rPr>
              <w:t>Predictability/regulatory certainty</w:t>
            </w:r>
          </w:p>
        </w:tc>
      </w:tr>
      <w:tr w:rsidR="00404C5A" w:rsidRPr="00910DD1" w14:paraId="383732AC" w14:textId="77777777" w:rsidTr="001B6F83">
        <w:tc>
          <w:tcPr>
            <w:tcW w:w="7853" w:type="dxa"/>
          </w:tcPr>
          <w:p w14:paraId="25D00406" w14:textId="77777777" w:rsidR="00404C5A" w:rsidRPr="00910DD1" w:rsidRDefault="00404C5A" w:rsidP="00E47FE1">
            <w:pPr>
              <w:pStyle w:val="Default"/>
              <w:numPr>
                <w:ilvl w:val="0"/>
                <w:numId w:val="14"/>
              </w:numPr>
              <w:spacing w:line="480" w:lineRule="auto"/>
              <w:rPr>
                <w:sz w:val="22"/>
                <w:szCs w:val="22"/>
                <w:lang w:val="en-AU"/>
              </w:rPr>
            </w:pPr>
            <w:r w:rsidRPr="00910DD1">
              <w:rPr>
                <w:sz w:val="22"/>
                <w:szCs w:val="22"/>
                <w:lang w:val="en-AU"/>
              </w:rPr>
              <w:t>Effect on technology development</w:t>
            </w:r>
          </w:p>
        </w:tc>
      </w:tr>
      <w:tr w:rsidR="00404C5A" w:rsidRPr="00910DD1" w14:paraId="625BA3C4" w14:textId="77777777" w:rsidTr="001B6F83">
        <w:tc>
          <w:tcPr>
            <w:tcW w:w="7853" w:type="dxa"/>
          </w:tcPr>
          <w:p w14:paraId="389FB7D1" w14:textId="6FF10670" w:rsidR="00404C5A" w:rsidRPr="00910DD1" w:rsidRDefault="00B50DDE" w:rsidP="00FC4E19">
            <w:pPr>
              <w:pStyle w:val="Default"/>
              <w:numPr>
                <w:ilvl w:val="0"/>
                <w:numId w:val="14"/>
              </w:numPr>
              <w:spacing w:line="480" w:lineRule="auto"/>
              <w:rPr>
                <w:sz w:val="22"/>
                <w:szCs w:val="22"/>
                <w:lang w:val="en-AU"/>
              </w:rPr>
            </w:pPr>
            <w:r w:rsidRPr="00910DD1">
              <w:rPr>
                <w:sz w:val="22"/>
                <w:szCs w:val="22"/>
                <w:lang w:val="en-AU"/>
              </w:rPr>
              <w:lastRenderedPageBreak/>
              <w:t>Minimi</w:t>
            </w:r>
            <w:r>
              <w:rPr>
                <w:sz w:val="22"/>
                <w:szCs w:val="22"/>
                <w:lang w:val="en-AU"/>
              </w:rPr>
              <w:t>z</w:t>
            </w:r>
            <w:r w:rsidRPr="00910DD1">
              <w:rPr>
                <w:sz w:val="22"/>
                <w:szCs w:val="22"/>
                <w:lang w:val="en-AU"/>
              </w:rPr>
              <w:t xml:space="preserve">e </w:t>
            </w:r>
            <w:r w:rsidR="00404C5A" w:rsidRPr="00910DD1">
              <w:rPr>
                <w:sz w:val="22"/>
                <w:szCs w:val="22"/>
                <w:lang w:val="en-AU"/>
              </w:rPr>
              <w:t>rent-seeking</w:t>
            </w:r>
          </w:p>
        </w:tc>
      </w:tr>
      <w:tr w:rsidR="00404C5A" w:rsidRPr="00910DD1" w14:paraId="3F24A523" w14:textId="77777777" w:rsidTr="001B6F83">
        <w:tc>
          <w:tcPr>
            <w:tcW w:w="7853" w:type="dxa"/>
          </w:tcPr>
          <w:p w14:paraId="70A6840C" w14:textId="0C90E549" w:rsidR="00404C5A" w:rsidRPr="00910DD1" w:rsidRDefault="00404C5A" w:rsidP="00FC4E19">
            <w:pPr>
              <w:pStyle w:val="Default"/>
              <w:numPr>
                <w:ilvl w:val="0"/>
                <w:numId w:val="14"/>
              </w:numPr>
              <w:spacing w:line="480" w:lineRule="auto"/>
              <w:rPr>
                <w:bCs/>
                <w:sz w:val="22"/>
                <w:szCs w:val="22"/>
                <w:lang w:val="en-AU"/>
              </w:rPr>
            </w:pPr>
            <w:r w:rsidRPr="00910DD1">
              <w:rPr>
                <w:bCs/>
                <w:sz w:val="22"/>
                <w:szCs w:val="22"/>
                <w:lang w:val="en-AU"/>
              </w:rPr>
              <w:t xml:space="preserve">International </w:t>
            </w:r>
            <w:r w:rsidR="00B50DDE" w:rsidRPr="00910DD1">
              <w:rPr>
                <w:bCs/>
                <w:sz w:val="22"/>
                <w:szCs w:val="22"/>
                <w:lang w:val="en-AU"/>
              </w:rPr>
              <w:t>harmoni</w:t>
            </w:r>
            <w:r w:rsidR="00B50DDE">
              <w:rPr>
                <w:bCs/>
                <w:sz w:val="22"/>
                <w:szCs w:val="22"/>
                <w:lang w:val="en-AU"/>
              </w:rPr>
              <w:t>z</w:t>
            </w:r>
            <w:r w:rsidR="00B50DDE" w:rsidRPr="00910DD1">
              <w:rPr>
                <w:bCs/>
                <w:sz w:val="22"/>
                <w:szCs w:val="22"/>
                <w:lang w:val="en-AU"/>
              </w:rPr>
              <w:t>ation</w:t>
            </w:r>
          </w:p>
        </w:tc>
      </w:tr>
      <w:tr w:rsidR="00404C5A" w:rsidRPr="00910DD1" w14:paraId="5EA189D3" w14:textId="77777777" w:rsidTr="001B6F83">
        <w:trPr>
          <w:trHeight w:val="173"/>
        </w:trPr>
        <w:tc>
          <w:tcPr>
            <w:tcW w:w="7853" w:type="dxa"/>
          </w:tcPr>
          <w:p w14:paraId="7BE01564" w14:textId="77777777" w:rsidR="00404C5A" w:rsidRPr="00910DD1" w:rsidRDefault="00404C5A" w:rsidP="00E47FE1">
            <w:pPr>
              <w:numPr>
                <w:ilvl w:val="0"/>
                <w:numId w:val="14"/>
              </w:numPr>
              <w:autoSpaceDE w:val="0"/>
              <w:autoSpaceDN w:val="0"/>
              <w:adjustRightInd w:val="0"/>
              <w:spacing w:after="0" w:line="480" w:lineRule="auto"/>
              <w:rPr>
                <w:rFonts w:ascii="Times New Roman" w:hAnsi="Times New Roman" w:cs="Times New Roman"/>
              </w:rPr>
            </w:pPr>
            <w:r w:rsidRPr="00910DD1">
              <w:rPr>
                <w:rFonts w:ascii="Times New Roman" w:hAnsi="Times New Roman" w:cs="Times New Roman"/>
                <w:bCs/>
              </w:rPr>
              <w:t>Flexibility of the policy</w:t>
            </w:r>
          </w:p>
        </w:tc>
      </w:tr>
      <w:tr w:rsidR="00404C5A" w:rsidRPr="00910DD1" w14:paraId="5A27DB69" w14:textId="77777777" w:rsidTr="001B6F83">
        <w:tc>
          <w:tcPr>
            <w:tcW w:w="7853" w:type="dxa"/>
          </w:tcPr>
          <w:p w14:paraId="76313E16" w14:textId="77777777" w:rsidR="00404C5A" w:rsidRPr="00910DD1" w:rsidRDefault="00404C5A" w:rsidP="00E47FE1">
            <w:pPr>
              <w:numPr>
                <w:ilvl w:val="0"/>
                <w:numId w:val="14"/>
              </w:numPr>
              <w:autoSpaceDE w:val="0"/>
              <w:autoSpaceDN w:val="0"/>
              <w:adjustRightInd w:val="0"/>
              <w:spacing w:after="0" w:line="480" w:lineRule="auto"/>
              <w:rPr>
                <w:rFonts w:ascii="Times New Roman" w:hAnsi="Times New Roman" w:cs="Times New Roman"/>
                <w:bCs/>
              </w:rPr>
            </w:pPr>
            <w:r w:rsidRPr="00910DD1">
              <w:rPr>
                <w:rFonts w:ascii="Times New Roman" w:hAnsi="Times New Roman" w:cs="Times New Roman"/>
              </w:rPr>
              <w:t xml:space="preserve">Political acceptability </w:t>
            </w:r>
          </w:p>
        </w:tc>
      </w:tr>
      <w:tr w:rsidR="00404C5A" w:rsidRPr="00910DD1" w14:paraId="4E70206D" w14:textId="77777777" w:rsidTr="001B6F83">
        <w:tc>
          <w:tcPr>
            <w:tcW w:w="7853" w:type="dxa"/>
          </w:tcPr>
          <w:p w14:paraId="46192A14" w14:textId="2DB8D8E5" w:rsidR="00404C5A" w:rsidRPr="00910DD1" w:rsidRDefault="00404C5A" w:rsidP="00E47FE1">
            <w:pPr>
              <w:numPr>
                <w:ilvl w:val="0"/>
                <w:numId w:val="14"/>
              </w:numPr>
              <w:autoSpaceDE w:val="0"/>
              <w:autoSpaceDN w:val="0"/>
              <w:adjustRightInd w:val="0"/>
              <w:spacing w:after="0" w:line="480" w:lineRule="auto"/>
              <w:rPr>
                <w:rFonts w:ascii="Times New Roman" w:hAnsi="Times New Roman" w:cs="Times New Roman"/>
                <w:bCs/>
              </w:rPr>
            </w:pPr>
            <w:r w:rsidRPr="00910DD1">
              <w:rPr>
                <w:rFonts w:ascii="Times New Roman" w:hAnsi="Times New Roman" w:cs="Times New Roman"/>
                <w:bCs/>
              </w:rPr>
              <w:t>Transparency</w:t>
            </w:r>
          </w:p>
        </w:tc>
      </w:tr>
      <w:tr w:rsidR="00404C5A" w:rsidRPr="00910DD1" w14:paraId="05892250" w14:textId="77777777" w:rsidTr="001B6F83">
        <w:tc>
          <w:tcPr>
            <w:tcW w:w="7853" w:type="dxa"/>
          </w:tcPr>
          <w:p w14:paraId="3E98C34C" w14:textId="77777777" w:rsidR="00404C5A" w:rsidRPr="00910DD1" w:rsidRDefault="00404C5A" w:rsidP="00E47FE1">
            <w:pPr>
              <w:numPr>
                <w:ilvl w:val="0"/>
                <w:numId w:val="14"/>
              </w:numPr>
              <w:autoSpaceDE w:val="0"/>
              <w:autoSpaceDN w:val="0"/>
              <w:adjustRightInd w:val="0"/>
              <w:spacing w:after="0" w:line="480" w:lineRule="auto"/>
              <w:rPr>
                <w:rFonts w:ascii="Times New Roman" w:hAnsi="Times New Roman" w:cs="Times New Roman"/>
                <w:bCs/>
              </w:rPr>
            </w:pPr>
            <w:r w:rsidRPr="00910DD1">
              <w:rPr>
                <w:rFonts w:ascii="Times New Roman" w:hAnsi="Times New Roman" w:cs="Times New Roman"/>
                <w:bCs/>
              </w:rPr>
              <w:t>Distribution of benefits and costs across income groups</w:t>
            </w:r>
          </w:p>
        </w:tc>
      </w:tr>
      <w:tr w:rsidR="00404C5A" w:rsidRPr="00910DD1" w14:paraId="143E07F1" w14:textId="77777777" w:rsidTr="001B6F83">
        <w:tc>
          <w:tcPr>
            <w:tcW w:w="7853" w:type="dxa"/>
          </w:tcPr>
          <w:p w14:paraId="78F61985" w14:textId="77777777" w:rsidR="00404C5A" w:rsidRPr="00910DD1" w:rsidRDefault="00404C5A" w:rsidP="00E47FE1">
            <w:pPr>
              <w:numPr>
                <w:ilvl w:val="0"/>
                <w:numId w:val="14"/>
              </w:numPr>
              <w:autoSpaceDE w:val="0"/>
              <w:autoSpaceDN w:val="0"/>
              <w:adjustRightInd w:val="0"/>
              <w:spacing w:after="0" w:line="480" w:lineRule="auto"/>
              <w:rPr>
                <w:rFonts w:ascii="Times New Roman" w:hAnsi="Times New Roman" w:cs="Times New Roman"/>
                <w:bCs/>
              </w:rPr>
            </w:pPr>
            <w:r w:rsidRPr="00910DD1">
              <w:rPr>
                <w:rFonts w:ascii="Times New Roman" w:hAnsi="Times New Roman" w:cs="Times New Roman"/>
                <w:bCs/>
              </w:rPr>
              <w:t>Public acceptability</w:t>
            </w:r>
          </w:p>
        </w:tc>
      </w:tr>
      <w:tr w:rsidR="00404C5A" w:rsidRPr="00910DD1" w14:paraId="2699A898" w14:textId="77777777" w:rsidTr="001B6F83">
        <w:tc>
          <w:tcPr>
            <w:tcW w:w="7853" w:type="dxa"/>
            <w:tcBorders>
              <w:bottom w:val="single" w:sz="4" w:space="0" w:color="auto"/>
            </w:tcBorders>
          </w:tcPr>
          <w:p w14:paraId="2AC36F82" w14:textId="27658596" w:rsidR="00404C5A" w:rsidRPr="00910DD1" w:rsidRDefault="00404C5A" w:rsidP="00E47FE1">
            <w:pPr>
              <w:keepNext/>
              <w:numPr>
                <w:ilvl w:val="0"/>
                <w:numId w:val="14"/>
              </w:numPr>
              <w:autoSpaceDE w:val="0"/>
              <w:autoSpaceDN w:val="0"/>
              <w:adjustRightInd w:val="0"/>
              <w:spacing w:after="0" w:line="480" w:lineRule="auto"/>
              <w:rPr>
                <w:rFonts w:ascii="Times New Roman" w:hAnsi="Times New Roman" w:cs="Times New Roman"/>
                <w:bCs/>
              </w:rPr>
            </w:pPr>
            <w:r w:rsidRPr="00910DD1">
              <w:rPr>
                <w:rFonts w:ascii="Times New Roman" w:hAnsi="Times New Roman" w:cs="Times New Roman"/>
                <w:bCs/>
              </w:rPr>
              <w:t>Distribution of benefits and costs across generations</w:t>
            </w:r>
          </w:p>
        </w:tc>
      </w:tr>
    </w:tbl>
    <w:p w14:paraId="0FFC066D" w14:textId="77777777" w:rsidR="00B50DDE" w:rsidRDefault="00B50DDE" w:rsidP="00E47FE1">
      <w:pPr>
        <w:spacing w:after="0" w:line="480" w:lineRule="auto"/>
        <w:rPr>
          <w:rFonts w:ascii="Times New Roman" w:hAnsi="Times New Roman" w:cs="Times New Roman"/>
          <w:lang w:eastAsia="en-AU"/>
        </w:rPr>
      </w:pPr>
    </w:p>
    <w:p w14:paraId="6FE584F1" w14:textId="17C4ECDC" w:rsidR="00404C5A" w:rsidRPr="001B6F83" w:rsidRDefault="00404C5A" w:rsidP="00E47FE1">
      <w:pPr>
        <w:spacing w:after="0" w:line="480" w:lineRule="auto"/>
        <w:rPr>
          <w:rFonts w:ascii="Times New Roman" w:hAnsi="Times New Roman" w:cs="Times New Roman"/>
          <w:sz w:val="18"/>
          <w:lang w:eastAsia="en-AU"/>
        </w:rPr>
      </w:pPr>
      <w:r w:rsidRPr="001B6F83">
        <w:rPr>
          <w:rFonts w:ascii="Times New Roman" w:hAnsi="Times New Roman" w:cs="Times New Roman"/>
          <w:i/>
          <w:sz w:val="18"/>
          <w:lang w:eastAsia="en-AU"/>
        </w:rPr>
        <w:t>Source</w:t>
      </w:r>
      <w:r w:rsidRPr="001B6F83">
        <w:rPr>
          <w:rFonts w:ascii="Times New Roman" w:hAnsi="Times New Roman" w:cs="Times New Roman"/>
          <w:sz w:val="18"/>
          <w:lang w:eastAsia="en-AU"/>
        </w:rPr>
        <w:t>: Evgeny Guglyuvatyy, Assessing carbon tax and emissions trading as policy options for climate change mitigation in Australia. PhD Thesis</w:t>
      </w:r>
      <w:r w:rsidR="0078482D">
        <w:rPr>
          <w:rFonts w:ascii="Times New Roman" w:hAnsi="Times New Roman" w:cs="Times New Roman"/>
          <w:sz w:val="18"/>
          <w:lang w:eastAsia="en-AU"/>
        </w:rPr>
        <w:t>,</w:t>
      </w:r>
      <w:r w:rsidRPr="001B6F83">
        <w:rPr>
          <w:rFonts w:ascii="Times New Roman" w:hAnsi="Times New Roman" w:cs="Times New Roman"/>
          <w:sz w:val="18"/>
          <w:lang w:eastAsia="en-AU"/>
        </w:rPr>
        <w:t xml:space="preserve"> The University of New South Wales, 2011.</w:t>
      </w:r>
    </w:p>
    <w:p w14:paraId="5329F475" w14:textId="77777777" w:rsidR="00E47FE1" w:rsidRPr="00910DD1" w:rsidRDefault="00E47FE1" w:rsidP="00E47FE1">
      <w:pPr>
        <w:spacing w:after="0" w:line="480" w:lineRule="auto"/>
        <w:rPr>
          <w:rFonts w:ascii="Times New Roman" w:hAnsi="Times New Roman" w:cs="Times New Roman"/>
          <w:lang w:eastAsia="en-AU"/>
        </w:rPr>
      </w:pPr>
    </w:p>
    <w:p w14:paraId="0B93FD5B" w14:textId="2CA10D2E" w:rsidR="00404C5A" w:rsidRPr="00910DD1" w:rsidRDefault="00404C5A" w:rsidP="001B6F83">
      <w:pPr>
        <w:shd w:val="clear" w:color="auto" w:fill="FFFFFF"/>
        <w:autoSpaceDE w:val="0"/>
        <w:autoSpaceDN w:val="0"/>
        <w:adjustRightInd w:val="0"/>
        <w:spacing w:after="0" w:line="480" w:lineRule="auto"/>
        <w:ind w:firstLine="720"/>
        <w:rPr>
          <w:rFonts w:ascii="Times New Roman" w:hAnsi="Times New Roman" w:cs="Times New Roman"/>
        </w:rPr>
      </w:pPr>
      <w:r w:rsidRPr="00910DD1">
        <w:rPr>
          <w:rFonts w:ascii="Times New Roman" w:hAnsi="Times New Roman" w:cs="Times New Roman"/>
          <w:color w:val="000000"/>
        </w:rPr>
        <w:t>The Delphi study was conducted in two rounds targeting a group of experts, who were selected to represent diverse perspectives between the experts from various disciplines related to climate change discourse.</w:t>
      </w:r>
      <w:r w:rsidR="0003378A">
        <w:rPr>
          <w:rFonts w:ascii="Times New Roman" w:hAnsi="Times New Roman" w:cs="Times New Roman"/>
          <w:color w:val="000000"/>
        </w:rPr>
        <w:t xml:space="preserve"> </w:t>
      </w:r>
      <w:r w:rsidR="0003378A">
        <w:rPr>
          <w:rFonts w:ascii="Times New Roman" w:hAnsi="Times New Roman" w:cs="Times New Roman"/>
        </w:rPr>
        <w:t>In particular,</w:t>
      </w:r>
      <w:r w:rsidR="0003378A" w:rsidRPr="00576D14">
        <w:rPr>
          <w:rFonts w:ascii="Times New Roman" w:hAnsi="Times New Roman" w:cs="Times New Roman"/>
        </w:rPr>
        <w:t xml:space="preserve"> </w:t>
      </w:r>
      <w:r w:rsidR="0003378A">
        <w:rPr>
          <w:rFonts w:ascii="Times New Roman" w:hAnsi="Times New Roman" w:cs="Times New Roman"/>
        </w:rPr>
        <w:t xml:space="preserve">academics, </w:t>
      </w:r>
      <w:r w:rsidR="0003378A" w:rsidRPr="0003378A">
        <w:rPr>
          <w:rFonts w:ascii="Times New Roman" w:hAnsi="Times New Roman" w:cs="Times New Roman"/>
        </w:rPr>
        <w:t xml:space="preserve">scientists, climate economists </w:t>
      </w:r>
      <w:r w:rsidR="0003378A">
        <w:rPr>
          <w:rFonts w:ascii="Times New Roman" w:hAnsi="Times New Roman" w:cs="Times New Roman"/>
        </w:rPr>
        <w:t xml:space="preserve">and environmental policy consultants were selected for this study. </w:t>
      </w:r>
      <w:r w:rsidRPr="00910DD1">
        <w:rPr>
          <w:rFonts w:ascii="Times New Roman" w:hAnsi="Times New Roman" w:cs="Times New Roman"/>
          <w:color w:val="000000"/>
          <w:lang w:eastAsia="en-AU"/>
        </w:rPr>
        <w:t xml:space="preserve">The </w:t>
      </w:r>
      <w:r w:rsidRPr="00910DD1">
        <w:rPr>
          <w:rFonts w:ascii="Times New Roman" w:hAnsi="Times New Roman" w:cs="Times New Roman"/>
          <w:color w:val="000000"/>
        </w:rPr>
        <w:t xml:space="preserve">questionnaire devised for the Delphi study was designed to </w:t>
      </w:r>
      <w:r w:rsidR="00B50DDE" w:rsidRPr="00910DD1">
        <w:rPr>
          <w:rFonts w:ascii="Times New Roman" w:hAnsi="Times New Roman" w:cs="Times New Roman"/>
          <w:color w:val="000000"/>
        </w:rPr>
        <w:t>minimi</w:t>
      </w:r>
      <w:r w:rsidR="00B50DDE">
        <w:rPr>
          <w:rFonts w:ascii="Times New Roman" w:hAnsi="Times New Roman" w:cs="Times New Roman"/>
          <w:color w:val="000000"/>
        </w:rPr>
        <w:t>z</w:t>
      </w:r>
      <w:r w:rsidR="00B50DDE" w:rsidRPr="00910DD1">
        <w:rPr>
          <w:rFonts w:ascii="Times New Roman" w:hAnsi="Times New Roman" w:cs="Times New Roman"/>
          <w:color w:val="000000"/>
        </w:rPr>
        <w:t xml:space="preserve">e </w:t>
      </w:r>
      <w:r w:rsidRPr="00910DD1">
        <w:rPr>
          <w:rFonts w:ascii="Times New Roman" w:hAnsi="Times New Roman" w:cs="Times New Roman"/>
          <w:color w:val="000000"/>
        </w:rPr>
        <w:t xml:space="preserve">obscurities. </w:t>
      </w:r>
      <w:r w:rsidRPr="00910DD1">
        <w:rPr>
          <w:rFonts w:ascii="Times New Roman" w:hAnsi="Times New Roman" w:cs="Times New Roman"/>
        </w:rPr>
        <w:t>C</w:t>
      </w:r>
      <w:r w:rsidRPr="00910DD1">
        <w:rPr>
          <w:rFonts w:ascii="Times New Roman" w:hAnsi="Times New Roman" w:cs="Times New Roman"/>
          <w:lang w:eastAsia="en-AU"/>
        </w:rPr>
        <w:t>losed ended-questions and the five points Likert scale</w:t>
      </w:r>
      <w:r w:rsidRPr="00910DD1">
        <w:rPr>
          <w:rStyle w:val="EndnoteReference"/>
          <w:rFonts w:ascii="Times New Roman" w:hAnsi="Times New Roman" w:cs="Times New Roman"/>
          <w:lang w:eastAsia="en-AU"/>
        </w:rPr>
        <w:endnoteReference w:id="49"/>
      </w:r>
      <w:r w:rsidRPr="00910DD1">
        <w:rPr>
          <w:rFonts w:ascii="Times New Roman" w:hAnsi="Times New Roman" w:cs="Times New Roman"/>
          <w:lang w:eastAsia="en-AU"/>
        </w:rPr>
        <w:t xml:space="preserve"> were </w:t>
      </w:r>
      <w:r w:rsidR="00B50DDE" w:rsidRPr="00910DD1">
        <w:rPr>
          <w:rFonts w:ascii="Times New Roman" w:hAnsi="Times New Roman" w:cs="Times New Roman"/>
          <w:lang w:eastAsia="en-AU"/>
        </w:rPr>
        <w:t>utili</w:t>
      </w:r>
      <w:r w:rsidR="00B50DDE">
        <w:rPr>
          <w:rFonts w:ascii="Times New Roman" w:hAnsi="Times New Roman" w:cs="Times New Roman"/>
          <w:lang w:eastAsia="en-AU"/>
        </w:rPr>
        <w:t>z</w:t>
      </w:r>
      <w:r w:rsidR="00B50DDE" w:rsidRPr="00910DD1">
        <w:rPr>
          <w:rFonts w:ascii="Times New Roman" w:hAnsi="Times New Roman" w:cs="Times New Roman"/>
          <w:lang w:eastAsia="en-AU"/>
        </w:rPr>
        <w:t xml:space="preserve">ed </w:t>
      </w:r>
      <w:r w:rsidRPr="00910DD1">
        <w:rPr>
          <w:rFonts w:ascii="Times New Roman" w:hAnsi="Times New Roman" w:cs="Times New Roman"/>
          <w:lang w:eastAsia="en-AU"/>
        </w:rPr>
        <w:t>for the first part of the questionnaire and were followed by open-ended questions for the second part.</w:t>
      </w:r>
      <w:r w:rsidRPr="00910DD1">
        <w:rPr>
          <w:rStyle w:val="EndnoteReference"/>
          <w:rFonts w:ascii="Times New Roman" w:hAnsi="Times New Roman" w:cs="Times New Roman"/>
          <w:lang w:eastAsia="en-AU"/>
        </w:rPr>
        <w:endnoteReference w:id="50"/>
      </w:r>
      <w:r w:rsidRPr="00910DD1">
        <w:rPr>
          <w:rFonts w:ascii="Times New Roman" w:hAnsi="Times New Roman" w:cs="Times New Roman"/>
          <w:lang w:eastAsia="en-AU"/>
        </w:rPr>
        <w:t xml:space="preserve"> This provided the D</w:t>
      </w:r>
      <w:r w:rsidRPr="00910DD1">
        <w:rPr>
          <w:rFonts w:ascii="Times New Roman" w:hAnsi="Times New Roman" w:cs="Times New Roman"/>
          <w:color w:val="000000"/>
          <w:lang w:eastAsia="en-AU"/>
        </w:rPr>
        <w:t>elphi study with required quantitative information on criteria weights and qualitative data necessary for in-depth analysis.</w:t>
      </w:r>
    </w:p>
    <w:p w14:paraId="476B3F29" w14:textId="4676C8BF" w:rsidR="00404C5A" w:rsidRPr="00910DD1" w:rsidRDefault="00404C5A" w:rsidP="001B6F83">
      <w:pPr>
        <w:spacing w:after="0" w:line="480" w:lineRule="auto"/>
        <w:ind w:firstLine="720"/>
        <w:rPr>
          <w:rFonts w:ascii="Times New Roman" w:hAnsi="Times New Roman" w:cs="Times New Roman"/>
          <w:bCs/>
        </w:rPr>
      </w:pPr>
      <w:r w:rsidRPr="00910DD1">
        <w:rPr>
          <w:rFonts w:ascii="Times New Roman" w:hAnsi="Times New Roman" w:cs="Times New Roman"/>
        </w:rPr>
        <w:t xml:space="preserve">Eleven experts participated in the study. They represented internationally </w:t>
      </w:r>
      <w:r w:rsidR="00B50DDE" w:rsidRPr="00910DD1">
        <w:rPr>
          <w:rFonts w:ascii="Times New Roman" w:hAnsi="Times New Roman" w:cs="Times New Roman"/>
        </w:rPr>
        <w:t>recogni</w:t>
      </w:r>
      <w:r w:rsidR="00B50DDE">
        <w:rPr>
          <w:rFonts w:ascii="Times New Roman" w:hAnsi="Times New Roman" w:cs="Times New Roman"/>
        </w:rPr>
        <w:t>z</w:t>
      </w:r>
      <w:r w:rsidR="00B50DDE" w:rsidRPr="00910DD1">
        <w:rPr>
          <w:rFonts w:ascii="Times New Roman" w:hAnsi="Times New Roman" w:cs="Times New Roman"/>
        </w:rPr>
        <w:t xml:space="preserve">ed </w:t>
      </w:r>
      <w:r w:rsidRPr="00910DD1">
        <w:rPr>
          <w:rFonts w:ascii="Times New Roman" w:hAnsi="Times New Roman" w:cs="Times New Roman"/>
        </w:rPr>
        <w:t xml:space="preserve">Australian specialists bringing a high level of expertise to the study. </w:t>
      </w:r>
      <w:r w:rsidRPr="00910DD1">
        <w:rPr>
          <w:rFonts w:ascii="Times New Roman" w:hAnsi="Times New Roman" w:cs="Times New Roman"/>
          <w:color w:val="000000"/>
        </w:rPr>
        <w:t>In the first round, the experts were asked to think of the potential criteria for the climate change policies and then t</w:t>
      </w:r>
      <w:r w:rsidRPr="00910DD1">
        <w:rPr>
          <w:rFonts w:ascii="Times New Roman" w:hAnsi="Times New Roman" w:cs="Times New Roman"/>
        </w:rPr>
        <w:t>o verify and update the proposed 16 criteria required for policy evaluation in the Australian context.</w:t>
      </w:r>
      <w:r w:rsidRPr="00910DD1">
        <w:rPr>
          <w:rFonts w:ascii="Times New Roman" w:hAnsi="Times New Roman" w:cs="Times New Roman"/>
          <w:color w:val="000000"/>
        </w:rPr>
        <w:t xml:space="preserve"> </w:t>
      </w:r>
      <w:r w:rsidRPr="00910DD1">
        <w:rPr>
          <w:rFonts w:ascii="Times New Roman" w:hAnsi="Times New Roman" w:cs="Times New Roman"/>
        </w:rPr>
        <w:t>The second question sought participants’ views on the importance of those criteria. The experts were asked to weigh each criteria based on a standard rating scale 1</w:t>
      </w:r>
      <w:r w:rsidR="00B50DDE">
        <w:rPr>
          <w:rFonts w:ascii="Times New Roman" w:hAnsi="Times New Roman" w:cs="Times New Roman"/>
        </w:rPr>
        <w:t>‒</w:t>
      </w:r>
      <w:r w:rsidRPr="00910DD1">
        <w:rPr>
          <w:rFonts w:ascii="Times New Roman" w:hAnsi="Times New Roman" w:cs="Times New Roman"/>
        </w:rPr>
        <w:t xml:space="preserve">5, where 1 indicating not at all important or considered least necessary criteria and 5 indicating extremely important, and/or most critical criteria. The panel members were also asked to add any other </w:t>
      </w:r>
      <w:r w:rsidRPr="00910DD1">
        <w:rPr>
          <w:rFonts w:ascii="Times New Roman" w:hAnsi="Times New Roman" w:cs="Times New Roman"/>
          <w:bCs/>
        </w:rPr>
        <w:t>relevant criteria.</w:t>
      </w:r>
    </w:p>
    <w:p w14:paraId="7862DD16" w14:textId="5D8065D2" w:rsidR="00404C5A" w:rsidRPr="00910DD1" w:rsidRDefault="00404C5A" w:rsidP="001B6F83">
      <w:pPr>
        <w:spacing w:after="0" w:line="480" w:lineRule="auto"/>
        <w:ind w:firstLine="720"/>
        <w:rPr>
          <w:rFonts w:ascii="Times New Roman" w:hAnsi="Times New Roman" w:cs="Times New Roman"/>
          <w:color w:val="000000"/>
        </w:rPr>
      </w:pPr>
      <w:r w:rsidRPr="00910DD1">
        <w:rPr>
          <w:rFonts w:ascii="Times New Roman" w:hAnsi="Times New Roman" w:cs="Times New Roman"/>
          <w:color w:val="000000"/>
          <w:lang w:eastAsia="en-AU"/>
        </w:rPr>
        <w:lastRenderedPageBreak/>
        <w:t xml:space="preserve">In the second round the experts were provided with the opportunity to revise </w:t>
      </w:r>
      <w:r w:rsidRPr="00910DD1">
        <w:rPr>
          <w:rFonts w:ascii="Times New Roman" w:hAnsi="Times New Roman" w:cs="Times New Roman"/>
        </w:rPr>
        <w:t xml:space="preserve">their previous responses. This is a fundamental aspect of the Delphi process. There was a substantial level of agreement among the experts’ responses concerning the necessity of evaluation criteria proposed by the </w:t>
      </w:r>
      <w:r w:rsidRPr="00910DD1">
        <w:rPr>
          <w:rFonts w:ascii="Times New Roman" w:hAnsi="Times New Roman" w:cs="Times New Roman"/>
          <w:lang w:eastAsia="en-AU"/>
        </w:rPr>
        <w:t>Guglyuvatyy</w:t>
      </w:r>
      <w:r w:rsidRPr="00910DD1">
        <w:rPr>
          <w:rFonts w:ascii="Times New Roman" w:hAnsi="Times New Roman" w:cs="Times New Roman"/>
        </w:rPr>
        <w:t xml:space="preserve"> study. </w:t>
      </w:r>
      <w:r w:rsidRPr="00910DD1">
        <w:rPr>
          <w:rFonts w:ascii="Times New Roman" w:hAnsi="Times New Roman" w:cs="Times New Roman"/>
          <w:color w:val="000000"/>
        </w:rPr>
        <w:t>The average weightings mostly remained the same, thus, a reasonable level of stability had been reached regarding the importance of the criteria.</w:t>
      </w:r>
    </w:p>
    <w:p w14:paraId="03C882FE" w14:textId="1DEE7835" w:rsidR="00404C5A" w:rsidRPr="00910DD1" w:rsidRDefault="00404C5A" w:rsidP="001B6F83">
      <w:pPr>
        <w:pStyle w:val="NormalWeb"/>
        <w:spacing w:before="0" w:beforeAutospacing="0" w:after="0" w:afterAutospacing="0" w:line="480" w:lineRule="auto"/>
        <w:ind w:firstLine="720"/>
        <w:rPr>
          <w:sz w:val="22"/>
          <w:szCs w:val="22"/>
        </w:rPr>
      </w:pPr>
      <w:r w:rsidRPr="00910DD1">
        <w:rPr>
          <w:sz w:val="22"/>
          <w:szCs w:val="22"/>
        </w:rPr>
        <w:t>Additional criteria identified by the experts were listed together and presented for consideration by all of the participants in the second-round questionnaire with the aim of obtaining further weightings and/or comments from the experts. T</w:t>
      </w:r>
      <w:r w:rsidRPr="00910DD1">
        <w:rPr>
          <w:color w:val="000000"/>
          <w:sz w:val="22"/>
          <w:szCs w:val="22"/>
        </w:rPr>
        <w:t>he Delphi study resulted in identification of two</w:t>
      </w:r>
      <w:r w:rsidR="0003378A">
        <w:rPr>
          <w:color w:val="000000"/>
          <w:sz w:val="22"/>
          <w:szCs w:val="22"/>
        </w:rPr>
        <w:t xml:space="preserve"> additional</w:t>
      </w:r>
      <w:r w:rsidRPr="00910DD1">
        <w:rPr>
          <w:color w:val="000000"/>
          <w:sz w:val="22"/>
          <w:szCs w:val="22"/>
        </w:rPr>
        <w:t xml:space="preserve"> imperative criteria namely, to ‘</w:t>
      </w:r>
      <w:r w:rsidRPr="00910DD1">
        <w:rPr>
          <w:bCs/>
          <w:sz w:val="22"/>
          <w:szCs w:val="22"/>
        </w:rPr>
        <w:t>minimise GHG emissions leakage’ and the ‘polluter pays principle’</w:t>
      </w:r>
      <w:r w:rsidRPr="00910DD1">
        <w:rPr>
          <w:color w:val="000000"/>
          <w:sz w:val="22"/>
          <w:szCs w:val="22"/>
        </w:rPr>
        <w:t xml:space="preserve"> which are included in the list of criteria of this study. </w:t>
      </w:r>
      <w:r w:rsidRPr="00910DD1">
        <w:rPr>
          <w:sz w:val="22"/>
          <w:szCs w:val="22"/>
        </w:rPr>
        <w:t xml:space="preserve">The final list of criteria and the importance values of those criteria expressed as a percentage are presented in Table </w:t>
      </w:r>
      <w:r w:rsidR="00B50DDE">
        <w:rPr>
          <w:sz w:val="22"/>
          <w:szCs w:val="22"/>
        </w:rPr>
        <w:t>12.</w:t>
      </w:r>
      <w:r w:rsidRPr="00910DD1">
        <w:rPr>
          <w:sz w:val="22"/>
          <w:szCs w:val="22"/>
        </w:rPr>
        <w:t>2.</w:t>
      </w:r>
    </w:p>
    <w:p w14:paraId="3E55F043" w14:textId="77777777" w:rsidR="00404C5A" w:rsidRPr="00910DD1" w:rsidRDefault="00404C5A" w:rsidP="00E47FE1">
      <w:pPr>
        <w:spacing w:after="0" w:line="480" w:lineRule="auto"/>
        <w:rPr>
          <w:rFonts w:ascii="Times New Roman" w:hAnsi="Times New Roman" w:cs="Times New Roman"/>
        </w:rPr>
      </w:pPr>
    </w:p>
    <w:p w14:paraId="01EF17B4" w14:textId="489E6BD0" w:rsidR="00404C5A" w:rsidRDefault="00B50DDE" w:rsidP="00E47FE1">
      <w:pPr>
        <w:keepNext/>
        <w:spacing w:after="0" w:line="480" w:lineRule="auto"/>
        <w:rPr>
          <w:rFonts w:ascii="Times New Roman" w:eastAsia="Times New Roman" w:hAnsi="Times New Roman" w:cs="Times New Roman"/>
          <w:bCs/>
          <w:i/>
        </w:rPr>
      </w:pPr>
      <w:r w:rsidRPr="001B6F83">
        <w:rPr>
          <w:rFonts w:ascii="Times New Roman" w:eastAsia="Times New Roman" w:hAnsi="Times New Roman" w:cs="Times New Roman"/>
          <w:bCs/>
          <w:i/>
        </w:rPr>
        <w:t>&lt;cap&gt;</w:t>
      </w:r>
      <w:r w:rsidR="00404C5A" w:rsidRPr="001B6F83">
        <w:rPr>
          <w:rFonts w:ascii="Times New Roman" w:eastAsia="Times New Roman" w:hAnsi="Times New Roman" w:cs="Times New Roman"/>
          <w:bCs/>
          <w:i/>
        </w:rPr>
        <w:t xml:space="preserve">Table </w:t>
      </w:r>
      <w:r w:rsidRPr="001B6F83">
        <w:rPr>
          <w:rFonts w:ascii="Times New Roman" w:eastAsia="Times New Roman" w:hAnsi="Times New Roman" w:cs="Times New Roman"/>
          <w:bCs/>
          <w:i/>
        </w:rPr>
        <w:t>12.</w:t>
      </w:r>
      <w:r w:rsidR="00404C5A" w:rsidRPr="001B6F83">
        <w:rPr>
          <w:rFonts w:ascii="Times New Roman" w:eastAsia="Times New Roman" w:hAnsi="Times New Roman" w:cs="Times New Roman"/>
          <w:bCs/>
          <w:i/>
        </w:rPr>
        <w:t>2 Established evaluation criteria</w:t>
      </w:r>
    </w:p>
    <w:p w14:paraId="009AEBD3" w14:textId="77777777" w:rsidR="00B50DDE" w:rsidRPr="001B6F83" w:rsidRDefault="00B50DDE" w:rsidP="00E47FE1">
      <w:pPr>
        <w:keepNext/>
        <w:spacing w:after="0" w:line="480" w:lineRule="auto"/>
        <w:rPr>
          <w:rFonts w:ascii="Times New Roman" w:eastAsia="Times New Roman" w:hAnsi="Times New Roman" w:cs="Times New Roman"/>
          <w:bCs/>
          <w:i/>
        </w:rPr>
      </w:pPr>
    </w:p>
    <w:tbl>
      <w:tblPr>
        <w:tblW w:w="8085" w:type="dxa"/>
        <w:tblLayout w:type="fixed"/>
        <w:tblCellMar>
          <w:left w:w="0" w:type="dxa"/>
          <w:right w:w="0" w:type="dxa"/>
        </w:tblCellMar>
        <w:tblLook w:val="0000" w:firstRow="0" w:lastRow="0" w:firstColumn="0" w:lastColumn="0" w:noHBand="0" w:noVBand="0"/>
      </w:tblPr>
      <w:tblGrid>
        <w:gridCol w:w="5387"/>
        <w:gridCol w:w="1139"/>
        <w:gridCol w:w="1559"/>
      </w:tblGrid>
      <w:tr w:rsidR="00404C5A" w:rsidRPr="00910DD1" w14:paraId="0D5C4CE5" w14:textId="77777777" w:rsidTr="001B6F83">
        <w:trPr>
          <w:cantSplit/>
          <w:tblHeader/>
        </w:trPr>
        <w:tc>
          <w:tcPr>
            <w:tcW w:w="5387" w:type="dxa"/>
            <w:tcBorders>
              <w:top w:val="single" w:sz="4" w:space="0" w:color="auto"/>
              <w:bottom w:val="single" w:sz="4" w:space="0" w:color="auto"/>
            </w:tcBorders>
            <w:shd w:val="clear" w:color="auto" w:fill="FFFFFF"/>
            <w:vAlign w:val="center"/>
          </w:tcPr>
          <w:p w14:paraId="4C6D144E" w14:textId="77777777" w:rsidR="00404C5A" w:rsidRPr="00910DD1" w:rsidRDefault="00404C5A" w:rsidP="00E47FE1">
            <w:pPr>
              <w:spacing w:after="0" w:line="480" w:lineRule="auto"/>
              <w:rPr>
                <w:rFonts w:ascii="Times New Roman" w:eastAsia="Times New Roman" w:hAnsi="Times New Roman" w:cs="Times New Roman"/>
                <w:b/>
              </w:rPr>
            </w:pPr>
            <w:r w:rsidRPr="00910DD1">
              <w:rPr>
                <w:rFonts w:ascii="Times New Roman" w:eastAsia="Times New Roman" w:hAnsi="Times New Roman" w:cs="Times New Roman"/>
                <w:b/>
              </w:rPr>
              <w:t>Criteria</w:t>
            </w:r>
          </w:p>
        </w:tc>
        <w:tc>
          <w:tcPr>
            <w:tcW w:w="1139" w:type="dxa"/>
            <w:tcBorders>
              <w:top w:val="single" w:sz="4" w:space="0" w:color="auto"/>
              <w:bottom w:val="single" w:sz="4" w:space="0" w:color="auto"/>
            </w:tcBorders>
            <w:shd w:val="clear" w:color="auto" w:fill="FFFFFF"/>
            <w:vAlign w:val="bottom"/>
          </w:tcPr>
          <w:p w14:paraId="0FB0CBDC" w14:textId="77777777" w:rsidR="00404C5A" w:rsidRPr="00910DD1" w:rsidRDefault="00404C5A" w:rsidP="00E47FE1">
            <w:pPr>
              <w:spacing w:after="0" w:line="480" w:lineRule="auto"/>
              <w:jc w:val="center"/>
              <w:rPr>
                <w:rFonts w:ascii="Times New Roman" w:eastAsia="Times New Roman" w:hAnsi="Times New Roman" w:cs="Times New Roman"/>
                <w:i/>
              </w:rPr>
            </w:pPr>
            <w:r w:rsidRPr="00910DD1">
              <w:rPr>
                <w:rFonts w:ascii="Times New Roman" w:eastAsia="Times New Roman" w:hAnsi="Times New Roman" w:cs="Times New Roman"/>
                <w:i/>
              </w:rPr>
              <w:t>Average weight</w:t>
            </w:r>
          </w:p>
        </w:tc>
        <w:tc>
          <w:tcPr>
            <w:tcW w:w="1559" w:type="dxa"/>
            <w:tcBorders>
              <w:top w:val="single" w:sz="4" w:space="0" w:color="auto"/>
              <w:bottom w:val="single" w:sz="4" w:space="0" w:color="auto"/>
            </w:tcBorders>
            <w:shd w:val="clear" w:color="auto" w:fill="FFFFFF"/>
            <w:vAlign w:val="bottom"/>
          </w:tcPr>
          <w:p w14:paraId="0C896109" w14:textId="604FF7F6"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bCs/>
                <w:i/>
              </w:rPr>
              <w:t>Importance value in per</w:t>
            </w:r>
            <w:r w:rsidR="00B50DDE">
              <w:rPr>
                <w:rFonts w:ascii="Times New Roman" w:eastAsia="Times New Roman" w:hAnsi="Times New Roman" w:cs="Times New Roman"/>
                <w:bCs/>
                <w:i/>
              </w:rPr>
              <w:t xml:space="preserve"> </w:t>
            </w:r>
            <w:r w:rsidRPr="00910DD1">
              <w:rPr>
                <w:rFonts w:ascii="Times New Roman" w:eastAsia="Times New Roman" w:hAnsi="Times New Roman" w:cs="Times New Roman"/>
                <w:bCs/>
                <w:i/>
              </w:rPr>
              <w:t>cent</w:t>
            </w:r>
          </w:p>
        </w:tc>
      </w:tr>
      <w:tr w:rsidR="00404C5A" w:rsidRPr="00910DD1" w14:paraId="401BB221" w14:textId="77777777" w:rsidTr="001B6F83">
        <w:trPr>
          <w:cantSplit/>
          <w:tblHeader/>
        </w:trPr>
        <w:tc>
          <w:tcPr>
            <w:tcW w:w="5387" w:type="dxa"/>
            <w:tcBorders>
              <w:top w:val="single" w:sz="4" w:space="0" w:color="auto"/>
            </w:tcBorders>
            <w:shd w:val="clear" w:color="auto" w:fill="FFFFFF"/>
          </w:tcPr>
          <w:p w14:paraId="28FEB0A1" w14:textId="60863AB4"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Environmental effectiveness</w:t>
            </w:r>
          </w:p>
        </w:tc>
        <w:tc>
          <w:tcPr>
            <w:tcW w:w="1139" w:type="dxa"/>
            <w:tcBorders>
              <w:top w:val="single" w:sz="4" w:space="0" w:color="auto"/>
            </w:tcBorders>
            <w:shd w:val="clear" w:color="auto" w:fill="FFFFFF"/>
          </w:tcPr>
          <w:p w14:paraId="4DCAD63F"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4.63</w:t>
            </w:r>
          </w:p>
        </w:tc>
        <w:tc>
          <w:tcPr>
            <w:tcW w:w="1559" w:type="dxa"/>
            <w:tcBorders>
              <w:top w:val="single" w:sz="4" w:space="0" w:color="auto"/>
            </w:tcBorders>
            <w:shd w:val="clear" w:color="auto" w:fill="FFFFFF"/>
          </w:tcPr>
          <w:p w14:paraId="798A0CD8"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92.6</w:t>
            </w:r>
          </w:p>
        </w:tc>
      </w:tr>
      <w:tr w:rsidR="00404C5A" w:rsidRPr="00910DD1" w14:paraId="7A3F5CC1" w14:textId="77777777" w:rsidTr="001B6F83">
        <w:trPr>
          <w:cantSplit/>
          <w:tblHeader/>
        </w:trPr>
        <w:tc>
          <w:tcPr>
            <w:tcW w:w="5387" w:type="dxa"/>
            <w:shd w:val="clear" w:color="auto" w:fill="FFFFFF"/>
          </w:tcPr>
          <w:p w14:paraId="018D78FA" w14:textId="1887071A"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Transparency</w:t>
            </w:r>
          </w:p>
        </w:tc>
        <w:tc>
          <w:tcPr>
            <w:tcW w:w="1139" w:type="dxa"/>
            <w:shd w:val="clear" w:color="auto" w:fill="FFFFFF"/>
          </w:tcPr>
          <w:p w14:paraId="2B66D242"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4.27</w:t>
            </w:r>
          </w:p>
        </w:tc>
        <w:tc>
          <w:tcPr>
            <w:tcW w:w="1559" w:type="dxa"/>
            <w:shd w:val="clear" w:color="auto" w:fill="FFFFFF"/>
          </w:tcPr>
          <w:p w14:paraId="229CF3BD"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85.4</w:t>
            </w:r>
          </w:p>
        </w:tc>
      </w:tr>
      <w:tr w:rsidR="00404C5A" w:rsidRPr="00910DD1" w14:paraId="6F574469" w14:textId="77777777" w:rsidTr="001B6F83">
        <w:trPr>
          <w:cantSplit/>
          <w:tblHeader/>
        </w:trPr>
        <w:tc>
          <w:tcPr>
            <w:tcW w:w="5387" w:type="dxa"/>
            <w:shd w:val="clear" w:color="auto" w:fill="FFFFFF"/>
          </w:tcPr>
          <w:p w14:paraId="6BD65E6B" w14:textId="0F281FA7"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Minimize rent-seeking</w:t>
            </w:r>
          </w:p>
        </w:tc>
        <w:tc>
          <w:tcPr>
            <w:tcW w:w="1139" w:type="dxa"/>
            <w:shd w:val="clear" w:color="auto" w:fill="FFFFFF"/>
          </w:tcPr>
          <w:p w14:paraId="19F132AC"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4.09</w:t>
            </w:r>
          </w:p>
        </w:tc>
        <w:tc>
          <w:tcPr>
            <w:tcW w:w="1559" w:type="dxa"/>
            <w:shd w:val="clear" w:color="auto" w:fill="FFFFFF"/>
          </w:tcPr>
          <w:p w14:paraId="5531B771"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81.8</w:t>
            </w:r>
          </w:p>
        </w:tc>
      </w:tr>
      <w:tr w:rsidR="00404C5A" w:rsidRPr="00910DD1" w14:paraId="0E0FDC52" w14:textId="77777777" w:rsidTr="001B6F83">
        <w:trPr>
          <w:cantSplit/>
          <w:tblHeader/>
        </w:trPr>
        <w:tc>
          <w:tcPr>
            <w:tcW w:w="5387" w:type="dxa"/>
            <w:shd w:val="clear" w:color="auto" w:fill="FFFFFF"/>
          </w:tcPr>
          <w:p w14:paraId="01E87299" w14:textId="11530DC8"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Correct price signal</w:t>
            </w:r>
          </w:p>
        </w:tc>
        <w:tc>
          <w:tcPr>
            <w:tcW w:w="1139" w:type="dxa"/>
            <w:shd w:val="clear" w:color="auto" w:fill="FFFFFF"/>
          </w:tcPr>
          <w:p w14:paraId="4D811433"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4.00</w:t>
            </w:r>
          </w:p>
        </w:tc>
        <w:tc>
          <w:tcPr>
            <w:tcW w:w="1559" w:type="dxa"/>
            <w:shd w:val="clear" w:color="auto" w:fill="FFFFFF"/>
          </w:tcPr>
          <w:p w14:paraId="6BF0C058"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80</w:t>
            </w:r>
          </w:p>
        </w:tc>
      </w:tr>
      <w:tr w:rsidR="00404C5A" w:rsidRPr="00910DD1" w14:paraId="6A92C63D" w14:textId="77777777" w:rsidTr="001B6F83">
        <w:trPr>
          <w:cantSplit/>
          <w:tblHeader/>
        </w:trPr>
        <w:tc>
          <w:tcPr>
            <w:tcW w:w="5387" w:type="dxa"/>
            <w:shd w:val="clear" w:color="auto" w:fill="FFFFFF"/>
          </w:tcPr>
          <w:p w14:paraId="1183DC15" w14:textId="3A446967"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Flexibility of the policy</w:t>
            </w:r>
          </w:p>
        </w:tc>
        <w:tc>
          <w:tcPr>
            <w:tcW w:w="1139" w:type="dxa"/>
            <w:shd w:val="clear" w:color="auto" w:fill="FFFFFF"/>
          </w:tcPr>
          <w:p w14:paraId="0A9EBE24"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3.90</w:t>
            </w:r>
          </w:p>
        </w:tc>
        <w:tc>
          <w:tcPr>
            <w:tcW w:w="1559" w:type="dxa"/>
            <w:shd w:val="clear" w:color="auto" w:fill="FFFFFF"/>
          </w:tcPr>
          <w:p w14:paraId="06F11A83"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78</w:t>
            </w:r>
          </w:p>
        </w:tc>
      </w:tr>
      <w:tr w:rsidR="00404C5A" w:rsidRPr="00910DD1" w14:paraId="69F76997" w14:textId="77777777" w:rsidTr="001B6F83">
        <w:trPr>
          <w:cantSplit/>
          <w:tblHeader/>
        </w:trPr>
        <w:tc>
          <w:tcPr>
            <w:tcW w:w="5387" w:type="dxa"/>
            <w:shd w:val="clear" w:color="auto" w:fill="FFFFFF"/>
          </w:tcPr>
          <w:p w14:paraId="1BCC0A46" w14:textId="6D8C73A6" w:rsidR="00404C5A" w:rsidRPr="00910DD1" w:rsidRDefault="00B50DDE" w:rsidP="00FC4E19">
            <w:pPr>
              <w:spacing w:after="0" w:line="480" w:lineRule="auto"/>
              <w:rPr>
                <w:rFonts w:ascii="Times New Roman" w:eastAsia="Times New Roman" w:hAnsi="Times New Roman" w:cs="Times New Roman"/>
              </w:rPr>
            </w:pPr>
            <w:r w:rsidRPr="00910DD1">
              <w:rPr>
                <w:rFonts w:ascii="Times New Roman" w:eastAsia="Times New Roman" w:hAnsi="Times New Roman" w:cs="Times New Roman"/>
                <w:bCs/>
              </w:rPr>
              <w:t>Minimi</w:t>
            </w:r>
            <w:r>
              <w:rPr>
                <w:rFonts w:ascii="Times New Roman" w:eastAsia="Times New Roman" w:hAnsi="Times New Roman" w:cs="Times New Roman"/>
                <w:bCs/>
              </w:rPr>
              <w:t>z</w:t>
            </w:r>
            <w:r w:rsidRPr="00910DD1">
              <w:rPr>
                <w:rFonts w:ascii="Times New Roman" w:eastAsia="Times New Roman" w:hAnsi="Times New Roman" w:cs="Times New Roman"/>
                <w:bCs/>
              </w:rPr>
              <w:t xml:space="preserve">e </w:t>
            </w:r>
            <w:r w:rsidR="00404C5A" w:rsidRPr="00910DD1">
              <w:rPr>
                <w:rFonts w:ascii="Times New Roman" w:eastAsia="Times New Roman" w:hAnsi="Times New Roman" w:cs="Times New Roman"/>
                <w:bCs/>
              </w:rPr>
              <w:t>GHG emissions leakage</w:t>
            </w:r>
          </w:p>
        </w:tc>
        <w:tc>
          <w:tcPr>
            <w:tcW w:w="1139" w:type="dxa"/>
            <w:shd w:val="clear" w:color="auto" w:fill="FFFFFF"/>
          </w:tcPr>
          <w:p w14:paraId="7DB2D96C"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3.81</w:t>
            </w:r>
          </w:p>
        </w:tc>
        <w:tc>
          <w:tcPr>
            <w:tcW w:w="1559" w:type="dxa"/>
            <w:shd w:val="clear" w:color="auto" w:fill="FFFFFF"/>
          </w:tcPr>
          <w:p w14:paraId="514BF4B3"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76.2</w:t>
            </w:r>
          </w:p>
        </w:tc>
      </w:tr>
      <w:tr w:rsidR="00404C5A" w:rsidRPr="00910DD1" w14:paraId="0ADC45DD" w14:textId="77777777" w:rsidTr="001B6F83">
        <w:trPr>
          <w:cantSplit/>
          <w:tblHeader/>
        </w:trPr>
        <w:tc>
          <w:tcPr>
            <w:tcW w:w="5387" w:type="dxa"/>
            <w:shd w:val="clear" w:color="auto" w:fill="FFFFFF"/>
          </w:tcPr>
          <w:p w14:paraId="539ABBA4" w14:textId="77777777"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Public acceptability</w:t>
            </w:r>
          </w:p>
        </w:tc>
        <w:tc>
          <w:tcPr>
            <w:tcW w:w="1139" w:type="dxa"/>
            <w:shd w:val="clear" w:color="auto" w:fill="FFFFFF"/>
          </w:tcPr>
          <w:p w14:paraId="721D7118"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3.54</w:t>
            </w:r>
          </w:p>
        </w:tc>
        <w:tc>
          <w:tcPr>
            <w:tcW w:w="1559" w:type="dxa"/>
            <w:shd w:val="clear" w:color="auto" w:fill="FFFFFF"/>
          </w:tcPr>
          <w:p w14:paraId="6E88A2D9"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70.8</w:t>
            </w:r>
          </w:p>
        </w:tc>
      </w:tr>
      <w:tr w:rsidR="00404C5A" w:rsidRPr="00910DD1" w14:paraId="364C2844" w14:textId="77777777" w:rsidTr="001B6F83">
        <w:trPr>
          <w:cantSplit/>
          <w:tblHeader/>
        </w:trPr>
        <w:tc>
          <w:tcPr>
            <w:tcW w:w="5387" w:type="dxa"/>
            <w:shd w:val="clear" w:color="auto" w:fill="FFFFFF"/>
          </w:tcPr>
          <w:p w14:paraId="3F70D978" w14:textId="1789A0F9"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Political acceptability/feasibility</w:t>
            </w:r>
          </w:p>
        </w:tc>
        <w:tc>
          <w:tcPr>
            <w:tcW w:w="1139" w:type="dxa"/>
            <w:shd w:val="clear" w:color="auto" w:fill="FFFFFF"/>
          </w:tcPr>
          <w:p w14:paraId="6753B48C"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3.45</w:t>
            </w:r>
          </w:p>
        </w:tc>
        <w:tc>
          <w:tcPr>
            <w:tcW w:w="1559" w:type="dxa"/>
            <w:shd w:val="clear" w:color="auto" w:fill="FFFFFF"/>
          </w:tcPr>
          <w:p w14:paraId="1142448A"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69</w:t>
            </w:r>
          </w:p>
        </w:tc>
      </w:tr>
      <w:tr w:rsidR="00404C5A" w:rsidRPr="00910DD1" w14:paraId="251531F0" w14:textId="77777777" w:rsidTr="001B6F83">
        <w:trPr>
          <w:cantSplit/>
          <w:tblHeader/>
        </w:trPr>
        <w:tc>
          <w:tcPr>
            <w:tcW w:w="5387" w:type="dxa"/>
            <w:shd w:val="clear" w:color="auto" w:fill="FFFFFF"/>
          </w:tcPr>
          <w:p w14:paraId="22B19325" w14:textId="15F1413C"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Predictability/regulatory certainty</w:t>
            </w:r>
          </w:p>
        </w:tc>
        <w:tc>
          <w:tcPr>
            <w:tcW w:w="1139" w:type="dxa"/>
            <w:shd w:val="clear" w:color="auto" w:fill="FFFFFF"/>
          </w:tcPr>
          <w:p w14:paraId="1166AF23"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3.45</w:t>
            </w:r>
          </w:p>
        </w:tc>
        <w:tc>
          <w:tcPr>
            <w:tcW w:w="1559" w:type="dxa"/>
            <w:shd w:val="clear" w:color="auto" w:fill="FFFFFF"/>
          </w:tcPr>
          <w:p w14:paraId="2B598A23"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69</w:t>
            </w:r>
          </w:p>
        </w:tc>
      </w:tr>
      <w:tr w:rsidR="00404C5A" w:rsidRPr="00910DD1" w14:paraId="5FB77F31" w14:textId="77777777" w:rsidTr="001B6F83">
        <w:trPr>
          <w:cantSplit/>
          <w:tblHeader/>
        </w:trPr>
        <w:tc>
          <w:tcPr>
            <w:tcW w:w="5387" w:type="dxa"/>
            <w:shd w:val="clear" w:color="auto" w:fill="FFFFFF"/>
          </w:tcPr>
          <w:p w14:paraId="39299A22" w14:textId="636046EE"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bCs/>
              </w:rPr>
              <w:t>Polluter pays principle</w:t>
            </w:r>
          </w:p>
        </w:tc>
        <w:tc>
          <w:tcPr>
            <w:tcW w:w="1139" w:type="dxa"/>
            <w:shd w:val="clear" w:color="auto" w:fill="FFFFFF"/>
          </w:tcPr>
          <w:p w14:paraId="0C0ACAF1"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3.45</w:t>
            </w:r>
          </w:p>
        </w:tc>
        <w:tc>
          <w:tcPr>
            <w:tcW w:w="1559" w:type="dxa"/>
            <w:shd w:val="clear" w:color="auto" w:fill="FFFFFF"/>
          </w:tcPr>
          <w:p w14:paraId="1518490F"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69</w:t>
            </w:r>
          </w:p>
        </w:tc>
      </w:tr>
      <w:tr w:rsidR="00404C5A" w:rsidRPr="00910DD1" w14:paraId="456F2CFB" w14:textId="77777777" w:rsidTr="001B6F83">
        <w:trPr>
          <w:cantSplit/>
          <w:tblHeader/>
        </w:trPr>
        <w:tc>
          <w:tcPr>
            <w:tcW w:w="5387" w:type="dxa"/>
            <w:shd w:val="clear" w:color="auto" w:fill="FFFFFF"/>
          </w:tcPr>
          <w:p w14:paraId="1D97643A" w14:textId="7F8DF1C6"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Effect on technology development</w:t>
            </w:r>
          </w:p>
        </w:tc>
        <w:tc>
          <w:tcPr>
            <w:tcW w:w="1139" w:type="dxa"/>
            <w:shd w:val="clear" w:color="auto" w:fill="FFFFFF"/>
          </w:tcPr>
          <w:p w14:paraId="53ECCE59"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3.36</w:t>
            </w:r>
          </w:p>
        </w:tc>
        <w:tc>
          <w:tcPr>
            <w:tcW w:w="1559" w:type="dxa"/>
            <w:shd w:val="clear" w:color="auto" w:fill="FFFFFF"/>
          </w:tcPr>
          <w:p w14:paraId="3EB51EE6"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67.2</w:t>
            </w:r>
          </w:p>
        </w:tc>
      </w:tr>
      <w:tr w:rsidR="00404C5A" w:rsidRPr="00910DD1" w14:paraId="0D353ADE" w14:textId="77777777" w:rsidTr="001B6F83">
        <w:trPr>
          <w:cantSplit/>
          <w:tblHeader/>
        </w:trPr>
        <w:tc>
          <w:tcPr>
            <w:tcW w:w="5387" w:type="dxa"/>
            <w:shd w:val="clear" w:color="auto" w:fill="FFFFFF"/>
          </w:tcPr>
          <w:p w14:paraId="551D6157" w14:textId="0381268E"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Cost-effectiveness</w:t>
            </w:r>
          </w:p>
        </w:tc>
        <w:tc>
          <w:tcPr>
            <w:tcW w:w="1139" w:type="dxa"/>
            <w:shd w:val="clear" w:color="auto" w:fill="FFFFFF"/>
          </w:tcPr>
          <w:p w14:paraId="632C1D5F"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3.27</w:t>
            </w:r>
          </w:p>
        </w:tc>
        <w:tc>
          <w:tcPr>
            <w:tcW w:w="1559" w:type="dxa"/>
            <w:shd w:val="clear" w:color="auto" w:fill="FFFFFF"/>
          </w:tcPr>
          <w:p w14:paraId="2E6FAC64"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65.4</w:t>
            </w:r>
          </w:p>
        </w:tc>
      </w:tr>
      <w:tr w:rsidR="00404C5A" w:rsidRPr="00910DD1" w14:paraId="32660D0C" w14:textId="77777777" w:rsidTr="001B6F83">
        <w:trPr>
          <w:cantSplit/>
          <w:tblHeader/>
        </w:trPr>
        <w:tc>
          <w:tcPr>
            <w:tcW w:w="5387" w:type="dxa"/>
            <w:shd w:val="clear" w:color="auto" w:fill="FFFFFF"/>
          </w:tcPr>
          <w:p w14:paraId="4E201583" w14:textId="77777777"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lastRenderedPageBreak/>
              <w:t>Distribution of benefits and costs across generations</w:t>
            </w:r>
          </w:p>
        </w:tc>
        <w:tc>
          <w:tcPr>
            <w:tcW w:w="1139" w:type="dxa"/>
            <w:shd w:val="clear" w:color="auto" w:fill="FFFFFF"/>
          </w:tcPr>
          <w:p w14:paraId="3FE62BA4"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3.27</w:t>
            </w:r>
          </w:p>
        </w:tc>
        <w:tc>
          <w:tcPr>
            <w:tcW w:w="1559" w:type="dxa"/>
            <w:shd w:val="clear" w:color="auto" w:fill="FFFFFF"/>
          </w:tcPr>
          <w:p w14:paraId="7C24FF60"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65.4</w:t>
            </w:r>
          </w:p>
        </w:tc>
      </w:tr>
      <w:tr w:rsidR="00404C5A" w:rsidRPr="00910DD1" w14:paraId="66FF8E57" w14:textId="77777777" w:rsidTr="001B6F83">
        <w:trPr>
          <w:cantSplit/>
          <w:tblHeader/>
        </w:trPr>
        <w:tc>
          <w:tcPr>
            <w:tcW w:w="5387" w:type="dxa"/>
            <w:shd w:val="clear" w:color="auto" w:fill="FFFFFF"/>
          </w:tcPr>
          <w:p w14:paraId="100F52EA" w14:textId="0CB0BF2D"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Compliance costs</w:t>
            </w:r>
          </w:p>
        </w:tc>
        <w:tc>
          <w:tcPr>
            <w:tcW w:w="1139" w:type="dxa"/>
            <w:shd w:val="clear" w:color="auto" w:fill="FFFFFF"/>
          </w:tcPr>
          <w:p w14:paraId="36EC8E69"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3.09</w:t>
            </w:r>
          </w:p>
        </w:tc>
        <w:tc>
          <w:tcPr>
            <w:tcW w:w="1559" w:type="dxa"/>
            <w:shd w:val="clear" w:color="auto" w:fill="FFFFFF"/>
          </w:tcPr>
          <w:p w14:paraId="2C201CD9"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61.8</w:t>
            </w:r>
          </w:p>
        </w:tc>
      </w:tr>
      <w:tr w:rsidR="00404C5A" w:rsidRPr="00910DD1" w14:paraId="180EB1F2" w14:textId="77777777" w:rsidTr="001B6F83">
        <w:trPr>
          <w:cantSplit/>
          <w:tblHeader/>
        </w:trPr>
        <w:tc>
          <w:tcPr>
            <w:tcW w:w="5387" w:type="dxa"/>
            <w:shd w:val="clear" w:color="auto" w:fill="FFFFFF"/>
          </w:tcPr>
          <w:p w14:paraId="750493D1" w14:textId="73A2CD8D"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Distribution of benefits and costs across income groups</w:t>
            </w:r>
          </w:p>
        </w:tc>
        <w:tc>
          <w:tcPr>
            <w:tcW w:w="1139" w:type="dxa"/>
            <w:shd w:val="clear" w:color="auto" w:fill="FFFFFF"/>
          </w:tcPr>
          <w:p w14:paraId="4BA7AE90"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3.00</w:t>
            </w:r>
          </w:p>
        </w:tc>
        <w:tc>
          <w:tcPr>
            <w:tcW w:w="1559" w:type="dxa"/>
            <w:shd w:val="clear" w:color="auto" w:fill="FFFFFF"/>
          </w:tcPr>
          <w:p w14:paraId="7AE0AB0B"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60</w:t>
            </w:r>
          </w:p>
        </w:tc>
      </w:tr>
      <w:tr w:rsidR="00404C5A" w:rsidRPr="00910DD1" w14:paraId="1CBB3CE9" w14:textId="77777777" w:rsidTr="001B6F83">
        <w:trPr>
          <w:cantSplit/>
          <w:tblHeader/>
        </w:trPr>
        <w:tc>
          <w:tcPr>
            <w:tcW w:w="5387" w:type="dxa"/>
            <w:shd w:val="clear" w:color="auto" w:fill="FFFFFF"/>
          </w:tcPr>
          <w:p w14:paraId="06CD4897" w14:textId="47B4A0DE"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Competitiveness issues</w:t>
            </w:r>
          </w:p>
        </w:tc>
        <w:tc>
          <w:tcPr>
            <w:tcW w:w="1139" w:type="dxa"/>
            <w:shd w:val="clear" w:color="auto" w:fill="FFFFFF"/>
          </w:tcPr>
          <w:p w14:paraId="0C667AC3"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2.45</w:t>
            </w:r>
          </w:p>
        </w:tc>
        <w:tc>
          <w:tcPr>
            <w:tcW w:w="1559" w:type="dxa"/>
            <w:shd w:val="clear" w:color="auto" w:fill="FFFFFF"/>
          </w:tcPr>
          <w:p w14:paraId="52803D44"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49</w:t>
            </w:r>
          </w:p>
        </w:tc>
      </w:tr>
      <w:tr w:rsidR="00404C5A" w:rsidRPr="00910DD1" w14:paraId="624F794D" w14:textId="77777777" w:rsidTr="001B6F83">
        <w:trPr>
          <w:cantSplit/>
          <w:tblHeader/>
        </w:trPr>
        <w:tc>
          <w:tcPr>
            <w:tcW w:w="5387" w:type="dxa"/>
            <w:shd w:val="clear" w:color="auto" w:fill="FFFFFF"/>
          </w:tcPr>
          <w:p w14:paraId="561C7D00" w14:textId="77777777" w:rsidR="00404C5A" w:rsidRPr="00910DD1" w:rsidRDefault="00404C5A" w:rsidP="00E47FE1">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Administrative costs</w:t>
            </w:r>
          </w:p>
        </w:tc>
        <w:tc>
          <w:tcPr>
            <w:tcW w:w="1139" w:type="dxa"/>
            <w:shd w:val="clear" w:color="auto" w:fill="FFFFFF"/>
          </w:tcPr>
          <w:p w14:paraId="1DF45859"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2.45</w:t>
            </w:r>
          </w:p>
        </w:tc>
        <w:tc>
          <w:tcPr>
            <w:tcW w:w="1559" w:type="dxa"/>
            <w:shd w:val="clear" w:color="auto" w:fill="FFFFFF"/>
          </w:tcPr>
          <w:p w14:paraId="41EDFEA9"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49</w:t>
            </w:r>
          </w:p>
        </w:tc>
      </w:tr>
      <w:tr w:rsidR="00404C5A" w:rsidRPr="00910DD1" w14:paraId="18F2AB93" w14:textId="77777777" w:rsidTr="001B6F83">
        <w:trPr>
          <w:cantSplit/>
          <w:tblHeader/>
        </w:trPr>
        <w:tc>
          <w:tcPr>
            <w:tcW w:w="5387" w:type="dxa"/>
            <w:tcBorders>
              <w:bottom w:val="single" w:sz="4" w:space="0" w:color="auto"/>
            </w:tcBorders>
            <w:shd w:val="clear" w:color="auto" w:fill="FFFFFF"/>
          </w:tcPr>
          <w:p w14:paraId="1DED6BFF" w14:textId="5CA1B7EC" w:rsidR="00404C5A" w:rsidRPr="00910DD1" w:rsidRDefault="00404C5A" w:rsidP="00FC4E19">
            <w:pPr>
              <w:spacing w:after="0" w:line="480" w:lineRule="auto"/>
              <w:rPr>
                <w:rFonts w:ascii="Times New Roman" w:eastAsia="Times New Roman" w:hAnsi="Times New Roman" w:cs="Times New Roman"/>
              </w:rPr>
            </w:pPr>
            <w:r w:rsidRPr="00910DD1">
              <w:rPr>
                <w:rFonts w:ascii="Times New Roman" w:eastAsia="Times New Roman" w:hAnsi="Times New Roman" w:cs="Times New Roman"/>
              </w:rPr>
              <w:t xml:space="preserve">International </w:t>
            </w:r>
            <w:r w:rsidR="00B50DDE" w:rsidRPr="00910DD1">
              <w:rPr>
                <w:rFonts w:ascii="Times New Roman" w:eastAsia="Times New Roman" w:hAnsi="Times New Roman" w:cs="Times New Roman"/>
              </w:rPr>
              <w:t>harmoni</w:t>
            </w:r>
            <w:r w:rsidR="00B50DDE">
              <w:rPr>
                <w:rFonts w:ascii="Times New Roman" w:eastAsia="Times New Roman" w:hAnsi="Times New Roman" w:cs="Times New Roman"/>
              </w:rPr>
              <w:t>z</w:t>
            </w:r>
            <w:r w:rsidR="00B50DDE" w:rsidRPr="00910DD1">
              <w:rPr>
                <w:rFonts w:ascii="Times New Roman" w:eastAsia="Times New Roman" w:hAnsi="Times New Roman" w:cs="Times New Roman"/>
              </w:rPr>
              <w:t>ation</w:t>
            </w:r>
          </w:p>
        </w:tc>
        <w:tc>
          <w:tcPr>
            <w:tcW w:w="1139" w:type="dxa"/>
            <w:tcBorders>
              <w:bottom w:val="single" w:sz="4" w:space="0" w:color="auto"/>
            </w:tcBorders>
            <w:shd w:val="clear" w:color="auto" w:fill="FFFFFF"/>
          </w:tcPr>
          <w:p w14:paraId="3854D421"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2.36</w:t>
            </w:r>
          </w:p>
        </w:tc>
        <w:tc>
          <w:tcPr>
            <w:tcW w:w="1559" w:type="dxa"/>
            <w:tcBorders>
              <w:bottom w:val="single" w:sz="4" w:space="0" w:color="auto"/>
            </w:tcBorders>
            <w:shd w:val="clear" w:color="auto" w:fill="FFFFFF"/>
          </w:tcPr>
          <w:p w14:paraId="295ABC33" w14:textId="77777777" w:rsidR="00404C5A" w:rsidRPr="00910DD1" w:rsidRDefault="00404C5A" w:rsidP="00E47FE1">
            <w:pPr>
              <w:spacing w:after="0" w:line="480" w:lineRule="auto"/>
              <w:jc w:val="center"/>
              <w:rPr>
                <w:rFonts w:ascii="Times New Roman" w:eastAsia="Times New Roman" w:hAnsi="Times New Roman" w:cs="Times New Roman"/>
              </w:rPr>
            </w:pPr>
            <w:r w:rsidRPr="00910DD1">
              <w:rPr>
                <w:rFonts w:ascii="Times New Roman" w:eastAsia="Times New Roman" w:hAnsi="Times New Roman" w:cs="Times New Roman"/>
              </w:rPr>
              <w:t>47.2</w:t>
            </w:r>
          </w:p>
        </w:tc>
      </w:tr>
    </w:tbl>
    <w:p w14:paraId="453CEA17" w14:textId="77777777" w:rsidR="00B50DDE" w:rsidRDefault="00B50DDE" w:rsidP="00E47FE1">
      <w:pPr>
        <w:spacing w:after="0" w:line="480" w:lineRule="auto"/>
        <w:rPr>
          <w:rFonts w:ascii="Times New Roman" w:hAnsi="Times New Roman" w:cs="Times New Roman"/>
          <w:lang w:eastAsia="en-AU"/>
        </w:rPr>
      </w:pPr>
    </w:p>
    <w:p w14:paraId="30ACDEF9" w14:textId="4319C30F" w:rsidR="00404C5A" w:rsidRPr="001B6F83" w:rsidRDefault="00404C5A" w:rsidP="00E47FE1">
      <w:pPr>
        <w:spacing w:after="0" w:line="480" w:lineRule="auto"/>
        <w:rPr>
          <w:rFonts w:ascii="Times New Roman" w:hAnsi="Times New Roman" w:cs="Times New Roman"/>
          <w:sz w:val="18"/>
          <w:lang w:eastAsia="en-AU"/>
        </w:rPr>
      </w:pPr>
      <w:r w:rsidRPr="001B6F83">
        <w:rPr>
          <w:rFonts w:ascii="Times New Roman" w:hAnsi="Times New Roman" w:cs="Times New Roman"/>
          <w:i/>
          <w:sz w:val="18"/>
          <w:lang w:eastAsia="en-AU"/>
        </w:rPr>
        <w:t>Source</w:t>
      </w:r>
      <w:r w:rsidRPr="001B6F83">
        <w:rPr>
          <w:rFonts w:ascii="Times New Roman" w:hAnsi="Times New Roman" w:cs="Times New Roman"/>
          <w:sz w:val="18"/>
          <w:lang w:eastAsia="en-AU"/>
        </w:rPr>
        <w:t xml:space="preserve">: Evgeny Guglyuvatyy, Assessing carbon tax and emissions trading as policy options for climate change mitigation in Australia. PhD Thesis </w:t>
      </w:r>
      <w:proofErr w:type="gramStart"/>
      <w:r w:rsidRPr="001B6F83">
        <w:rPr>
          <w:rFonts w:ascii="Times New Roman" w:hAnsi="Times New Roman" w:cs="Times New Roman"/>
          <w:sz w:val="18"/>
          <w:lang w:eastAsia="en-AU"/>
        </w:rPr>
        <w:t>The</w:t>
      </w:r>
      <w:proofErr w:type="gramEnd"/>
      <w:r w:rsidRPr="001B6F83">
        <w:rPr>
          <w:rFonts w:ascii="Times New Roman" w:hAnsi="Times New Roman" w:cs="Times New Roman"/>
          <w:sz w:val="18"/>
          <w:lang w:eastAsia="en-AU"/>
        </w:rPr>
        <w:t xml:space="preserve"> University of New South Wales, 2011.</w:t>
      </w:r>
    </w:p>
    <w:p w14:paraId="72F2D59D" w14:textId="4E5CE69F" w:rsidR="00DA6E5A" w:rsidRDefault="00DA6E5A" w:rsidP="00E47FE1">
      <w:pPr>
        <w:spacing w:after="0" w:line="480" w:lineRule="auto"/>
        <w:rPr>
          <w:rFonts w:ascii="Times New Roman" w:hAnsi="Times New Roman" w:cs="Times New Roman"/>
        </w:rPr>
      </w:pPr>
    </w:p>
    <w:p w14:paraId="68F9DC19" w14:textId="5D08493C" w:rsidR="00404C5A" w:rsidRPr="00910DD1" w:rsidRDefault="00404C5A" w:rsidP="001B6F83">
      <w:pPr>
        <w:spacing w:after="0" w:line="480" w:lineRule="auto"/>
        <w:ind w:firstLine="360"/>
        <w:rPr>
          <w:rFonts w:ascii="Times New Roman" w:hAnsi="Times New Roman" w:cs="Times New Roman"/>
          <w:color w:val="000000"/>
        </w:rPr>
      </w:pPr>
      <w:r w:rsidRPr="00910DD1">
        <w:rPr>
          <w:rFonts w:ascii="Times New Roman" w:hAnsi="Times New Roman" w:cs="Times New Roman"/>
        </w:rPr>
        <w:t>T</w:t>
      </w:r>
      <w:r w:rsidRPr="00910DD1">
        <w:rPr>
          <w:rFonts w:ascii="Times New Roman" w:hAnsi="Times New Roman" w:cs="Times New Roman"/>
          <w:color w:val="000000"/>
        </w:rPr>
        <w:t xml:space="preserve">he results of the Delphi method, applied in the </w:t>
      </w:r>
      <w:r w:rsidRPr="00910DD1">
        <w:rPr>
          <w:rFonts w:ascii="Times New Roman" w:hAnsi="Times New Roman" w:cs="Times New Roman"/>
        </w:rPr>
        <w:t>Guglyuvatyy</w:t>
      </w:r>
      <w:r w:rsidRPr="00910DD1">
        <w:rPr>
          <w:rFonts w:ascii="Times New Roman" w:hAnsi="Times New Roman" w:cs="Times New Roman"/>
          <w:color w:val="000000"/>
        </w:rPr>
        <w:t xml:space="preserve"> study, demonstrate that </w:t>
      </w:r>
      <w:r w:rsidRPr="00910DD1">
        <w:rPr>
          <w:rFonts w:ascii="Times New Roman" w:hAnsi="Times New Roman" w:cs="Times New Roman"/>
          <w:lang w:eastAsia="en-AU"/>
        </w:rPr>
        <w:t xml:space="preserve">the main point of agreement was that </w:t>
      </w:r>
      <w:r w:rsidRPr="00910DD1">
        <w:rPr>
          <w:rFonts w:ascii="Times New Roman" w:hAnsi="Times New Roman" w:cs="Times New Roman"/>
          <w:color w:val="000000"/>
        </w:rPr>
        <w:t xml:space="preserve">the criteria identified by this study are valid and essential for climate change policy evaluation in the Australian context. The experts agreed </w:t>
      </w:r>
      <w:r w:rsidRPr="00910DD1">
        <w:rPr>
          <w:rFonts w:ascii="Times New Roman" w:hAnsi="Times New Roman" w:cs="Times New Roman"/>
        </w:rPr>
        <w:t>that</w:t>
      </w:r>
      <w:r w:rsidRPr="00910DD1">
        <w:rPr>
          <w:rFonts w:ascii="Times New Roman" w:hAnsi="Times New Roman" w:cs="Times New Roman"/>
          <w:color w:val="000000"/>
        </w:rPr>
        <w:t xml:space="preserve"> environmental effectiveness is a principal criterion confirming that GHG reduction is the primary aim for a climate change policy. Overall, the Delphi approach employed by </w:t>
      </w:r>
      <w:r w:rsidRPr="00910DD1">
        <w:rPr>
          <w:rFonts w:ascii="Times New Roman" w:hAnsi="Times New Roman" w:cs="Times New Roman"/>
        </w:rPr>
        <w:t>Guglyuvatyy</w:t>
      </w:r>
      <w:r w:rsidRPr="00910DD1">
        <w:rPr>
          <w:rFonts w:ascii="Times New Roman" w:hAnsi="Times New Roman" w:cs="Times New Roman"/>
          <w:color w:val="000000"/>
        </w:rPr>
        <w:t xml:space="preserve"> enabled the obtaining of reliable and methodically justified weightings for climate change evaluation criteria.</w:t>
      </w:r>
    </w:p>
    <w:p w14:paraId="547D92DB" w14:textId="77777777" w:rsidR="00404C5A" w:rsidRPr="00910DD1" w:rsidRDefault="00404C5A" w:rsidP="00E47FE1">
      <w:pPr>
        <w:spacing w:after="0" w:line="480" w:lineRule="auto"/>
        <w:rPr>
          <w:rFonts w:ascii="Times New Roman" w:hAnsi="Times New Roman" w:cs="Times New Roman"/>
          <w:lang w:eastAsia="en-AU"/>
        </w:rPr>
      </w:pPr>
    </w:p>
    <w:p w14:paraId="7077CB59" w14:textId="74A22751" w:rsidR="00404C5A" w:rsidRPr="001B6F83" w:rsidRDefault="00B50DDE" w:rsidP="001B6F83">
      <w:pPr>
        <w:spacing w:after="0" w:line="480" w:lineRule="auto"/>
        <w:rPr>
          <w:rFonts w:ascii="Times New Roman" w:hAnsi="Times New Roman" w:cs="Times New Roman"/>
          <w:b/>
          <w:sz w:val="20"/>
        </w:rPr>
      </w:pPr>
      <w:r w:rsidRPr="001B6F83">
        <w:rPr>
          <w:rFonts w:ascii="Times New Roman" w:hAnsi="Times New Roman" w:cs="Times New Roman"/>
          <w:b/>
          <w:sz w:val="20"/>
        </w:rPr>
        <w:t>&lt;B&gt;</w:t>
      </w:r>
      <w:r w:rsidR="00404C5A" w:rsidRPr="001B6F83">
        <w:rPr>
          <w:rFonts w:ascii="Times New Roman" w:hAnsi="Times New Roman" w:cs="Times New Roman"/>
          <w:b/>
          <w:sz w:val="20"/>
        </w:rPr>
        <w:t>Current Australian Developments</w:t>
      </w:r>
    </w:p>
    <w:p w14:paraId="0BCB468A" w14:textId="77777777" w:rsidR="00B50DDE" w:rsidRDefault="00B50DDE" w:rsidP="00E47FE1">
      <w:pPr>
        <w:spacing w:after="0" w:line="480" w:lineRule="auto"/>
        <w:rPr>
          <w:rFonts w:ascii="Times New Roman" w:hAnsi="Times New Roman" w:cs="Times New Roman"/>
        </w:rPr>
      </w:pPr>
    </w:p>
    <w:p w14:paraId="3EC115D6" w14:textId="1F1FCB8D" w:rsidR="00404C5A" w:rsidRPr="00910DD1" w:rsidRDefault="00404C5A" w:rsidP="00E47FE1">
      <w:pPr>
        <w:spacing w:after="0" w:line="480" w:lineRule="auto"/>
        <w:rPr>
          <w:rFonts w:ascii="Times New Roman" w:hAnsi="Times New Roman" w:cs="Times New Roman"/>
        </w:rPr>
      </w:pPr>
      <w:r w:rsidRPr="00910DD1">
        <w:rPr>
          <w:rFonts w:ascii="Times New Roman" w:hAnsi="Times New Roman" w:cs="Times New Roman"/>
        </w:rPr>
        <w:t xml:space="preserve">The results of the study discussed in the previous section deliver the set of criteria which are comparable </w:t>
      </w:r>
      <w:r w:rsidR="00B50DDE">
        <w:rPr>
          <w:rFonts w:ascii="Times New Roman" w:hAnsi="Times New Roman" w:cs="Times New Roman"/>
        </w:rPr>
        <w:t>with</w:t>
      </w:r>
      <w:r w:rsidR="00B50DDE" w:rsidRPr="00910DD1">
        <w:rPr>
          <w:rFonts w:ascii="Times New Roman" w:hAnsi="Times New Roman" w:cs="Times New Roman"/>
        </w:rPr>
        <w:t xml:space="preserve"> </w:t>
      </w:r>
      <w:r w:rsidRPr="00910DD1">
        <w:rPr>
          <w:rFonts w:ascii="Times New Roman" w:hAnsi="Times New Roman" w:cs="Times New Roman"/>
        </w:rPr>
        <w:t>the criteria designated by the Multi-Party Climate Change Committee with some important differences. Moreover, the discussed Delphi study confirmed the validity of the proposed criteria and comparative importance of those criteria for climate change policy evaluation. As mentioned in the above section, the Delphi experts agreed that the three principal criteria are non-economic signif</w:t>
      </w:r>
      <w:r w:rsidR="00B50DDE">
        <w:rPr>
          <w:rFonts w:ascii="Times New Roman" w:hAnsi="Times New Roman" w:cs="Times New Roman"/>
        </w:rPr>
        <w:t>y</w:t>
      </w:r>
      <w:r w:rsidRPr="00910DD1">
        <w:rPr>
          <w:rFonts w:ascii="Times New Roman" w:hAnsi="Times New Roman" w:cs="Times New Roman"/>
        </w:rPr>
        <w:t xml:space="preserve">ing the equity characteristics of a climate change policy. Importantly, the ‘transparency’ and ‘minimising rent-seeking’ criteria do not even appear in the list of principles considered by the Multi-Party Climate Change Committee. Conversely, the competitiveness issues, administrative costs and international </w:t>
      </w:r>
      <w:r w:rsidR="00B50DDE" w:rsidRPr="00910DD1">
        <w:rPr>
          <w:rFonts w:ascii="Times New Roman" w:hAnsi="Times New Roman" w:cs="Times New Roman"/>
        </w:rPr>
        <w:t>harmoni</w:t>
      </w:r>
      <w:r w:rsidR="00B50DDE">
        <w:rPr>
          <w:rFonts w:ascii="Times New Roman" w:hAnsi="Times New Roman" w:cs="Times New Roman"/>
        </w:rPr>
        <w:t>z</w:t>
      </w:r>
      <w:r w:rsidR="00B50DDE" w:rsidRPr="00910DD1">
        <w:rPr>
          <w:rFonts w:ascii="Times New Roman" w:hAnsi="Times New Roman" w:cs="Times New Roman"/>
        </w:rPr>
        <w:t xml:space="preserve">ation </w:t>
      </w:r>
      <w:r w:rsidRPr="00910DD1">
        <w:rPr>
          <w:rFonts w:ascii="Times New Roman" w:hAnsi="Times New Roman" w:cs="Times New Roman"/>
        </w:rPr>
        <w:t>criteria while appearing in the 11 principles espoused by the Committee, were assessed as least important in the Guglyuvatyy Delphi study.</w:t>
      </w:r>
    </w:p>
    <w:p w14:paraId="106F7A01" w14:textId="2D88321F" w:rsidR="00404C5A" w:rsidRPr="00910DD1" w:rsidRDefault="00404C5A" w:rsidP="001B6F83">
      <w:pPr>
        <w:spacing w:after="0" w:line="480" w:lineRule="auto"/>
        <w:ind w:firstLine="720"/>
        <w:rPr>
          <w:rFonts w:ascii="Times New Roman" w:hAnsi="Times New Roman" w:cs="Times New Roman"/>
        </w:rPr>
      </w:pPr>
      <w:r w:rsidRPr="00910DD1">
        <w:rPr>
          <w:rFonts w:ascii="Times New Roman" w:hAnsi="Times New Roman" w:cs="Times New Roman"/>
        </w:rPr>
        <w:lastRenderedPageBreak/>
        <w:t xml:space="preserve">The criteria </w:t>
      </w:r>
      <w:r w:rsidR="00B50DDE" w:rsidRPr="00910DD1">
        <w:rPr>
          <w:rFonts w:ascii="Times New Roman" w:hAnsi="Times New Roman" w:cs="Times New Roman"/>
        </w:rPr>
        <w:t>prioriti</w:t>
      </w:r>
      <w:r w:rsidR="00B50DDE">
        <w:rPr>
          <w:rFonts w:ascii="Times New Roman" w:hAnsi="Times New Roman" w:cs="Times New Roman"/>
        </w:rPr>
        <w:t>z</w:t>
      </w:r>
      <w:r w:rsidR="00B50DDE" w:rsidRPr="00910DD1">
        <w:rPr>
          <w:rFonts w:ascii="Times New Roman" w:hAnsi="Times New Roman" w:cs="Times New Roman"/>
        </w:rPr>
        <w:t xml:space="preserve">ed </w:t>
      </w:r>
      <w:r w:rsidRPr="00910DD1">
        <w:rPr>
          <w:rFonts w:ascii="Times New Roman" w:hAnsi="Times New Roman" w:cs="Times New Roman"/>
        </w:rPr>
        <w:t>by the Committee, and as a result the introduced policy, appear to reflect political negotiation rather than an effective and transparent process of policymaking. The result of such a policymaking process is a compromised policy and non-transparent political trade-off. Thus, there is no surprise that the introduced policy has been the subject of significant criticism.</w:t>
      </w:r>
    </w:p>
    <w:p w14:paraId="1FA821E0" w14:textId="222200B9" w:rsidR="00404C5A" w:rsidRPr="00910DD1" w:rsidRDefault="00404C5A" w:rsidP="001B6F83">
      <w:pPr>
        <w:spacing w:after="0" w:line="480" w:lineRule="auto"/>
        <w:ind w:firstLine="720"/>
      </w:pPr>
      <w:r w:rsidRPr="00910DD1">
        <w:rPr>
          <w:rFonts w:ascii="Times New Roman" w:hAnsi="Times New Roman" w:cs="Times New Roman"/>
        </w:rPr>
        <w:t xml:space="preserve">However, the carbon pricing legislation discussed above has been recently repealed by the present Australian </w:t>
      </w:r>
      <w:r w:rsidR="00CF6D48">
        <w:rPr>
          <w:rFonts w:ascii="Times New Roman" w:hAnsi="Times New Roman" w:cs="Times New Roman"/>
        </w:rPr>
        <w:t>g</w:t>
      </w:r>
      <w:r w:rsidRPr="00910DD1">
        <w:rPr>
          <w:rFonts w:ascii="Times New Roman" w:hAnsi="Times New Roman" w:cs="Times New Roman"/>
        </w:rPr>
        <w:t>overnment. Instead of the carbon pr</w:t>
      </w:r>
      <w:r w:rsidR="00D972FE">
        <w:rPr>
          <w:rFonts w:ascii="Times New Roman" w:hAnsi="Times New Roman" w:cs="Times New Roman"/>
        </w:rPr>
        <w:t>icing mechanism the Australian g</w:t>
      </w:r>
      <w:r w:rsidRPr="00910DD1">
        <w:rPr>
          <w:rFonts w:ascii="Times New Roman" w:hAnsi="Times New Roman" w:cs="Times New Roman"/>
        </w:rPr>
        <w:t>overnment has introduced the Direct Action Plan.</w:t>
      </w:r>
      <w:r w:rsidRPr="00910DD1">
        <w:rPr>
          <w:rStyle w:val="EndnoteReference"/>
          <w:rFonts w:ascii="Times New Roman" w:hAnsi="Times New Roman" w:cs="Times New Roman"/>
        </w:rPr>
        <w:endnoteReference w:id="51"/>
      </w:r>
      <w:r w:rsidR="00D972FE">
        <w:rPr>
          <w:rFonts w:ascii="Times New Roman" w:hAnsi="Times New Roman" w:cs="Times New Roman"/>
        </w:rPr>
        <w:t xml:space="preserve"> Unfortunately, the g</w:t>
      </w:r>
      <w:r w:rsidRPr="00910DD1">
        <w:rPr>
          <w:rFonts w:ascii="Times New Roman" w:hAnsi="Times New Roman" w:cs="Times New Roman"/>
        </w:rPr>
        <w:t xml:space="preserve">overnment did not provide details concerning the development of the Direct Action Plan. It is not clear what </w:t>
      </w:r>
      <w:r w:rsidR="001C133A" w:rsidRPr="00910DD1">
        <w:rPr>
          <w:rFonts w:ascii="Times New Roman" w:hAnsi="Times New Roman" w:cs="Times New Roman"/>
        </w:rPr>
        <w:t>the basis for the introduced policy is</w:t>
      </w:r>
      <w:r w:rsidRPr="00910DD1">
        <w:rPr>
          <w:rFonts w:ascii="Times New Roman" w:hAnsi="Times New Roman" w:cs="Times New Roman"/>
        </w:rPr>
        <w:t>. Successive Australian governments attempting to introduce climate change related policies were taking into consideration policy developm</w:t>
      </w:r>
      <w:r w:rsidR="00D972FE">
        <w:rPr>
          <w:rFonts w:ascii="Times New Roman" w:hAnsi="Times New Roman" w:cs="Times New Roman"/>
        </w:rPr>
        <w:t>ents and proposals of previous g</w:t>
      </w:r>
      <w:r w:rsidRPr="00910DD1">
        <w:rPr>
          <w:rFonts w:ascii="Times New Roman" w:hAnsi="Times New Roman" w:cs="Times New Roman"/>
        </w:rPr>
        <w:t>overnments. However, the policy in</w:t>
      </w:r>
      <w:r w:rsidR="00D972FE">
        <w:rPr>
          <w:rFonts w:ascii="Times New Roman" w:hAnsi="Times New Roman" w:cs="Times New Roman"/>
        </w:rPr>
        <w:t>troduced by the present Abbott g</w:t>
      </w:r>
      <w:r w:rsidRPr="00910DD1">
        <w:rPr>
          <w:rFonts w:ascii="Times New Roman" w:hAnsi="Times New Roman" w:cs="Times New Roman"/>
        </w:rPr>
        <w:t>overnment is strikingly different to carbon pricing and/or emissions trading mechanisms</w:t>
      </w:r>
      <w:r w:rsidR="00D972FE">
        <w:rPr>
          <w:rFonts w:ascii="Times New Roman" w:hAnsi="Times New Roman" w:cs="Times New Roman"/>
        </w:rPr>
        <w:t xml:space="preserve"> favoured by former Australian g</w:t>
      </w:r>
      <w:r w:rsidRPr="00910DD1">
        <w:rPr>
          <w:rFonts w:ascii="Times New Roman" w:hAnsi="Times New Roman" w:cs="Times New Roman"/>
        </w:rPr>
        <w:t>ov</w:t>
      </w:r>
      <w:r w:rsidR="00D972FE">
        <w:rPr>
          <w:rFonts w:ascii="Times New Roman" w:hAnsi="Times New Roman" w:cs="Times New Roman"/>
        </w:rPr>
        <w:t>ernments. In the same vein the g</w:t>
      </w:r>
      <w:r w:rsidRPr="00910DD1">
        <w:rPr>
          <w:rFonts w:ascii="Times New Roman" w:hAnsi="Times New Roman" w:cs="Times New Roman"/>
        </w:rPr>
        <w:t xml:space="preserve">overnment neither disclosed what criteria has been used to develop the Direct Action Plan, if any, nor did it explained what criteria or principles were </w:t>
      </w:r>
      <w:r w:rsidR="00B50DDE" w:rsidRPr="00910DD1">
        <w:rPr>
          <w:rFonts w:ascii="Times New Roman" w:hAnsi="Times New Roman" w:cs="Times New Roman"/>
        </w:rPr>
        <w:t>prioriti</w:t>
      </w:r>
      <w:r w:rsidR="00B50DDE">
        <w:rPr>
          <w:rFonts w:ascii="Times New Roman" w:hAnsi="Times New Roman" w:cs="Times New Roman"/>
        </w:rPr>
        <w:t>z</w:t>
      </w:r>
      <w:r w:rsidR="00B50DDE" w:rsidRPr="00910DD1">
        <w:rPr>
          <w:rFonts w:ascii="Times New Roman" w:hAnsi="Times New Roman" w:cs="Times New Roman"/>
        </w:rPr>
        <w:t xml:space="preserve">ed </w:t>
      </w:r>
      <w:r w:rsidRPr="00910DD1">
        <w:rPr>
          <w:rFonts w:ascii="Times New Roman" w:hAnsi="Times New Roman" w:cs="Times New Roman"/>
        </w:rPr>
        <w:t>to establish the proposed legislation.</w:t>
      </w:r>
    </w:p>
    <w:p w14:paraId="102859FB" w14:textId="67F9B4A4" w:rsidR="00576D14" w:rsidRDefault="00D972FE" w:rsidP="001B6F83">
      <w:pPr>
        <w:pStyle w:val="Standard"/>
        <w:spacing w:line="480" w:lineRule="auto"/>
        <w:ind w:firstLine="720"/>
        <w:rPr>
          <w:sz w:val="22"/>
          <w:szCs w:val="22"/>
        </w:rPr>
      </w:pPr>
      <w:r>
        <w:rPr>
          <w:sz w:val="22"/>
          <w:szCs w:val="22"/>
        </w:rPr>
        <w:t>Nonetheless, the g</w:t>
      </w:r>
      <w:r w:rsidR="00404C5A" w:rsidRPr="00910DD1">
        <w:rPr>
          <w:sz w:val="22"/>
          <w:szCs w:val="22"/>
        </w:rPr>
        <w:t>overnment states that the Direct Action Plan is introduced to ‘efficiently and effectively source low cost emissions reductions.’</w:t>
      </w:r>
      <w:r w:rsidR="00404C5A" w:rsidRPr="00910DD1">
        <w:rPr>
          <w:rStyle w:val="EndnoteReference"/>
          <w:sz w:val="22"/>
          <w:szCs w:val="22"/>
        </w:rPr>
        <w:endnoteReference w:id="52"/>
      </w:r>
      <w:r w:rsidR="00404C5A" w:rsidRPr="00910DD1">
        <w:rPr>
          <w:sz w:val="22"/>
          <w:szCs w:val="22"/>
        </w:rPr>
        <w:t xml:space="preserve"> The Direct Action Plan includes as a centerpiece the Emissions Reduction Fund (ERF) which is supposed to provide incentives for GHG reduction activities across the entire Australian economy.</w:t>
      </w:r>
      <w:r w:rsidR="00404C5A" w:rsidRPr="00910DD1">
        <w:rPr>
          <w:rStyle w:val="EndnoteReference"/>
          <w:sz w:val="22"/>
          <w:szCs w:val="22"/>
        </w:rPr>
        <w:endnoteReference w:id="53"/>
      </w:r>
      <w:r>
        <w:rPr>
          <w:sz w:val="22"/>
          <w:szCs w:val="22"/>
        </w:rPr>
        <w:t xml:space="preserve"> Under the ERF the g</w:t>
      </w:r>
      <w:r w:rsidR="00404C5A" w:rsidRPr="00910DD1">
        <w:rPr>
          <w:sz w:val="22"/>
          <w:szCs w:val="22"/>
        </w:rPr>
        <w:t>overnment will pay for projects that will reduce CO</w:t>
      </w:r>
      <w:r w:rsidR="00404C5A" w:rsidRPr="001B6F83">
        <w:rPr>
          <w:sz w:val="22"/>
          <w:szCs w:val="22"/>
          <w:vertAlign w:val="subscript"/>
        </w:rPr>
        <w:t>2</w:t>
      </w:r>
      <w:r w:rsidR="00404C5A" w:rsidRPr="00910DD1">
        <w:rPr>
          <w:sz w:val="22"/>
          <w:szCs w:val="22"/>
        </w:rPr>
        <w:t xml:space="preserve"> emissions at minimal cost.</w:t>
      </w:r>
      <w:r w:rsidR="00404C5A" w:rsidRPr="00910DD1">
        <w:rPr>
          <w:rStyle w:val="EndnoteReference"/>
          <w:sz w:val="22"/>
          <w:szCs w:val="22"/>
        </w:rPr>
        <w:endnoteReference w:id="54"/>
      </w:r>
      <w:r w:rsidR="00404C5A" w:rsidRPr="00910DD1">
        <w:rPr>
          <w:sz w:val="22"/>
          <w:szCs w:val="22"/>
        </w:rPr>
        <w:t xml:space="preserve"> Funding from the ERF will be allocated through </w:t>
      </w:r>
      <w:r w:rsidR="0003378A">
        <w:rPr>
          <w:sz w:val="22"/>
          <w:szCs w:val="22"/>
        </w:rPr>
        <w:t xml:space="preserve">reverse </w:t>
      </w:r>
      <w:r w:rsidR="00404C5A" w:rsidRPr="00910DD1">
        <w:rPr>
          <w:sz w:val="22"/>
          <w:szCs w:val="22"/>
        </w:rPr>
        <w:t>auctions.</w:t>
      </w:r>
      <w:r w:rsidR="00404C5A" w:rsidRPr="00910DD1">
        <w:rPr>
          <w:rStyle w:val="EndnoteReference"/>
          <w:sz w:val="22"/>
          <w:szCs w:val="22"/>
        </w:rPr>
        <w:endnoteReference w:id="55"/>
      </w:r>
      <w:r w:rsidR="00404C5A" w:rsidRPr="00910DD1">
        <w:rPr>
          <w:sz w:val="22"/>
          <w:szCs w:val="22"/>
        </w:rPr>
        <w:t xml:space="preserve"> A range of possible projects for CO</w:t>
      </w:r>
      <w:r w:rsidR="00404C5A" w:rsidRPr="001B6F83">
        <w:rPr>
          <w:sz w:val="22"/>
          <w:szCs w:val="22"/>
          <w:vertAlign w:val="subscript"/>
        </w:rPr>
        <w:t>2</w:t>
      </w:r>
      <w:r w:rsidR="00404C5A" w:rsidRPr="00910DD1">
        <w:rPr>
          <w:sz w:val="22"/>
          <w:szCs w:val="22"/>
        </w:rPr>
        <w:t xml:space="preserve"> reduction include: energy efficiency, cleaning up power stations, </w:t>
      </w:r>
      <w:r w:rsidR="001C133A" w:rsidRPr="00910DD1">
        <w:rPr>
          <w:sz w:val="22"/>
          <w:szCs w:val="22"/>
        </w:rPr>
        <w:t>reforestation</w:t>
      </w:r>
      <w:r w:rsidR="00404C5A" w:rsidRPr="00910DD1">
        <w:rPr>
          <w:sz w:val="22"/>
          <w:szCs w:val="22"/>
        </w:rPr>
        <w:t xml:space="preserve"> and revegetation and/or improvement of soil carbon.</w:t>
      </w:r>
      <w:r w:rsidR="00404C5A" w:rsidRPr="00910DD1">
        <w:rPr>
          <w:rStyle w:val="EndnoteReference"/>
          <w:sz w:val="22"/>
          <w:szCs w:val="22"/>
        </w:rPr>
        <w:endnoteReference w:id="56"/>
      </w:r>
    </w:p>
    <w:p w14:paraId="7710B039" w14:textId="21E6BFC7" w:rsidR="00404C5A" w:rsidRPr="00910DD1" w:rsidRDefault="00404C5A" w:rsidP="001B6F83">
      <w:pPr>
        <w:pStyle w:val="Standard"/>
        <w:spacing w:line="480" w:lineRule="auto"/>
        <w:ind w:firstLine="720"/>
        <w:rPr>
          <w:sz w:val="22"/>
          <w:szCs w:val="22"/>
        </w:rPr>
      </w:pPr>
      <w:r w:rsidRPr="00910DD1">
        <w:rPr>
          <w:sz w:val="22"/>
          <w:szCs w:val="22"/>
        </w:rPr>
        <w:t>The important feature of the Direct Action Plan is its voluntary nature. Numerous commentators argue that a voluntary carbon mechanism does not provide incentive for businesses to participate and compete for participation in ERF.</w:t>
      </w:r>
      <w:r w:rsidRPr="00910DD1">
        <w:rPr>
          <w:rStyle w:val="EndnoteReference"/>
          <w:sz w:val="22"/>
          <w:szCs w:val="22"/>
        </w:rPr>
        <w:endnoteReference w:id="57"/>
      </w:r>
      <w:r w:rsidRPr="00910DD1">
        <w:rPr>
          <w:sz w:val="22"/>
          <w:szCs w:val="22"/>
        </w:rPr>
        <w:t xml:space="preserve"> The Australia Senate inquiry on the Direct Action Plan provides the following comment: ‘The c</w:t>
      </w:r>
      <w:r w:rsidR="00D972FE">
        <w:rPr>
          <w:sz w:val="22"/>
          <w:szCs w:val="22"/>
        </w:rPr>
        <w:t>ommittee is persuaded that the g</w:t>
      </w:r>
      <w:r w:rsidRPr="00910DD1">
        <w:rPr>
          <w:sz w:val="22"/>
          <w:szCs w:val="22"/>
        </w:rPr>
        <w:t xml:space="preserve">overnment's Direct Action Plan and the proposed Emissions Reduction Fund are fundamentally flawed. They ignore the well-established principle of </w:t>
      </w:r>
      <w:r w:rsidR="0029099D">
        <w:rPr>
          <w:sz w:val="22"/>
          <w:szCs w:val="22"/>
        </w:rPr>
        <w:t>“</w:t>
      </w:r>
      <w:r w:rsidRPr="00910DD1">
        <w:rPr>
          <w:sz w:val="22"/>
          <w:szCs w:val="22"/>
        </w:rPr>
        <w:t>polluter pays</w:t>
      </w:r>
      <w:r w:rsidR="0029099D">
        <w:rPr>
          <w:sz w:val="22"/>
          <w:szCs w:val="22"/>
        </w:rPr>
        <w:t>”</w:t>
      </w:r>
      <w:r w:rsidRPr="00910DD1">
        <w:rPr>
          <w:sz w:val="22"/>
          <w:szCs w:val="22"/>
        </w:rPr>
        <w:t xml:space="preserve">, and instead propose that the Australian taxpayer should effectively </w:t>
      </w:r>
      <w:r w:rsidR="001C133A" w:rsidRPr="00910DD1">
        <w:rPr>
          <w:sz w:val="22"/>
          <w:szCs w:val="22"/>
        </w:rPr>
        <w:t>subsidize</w:t>
      </w:r>
      <w:r w:rsidRPr="00910DD1">
        <w:rPr>
          <w:sz w:val="22"/>
          <w:szCs w:val="22"/>
        </w:rPr>
        <w:t xml:space="preserve"> </w:t>
      </w:r>
      <w:r w:rsidRPr="00910DD1">
        <w:rPr>
          <w:sz w:val="22"/>
          <w:szCs w:val="22"/>
        </w:rPr>
        <w:lastRenderedPageBreak/>
        <w:t>big polluters.’</w:t>
      </w:r>
      <w:r w:rsidRPr="00910DD1">
        <w:rPr>
          <w:rStyle w:val="EndnoteReference"/>
          <w:sz w:val="22"/>
          <w:szCs w:val="22"/>
        </w:rPr>
        <w:endnoteReference w:id="58"/>
      </w:r>
      <w:r w:rsidRPr="00910DD1">
        <w:rPr>
          <w:sz w:val="22"/>
          <w:szCs w:val="22"/>
        </w:rPr>
        <w:t xml:space="preserve"> Overall, the Direct Action Plan has been significantly </w:t>
      </w:r>
      <w:r w:rsidR="0029099D" w:rsidRPr="00910DD1">
        <w:rPr>
          <w:sz w:val="22"/>
          <w:szCs w:val="22"/>
        </w:rPr>
        <w:t>critici</w:t>
      </w:r>
      <w:r w:rsidR="0029099D">
        <w:rPr>
          <w:sz w:val="22"/>
          <w:szCs w:val="22"/>
        </w:rPr>
        <w:t>z</w:t>
      </w:r>
      <w:r w:rsidR="0029099D" w:rsidRPr="00910DD1">
        <w:rPr>
          <w:sz w:val="22"/>
          <w:szCs w:val="22"/>
        </w:rPr>
        <w:t xml:space="preserve">ed </w:t>
      </w:r>
      <w:r w:rsidRPr="00910DD1">
        <w:rPr>
          <w:sz w:val="22"/>
          <w:szCs w:val="22"/>
        </w:rPr>
        <w:t>and it is labe</w:t>
      </w:r>
      <w:r w:rsidR="0029099D">
        <w:rPr>
          <w:sz w:val="22"/>
          <w:szCs w:val="22"/>
        </w:rPr>
        <w:t>l</w:t>
      </w:r>
      <w:r w:rsidRPr="00910DD1">
        <w:rPr>
          <w:sz w:val="22"/>
          <w:szCs w:val="22"/>
        </w:rPr>
        <w:t>led as a step backwards for Australian climate change policy.</w:t>
      </w:r>
      <w:r w:rsidRPr="00910DD1">
        <w:rPr>
          <w:rStyle w:val="EndnoteReference"/>
          <w:sz w:val="22"/>
          <w:szCs w:val="22"/>
        </w:rPr>
        <w:endnoteReference w:id="59"/>
      </w:r>
    </w:p>
    <w:p w14:paraId="564563D5" w14:textId="1747FEE4" w:rsidR="00404C5A" w:rsidRPr="00910DD1" w:rsidRDefault="00D972FE" w:rsidP="001B6F83">
      <w:pPr>
        <w:spacing w:after="0" w:line="480" w:lineRule="auto"/>
        <w:ind w:firstLine="360"/>
        <w:rPr>
          <w:rFonts w:ascii="Times New Roman" w:hAnsi="Times New Roman" w:cs="Times New Roman"/>
        </w:rPr>
      </w:pPr>
      <w:r>
        <w:rPr>
          <w:rFonts w:ascii="Times New Roman" w:hAnsi="Times New Roman" w:cs="Times New Roman"/>
        </w:rPr>
        <w:t>The current Australian g</w:t>
      </w:r>
      <w:r w:rsidR="00404C5A" w:rsidRPr="00910DD1">
        <w:rPr>
          <w:rFonts w:ascii="Times New Roman" w:hAnsi="Times New Roman" w:cs="Times New Roman"/>
        </w:rPr>
        <w:t>overnment has sought to abolish the Climate Change Authority</w:t>
      </w:r>
      <w:r w:rsidR="00404C5A" w:rsidRPr="00910DD1">
        <w:rPr>
          <w:rStyle w:val="EndnoteReference"/>
          <w:rFonts w:ascii="Times New Roman" w:hAnsi="Times New Roman" w:cs="Times New Roman"/>
        </w:rPr>
        <w:endnoteReference w:id="60"/>
      </w:r>
      <w:r w:rsidR="00404C5A" w:rsidRPr="00910DD1">
        <w:rPr>
          <w:rFonts w:ascii="Times New Roman" w:hAnsi="Times New Roman" w:cs="Times New Roman"/>
        </w:rPr>
        <w:t xml:space="preserve"> which was established by the previous government to provide an independent assessment and advice on carbon policy. Should the Authority be abolished, there will be no independent assessment of policy and targ</w:t>
      </w:r>
      <w:r>
        <w:rPr>
          <w:rFonts w:ascii="Times New Roman" w:hAnsi="Times New Roman" w:cs="Times New Roman"/>
        </w:rPr>
        <w:t>ets and no requirement for the g</w:t>
      </w:r>
      <w:r w:rsidR="00404C5A" w:rsidRPr="00910DD1">
        <w:rPr>
          <w:rFonts w:ascii="Times New Roman" w:hAnsi="Times New Roman" w:cs="Times New Roman"/>
        </w:rPr>
        <w:t xml:space="preserve">overnment to respond to independent review, which would further reduce transparency and accountability of carbon policymaking. In this light, it is difficult to consider the climate change law-making process in Australia as adequate and comprehensive. Thus, the present </w:t>
      </w:r>
      <w:r>
        <w:rPr>
          <w:rFonts w:ascii="Times New Roman" w:hAnsi="Times New Roman" w:cs="Times New Roman"/>
        </w:rPr>
        <w:t>g</w:t>
      </w:r>
      <w:r w:rsidR="00404C5A" w:rsidRPr="00910DD1">
        <w:rPr>
          <w:rFonts w:ascii="Times New Roman" w:hAnsi="Times New Roman" w:cs="Times New Roman"/>
        </w:rPr>
        <w:t>overnment’s policymaking practice raises even more questions and as one may note the climate change policymaking process in Australia is deteriorating rather than developing.</w:t>
      </w:r>
    </w:p>
    <w:p w14:paraId="3F13B639" w14:textId="77777777" w:rsidR="00404C5A" w:rsidRPr="00910DD1" w:rsidRDefault="00404C5A" w:rsidP="00E47FE1">
      <w:pPr>
        <w:pStyle w:val="Standard"/>
        <w:spacing w:line="480" w:lineRule="auto"/>
        <w:rPr>
          <w:sz w:val="22"/>
          <w:szCs w:val="22"/>
        </w:rPr>
      </w:pPr>
    </w:p>
    <w:p w14:paraId="72428C5C" w14:textId="77777777" w:rsidR="00404C5A" w:rsidRPr="00910DD1" w:rsidRDefault="00404C5A" w:rsidP="00E47FE1">
      <w:pPr>
        <w:spacing w:after="0" w:line="480" w:lineRule="auto"/>
        <w:rPr>
          <w:rFonts w:ascii="Times New Roman" w:hAnsi="Times New Roman" w:cs="Times New Roman"/>
        </w:rPr>
      </w:pPr>
    </w:p>
    <w:p w14:paraId="7E0F9596" w14:textId="61F1410E" w:rsidR="00404C5A" w:rsidRPr="001B6F83" w:rsidRDefault="0029099D" w:rsidP="001B6F83">
      <w:pPr>
        <w:pStyle w:val="Heading1"/>
        <w:numPr>
          <w:ilvl w:val="0"/>
          <w:numId w:val="0"/>
        </w:numPr>
        <w:spacing w:before="0" w:after="0" w:line="480" w:lineRule="auto"/>
        <w:ind w:left="360" w:hanging="360"/>
        <w:rPr>
          <w:rFonts w:ascii="Times New Roman" w:hAnsi="Times New Roman" w:cs="Times New Roman"/>
          <w:b w:val="0"/>
          <w:sz w:val="28"/>
          <w:szCs w:val="28"/>
        </w:rPr>
      </w:pPr>
      <w:bookmarkStart w:id="4" w:name="_Toc358884917"/>
      <w:r w:rsidRPr="00FC4E19">
        <w:rPr>
          <w:rFonts w:ascii="Times New Roman" w:hAnsi="Times New Roman" w:cs="Times New Roman"/>
          <w:b w:val="0"/>
          <w:szCs w:val="28"/>
        </w:rPr>
        <w:t>&lt;A&gt;</w:t>
      </w:r>
      <w:r w:rsidRPr="0029099D">
        <w:rPr>
          <w:rFonts w:ascii="Times New Roman" w:hAnsi="Times New Roman" w:cs="Times New Roman"/>
          <w:b w:val="0"/>
          <w:szCs w:val="28"/>
        </w:rPr>
        <w:t>CRITICALLY EVALUATING THE DELPHI METHOD</w:t>
      </w:r>
      <w:bookmarkEnd w:id="4"/>
    </w:p>
    <w:p w14:paraId="1568C35C" w14:textId="77777777" w:rsidR="0029099D" w:rsidRDefault="0029099D" w:rsidP="00E47FE1">
      <w:pPr>
        <w:spacing w:after="0" w:line="480" w:lineRule="auto"/>
        <w:rPr>
          <w:rFonts w:ascii="Times New Roman" w:hAnsi="Times New Roman" w:cs="Times New Roman"/>
        </w:rPr>
      </w:pPr>
    </w:p>
    <w:p w14:paraId="36EA988C" w14:textId="2D51A1F9" w:rsidR="00404C5A" w:rsidRPr="00910DD1" w:rsidRDefault="00404C5A" w:rsidP="00E47FE1">
      <w:pPr>
        <w:spacing w:after="0" w:line="480" w:lineRule="auto"/>
        <w:rPr>
          <w:rFonts w:ascii="Times New Roman" w:hAnsi="Times New Roman" w:cs="Times New Roman"/>
        </w:rPr>
      </w:pPr>
      <w:r w:rsidRPr="00910DD1">
        <w:rPr>
          <w:rFonts w:ascii="Times New Roman" w:hAnsi="Times New Roman" w:cs="Times New Roman"/>
        </w:rPr>
        <w:t xml:space="preserve">The Delphi method has been </w:t>
      </w:r>
      <w:r w:rsidR="0029099D" w:rsidRPr="00910DD1">
        <w:rPr>
          <w:rFonts w:ascii="Times New Roman" w:hAnsi="Times New Roman" w:cs="Times New Roman"/>
        </w:rPr>
        <w:t>critici</w:t>
      </w:r>
      <w:r w:rsidR="0029099D">
        <w:rPr>
          <w:rFonts w:ascii="Times New Roman" w:hAnsi="Times New Roman" w:cs="Times New Roman"/>
        </w:rPr>
        <w:t>z</w:t>
      </w:r>
      <w:r w:rsidR="0029099D" w:rsidRPr="00910DD1">
        <w:rPr>
          <w:rFonts w:ascii="Times New Roman" w:hAnsi="Times New Roman" w:cs="Times New Roman"/>
        </w:rPr>
        <w:t xml:space="preserve">ed </w:t>
      </w:r>
      <w:r w:rsidRPr="00910DD1">
        <w:rPr>
          <w:rFonts w:ascii="Times New Roman" w:hAnsi="Times New Roman" w:cs="Times New Roman"/>
        </w:rPr>
        <w:t>on the basis of the soundness, reliability and credibility of its application. Some commentators argue that the Delphi method is unscientific, and therefore inherently ambiguous.</w:t>
      </w:r>
      <w:r w:rsidRPr="00910DD1">
        <w:rPr>
          <w:rStyle w:val="EndnoteReference"/>
          <w:rFonts w:ascii="Times New Roman" w:hAnsi="Times New Roman" w:cs="Times New Roman"/>
        </w:rPr>
        <w:endnoteReference w:id="61"/>
      </w:r>
      <w:r w:rsidRPr="00910DD1">
        <w:rPr>
          <w:rFonts w:ascii="Times New Roman" w:hAnsi="Times New Roman" w:cs="Times New Roman"/>
        </w:rPr>
        <w:t xml:space="preserve"> Nonetheless, some other methods that aimed at consensus such as focus groups and nominal groups also run the same risk. Some other issues which need to be addressed before conducting a Delphi study may include potential administrative complexity and low response rate.</w:t>
      </w:r>
      <w:r w:rsidRPr="00910DD1">
        <w:rPr>
          <w:rStyle w:val="EndnoteReference"/>
          <w:rFonts w:ascii="Times New Roman" w:hAnsi="Times New Roman" w:cs="Times New Roman"/>
        </w:rPr>
        <w:endnoteReference w:id="62"/>
      </w:r>
    </w:p>
    <w:p w14:paraId="60EB12D7" w14:textId="4C368377" w:rsidR="00651054" w:rsidRPr="00910DD1" w:rsidRDefault="00404C5A" w:rsidP="001B6F83">
      <w:pPr>
        <w:spacing w:after="0" w:line="480" w:lineRule="auto"/>
        <w:ind w:firstLine="720"/>
        <w:rPr>
          <w:rFonts w:ascii="Times New Roman" w:hAnsi="Times New Roman" w:cs="Times New Roman"/>
        </w:rPr>
      </w:pPr>
      <w:r w:rsidRPr="00910DD1">
        <w:rPr>
          <w:rFonts w:ascii="Times New Roman" w:hAnsi="Times New Roman" w:cs="Times New Roman"/>
        </w:rPr>
        <w:t>In contrast, there have been numerous studies supporting the utility of the Delphi method. Basu and Schroeder reported that the Delphi studies were 10–15 per cent more accurate than quantitative methods of forecast.</w:t>
      </w:r>
      <w:r w:rsidRPr="00910DD1">
        <w:rPr>
          <w:rStyle w:val="EndnoteReference"/>
          <w:rFonts w:ascii="Times New Roman" w:hAnsi="Times New Roman" w:cs="Times New Roman"/>
        </w:rPr>
        <w:endnoteReference w:id="63"/>
      </w:r>
      <w:r w:rsidR="00162789">
        <w:rPr>
          <w:rFonts w:ascii="Times New Roman" w:hAnsi="Times New Roman" w:cs="Times New Roman"/>
        </w:rPr>
        <w:t xml:space="preserve"> </w:t>
      </w:r>
      <w:r w:rsidRPr="00910DD1">
        <w:rPr>
          <w:rFonts w:ascii="Times New Roman" w:hAnsi="Times New Roman" w:cs="Times New Roman"/>
        </w:rPr>
        <w:t>Generally, the Delphi method is especially suitable when its results serve as inputs for further investigation.</w:t>
      </w:r>
      <w:r w:rsidRPr="00910DD1">
        <w:rPr>
          <w:rStyle w:val="EndnoteReference"/>
          <w:rFonts w:ascii="Times New Roman" w:hAnsi="Times New Roman" w:cs="Times New Roman"/>
        </w:rPr>
        <w:endnoteReference w:id="64"/>
      </w:r>
      <w:r w:rsidR="00162789">
        <w:rPr>
          <w:rFonts w:ascii="Times New Roman" w:hAnsi="Times New Roman" w:cs="Times New Roman"/>
        </w:rPr>
        <w:t xml:space="preserve"> </w:t>
      </w:r>
      <w:r w:rsidRPr="00910DD1">
        <w:rPr>
          <w:rFonts w:ascii="Times New Roman" w:hAnsi="Times New Roman" w:cs="Times New Roman"/>
        </w:rPr>
        <w:t>The potential of the Delphi to acknowledge the contribution of each participant and the guaranteed anonymity are some of the major advantages of the method. Furthermore, the experts responses to questions is expected to encourage ideas that are free of influences of others and accordingly more likely to be accurate.</w:t>
      </w:r>
      <w:r w:rsidRPr="00910DD1">
        <w:rPr>
          <w:rStyle w:val="EndnoteReference"/>
          <w:rFonts w:ascii="Times New Roman" w:hAnsi="Times New Roman" w:cs="Times New Roman"/>
        </w:rPr>
        <w:endnoteReference w:id="65"/>
      </w:r>
      <w:r w:rsidRPr="00910DD1">
        <w:rPr>
          <w:rFonts w:ascii="Times New Roman" w:hAnsi="Times New Roman" w:cs="Times New Roman"/>
        </w:rPr>
        <w:t xml:space="preserve"> The ‘collective human intelligence capability’ attributable to groups of experts can be used by adopting the Delphi method.</w:t>
      </w:r>
      <w:r w:rsidRPr="00910DD1">
        <w:rPr>
          <w:rStyle w:val="EndnoteReference"/>
          <w:rFonts w:ascii="Times New Roman" w:hAnsi="Times New Roman" w:cs="Times New Roman"/>
        </w:rPr>
        <w:endnoteReference w:id="66"/>
      </w:r>
    </w:p>
    <w:p w14:paraId="353EB618" w14:textId="1C9B637C" w:rsidR="004F014C" w:rsidRDefault="00991F69" w:rsidP="001B6F83">
      <w:pPr>
        <w:spacing w:after="0" w:line="480" w:lineRule="auto"/>
        <w:ind w:firstLine="720"/>
        <w:rPr>
          <w:rFonts w:ascii="Times New Roman" w:hAnsi="Times New Roman" w:cs="Times New Roman"/>
        </w:rPr>
      </w:pPr>
      <w:r w:rsidRPr="00910DD1">
        <w:rPr>
          <w:rFonts w:ascii="Times New Roman" w:hAnsi="Times New Roman" w:cs="Times New Roman"/>
        </w:rPr>
        <w:lastRenderedPageBreak/>
        <w:t xml:space="preserve">The </w:t>
      </w:r>
      <w:r w:rsidR="00CA3413" w:rsidRPr="00910DD1">
        <w:rPr>
          <w:rFonts w:ascii="Times New Roman" w:hAnsi="Times New Roman" w:cs="Times New Roman"/>
        </w:rPr>
        <w:t xml:space="preserve">Delphi study </w:t>
      </w:r>
      <w:r w:rsidR="00933E22" w:rsidRPr="00910DD1">
        <w:rPr>
          <w:rFonts w:ascii="Times New Roman" w:hAnsi="Times New Roman" w:cs="Times New Roman"/>
        </w:rPr>
        <w:t xml:space="preserve">discussed </w:t>
      </w:r>
      <w:r w:rsidR="00162789">
        <w:rPr>
          <w:rFonts w:ascii="Times New Roman" w:hAnsi="Times New Roman" w:cs="Times New Roman"/>
        </w:rPr>
        <w:t>earlier</w:t>
      </w:r>
      <w:r w:rsidRPr="00910DD1">
        <w:rPr>
          <w:rFonts w:ascii="Times New Roman" w:hAnsi="Times New Roman" w:cs="Times New Roman"/>
        </w:rPr>
        <w:t xml:space="preserve"> demonstrate</w:t>
      </w:r>
      <w:r w:rsidR="00DB661A" w:rsidRPr="00910DD1">
        <w:rPr>
          <w:rFonts w:ascii="Times New Roman" w:hAnsi="Times New Roman" w:cs="Times New Roman"/>
        </w:rPr>
        <w:t>d</w:t>
      </w:r>
      <w:r w:rsidRPr="00910DD1">
        <w:rPr>
          <w:rFonts w:ascii="Times New Roman" w:hAnsi="Times New Roman" w:cs="Times New Roman"/>
        </w:rPr>
        <w:t xml:space="preserve"> the effectiveness of the </w:t>
      </w:r>
      <w:r w:rsidR="00224EB3" w:rsidRPr="00910DD1">
        <w:rPr>
          <w:rFonts w:ascii="Times New Roman" w:hAnsi="Times New Roman" w:cs="Times New Roman"/>
        </w:rPr>
        <w:t>method</w:t>
      </w:r>
      <w:r w:rsidRPr="00910DD1">
        <w:rPr>
          <w:rFonts w:ascii="Times New Roman" w:hAnsi="Times New Roman" w:cs="Times New Roman"/>
        </w:rPr>
        <w:t xml:space="preserve"> as a</w:t>
      </w:r>
      <w:r w:rsidR="00CA3413" w:rsidRPr="00910DD1">
        <w:rPr>
          <w:rFonts w:ascii="Times New Roman" w:hAnsi="Times New Roman" w:cs="Times New Roman"/>
        </w:rPr>
        <w:t xml:space="preserve">n </w:t>
      </w:r>
      <w:r w:rsidR="00DB661A" w:rsidRPr="00910DD1">
        <w:rPr>
          <w:rFonts w:ascii="Times New Roman" w:hAnsi="Times New Roman" w:cs="Times New Roman"/>
        </w:rPr>
        <w:t>instrument seeking</w:t>
      </w:r>
      <w:r w:rsidRPr="00910DD1">
        <w:rPr>
          <w:rFonts w:ascii="Times New Roman" w:hAnsi="Times New Roman" w:cs="Times New Roman"/>
        </w:rPr>
        <w:t xml:space="preserve"> to clarify ill-defined topics. The </w:t>
      </w:r>
      <w:r w:rsidR="00A57E41" w:rsidRPr="00910DD1">
        <w:rPr>
          <w:rFonts w:ascii="Times New Roman" w:hAnsi="Times New Roman" w:cs="Times New Roman"/>
        </w:rPr>
        <w:t>Delphi method</w:t>
      </w:r>
      <w:r w:rsidRPr="00910DD1">
        <w:rPr>
          <w:rFonts w:ascii="Times New Roman" w:hAnsi="Times New Roman" w:cs="Times New Roman"/>
        </w:rPr>
        <w:t xml:space="preserve"> is a reliable </w:t>
      </w:r>
      <w:r w:rsidR="00CA3413" w:rsidRPr="00910DD1">
        <w:rPr>
          <w:rFonts w:ascii="Times New Roman" w:hAnsi="Times New Roman" w:cs="Times New Roman"/>
        </w:rPr>
        <w:t>tool providing</w:t>
      </w:r>
      <w:r w:rsidRPr="00910DD1">
        <w:rPr>
          <w:rFonts w:ascii="Times New Roman" w:hAnsi="Times New Roman" w:cs="Times New Roman"/>
        </w:rPr>
        <w:t xml:space="preserve"> participants </w:t>
      </w:r>
      <w:r w:rsidR="00CA3413" w:rsidRPr="00910DD1">
        <w:rPr>
          <w:rFonts w:ascii="Times New Roman" w:hAnsi="Times New Roman" w:cs="Times New Roman"/>
        </w:rPr>
        <w:t xml:space="preserve">with </w:t>
      </w:r>
      <w:r w:rsidRPr="00910DD1">
        <w:rPr>
          <w:rFonts w:ascii="Times New Roman" w:hAnsi="Times New Roman" w:cs="Times New Roman"/>
        </w:rPr>
        <w:t xml:space="preserve">opportunities to revise their responses through multiple rounds based on feedback received from other members of a panel. </w:t>
      </w:r>
      <w:r w:rsidR="00190B40" w:rsidRPr="00910DD1">
        <w:rPr>
          <w:rFonts w:ascii="Times New Roman" w:hAnsi="Times New Roman" w:cs="Times New Roman"/>
        </w:rPr>
        <w:t>T</w:t>
      </w:r>
      <w:r w:rsidRPr="00910DD1">
        <w:rPr>
          <w:rFonts w:ascii="Times New Roman" w:hAnsi="Times New Roman" w:cs="Times New Roman"/>
        </w:rPr>
        <w:t xml:space="preserve">he </w:t>
      </w:r>
      <w:r w:rsidR="00224EB3" w:rsidRPr="00910DD1">
        <w:rPr>
          <w:rFonts w:ascii="Times New Roman" w:hAnsi="Times New Roman" w:cs="Times New Roman"/>
        </w:rPr>
        <w:t xml:space="preserve">Delphi method </w:t>
      </w:r>
      <w:r w:rsidRPr="00910DD1">
        <w:rPr>
          <w:rFonts w:ascii="Times New Roman" w:hAnsi="Times New Roman" w:cs="Times New Roman"/>
        </w:rPr>
        <w:t>with a set of pre-selected options proved to be an effective approach</w:t>
      </w:r>
      <w:r w:rsidR="00190B40" w:rsidRPr="00910DD1">
        <w:rPr>
          <w:rFonts w:ascii="Times New Roman" w:hAnsi="Times New Roman" w:cs="Times New Roman"/>
        </w:rPr>
        <w:t xml:space="preserve"> as demonstrated by the </w:t>
      </w:r>
      <w:r w:rsidR="004F014C" w:rsidRPr="00910DD1">
        <w:rPr>
          <w:rFonts w:ascii="Times New Roman" w:hAnsi="Times New Roman" w:cs="Times New Roman"/>
        </w:rPr>
        <w:t xml:space="preserve">Guglyuvatyy </w:t>
      </w:r>
      <w:r w:rsidR="00190B40" w:rsidRPr="00910DD1">
        <w:rPr>
          <w:rFonts w:ascii="Times New Roman" w:hAnsi="Times New Roman" w:cs="Times New Roman"/>
        </w:rPr>
        <w:t>study</w:t>
      </w:r>
      <w:r w:rsidRPr="00910DD1">
        <w:rPr>
          <w:rFonts w:ascii="Times New Roman" w:hAnsi="Times New Roman" w:cs="Times New Roman"/>
        </w:rPr>
        <w:t>.</w:t>
      </w:r>
    </w:p>
    <w:p w14:paraId="41DC9774" w14:textId="5CEE7582" w:rsidR="004F014C" w:rsidRPr="00910DD1" w:rsidRDefault="004F014C" w:rsidP="001B6F83">
      <w:pPr>
        <w:spacing w:after="0" w:line="480" w:lineRule="auto"/>
        <w:ind w:firstLine="720"/>
        <w:rPr>
          <w:rFonts w:ascii="Times New Roman" w:hAnsi="Times New Roman" w:cs="Times New Roman"/>
          <w:color w:val="000000"/>
        </w:rPr>
      </w:pPr>
      <w:r w:rsidRPr="00910DD1">
        <w:rPr>
          <w:rFonts w:ascii="Times New Roman" w:hAnsi="Times New Roman" w:cs="Times New Roman"/>
          <w:color w:val="000000"/>
        </w:rPr>
        <w:t>The Delphi method may help to improve real-world policymaking. For example, the criteria which are assessed and validated by the multidisciplinary climate change experts in the Guglyuvatyy study could have provided justified and solid determinants that promote joint environmental, economic and equity considerations of a policy. Consideration of these criteria and their importance in policy appraisal would have ensured adequacy of the policy development and selection and provide an essential guide for the law makers. Thus, the application of the Delphi method can provide a foundation for the balanced policymaking model that can be utilised in various fields of environmental policymaking and research.</w:t>
      </w:r>
    </w:p>
    <w:p w14:paraId="46AB03B9" w14:textId="148AC39E" w:rsidR="0020767F" w:rsidRPr="00910DD1" w:rsidRDefault="00B471E5" w:rsidP="001B6F83">
      <w:pPr>
        <w:spacing w:after="0" w:line="480" w:lineRule="auto"/>
        <w:ind w:firstLine="360"/>
        <w:rPr>
          <w:rFonts w:ascii="Times New Roman" w:hAnsi="Times New Roman" w:cs="Times New Roman"/>
        </w:rPr>
      </w:pPr>
      <w:r w:rsidRPr="00910DD1">
        <w:rPr>
          <w:rFonts w:ascii="Times New Roman" w:hAnsi="Times New Roman" w:cs="Times New Roman"/>
        </w:rPr>
        <w:t xml:space="preserve">This </w:t>
      </w:r>
      <w:r w:rsidR="00A30735" w:rsidRPr="00910DD1">
        <w:rPr>
          <w:rFonts w:ascii="Times New Roman" w:hAnsi="Times New Roman" w:cs="Times New Roman"/>
        </w:rPr>
        <w:t>chapter</w:t>
      </w:r>
      <w:r w:rsidRPr="00910DD1">
        <w:rPr>
          <w:rFonts w:ascii="Times New Roman" w:hAnsi="Times New Roman" w:cs="Times New Roman"/>
        </w:rPr>
        <w:t xml:space="preserve"> </w:t>
      </w:r>
      <w:r w:rsidR="00190B40" w:rsidRPr="00910DD1">
        <w:rPr>
          <w:rFonts w:ascii="Times New Roman" w:hAnsi="Times New Roman" w:cs="Times New Roman"/>
        </w:rPr>
        <w:t>advocates</w:t>
      </w:r>
      <w:r w:rsidRPr="00910DD1">
        <w:rPr>
          <w:rFonts w:ascii="Times New Roman" w:hAnsi="Times New Roman" w:cs="Times New Roman"/>
        </w:rPr>
        <w:t xml:space="preserve"> a practical method facilitating transparent and comprehensive </w:t>
      </w:r>
      <w:r w:rsidR="004C25F5" w:rsidRPr="00910DD1">
        <w:rPr>
          <w:rFonts w:ascii="Times New Roman" w:hAnsi="Times New Roman" w:cs="Times New Roman"/>
        </w:rPr>
        <w:t>policy</w:t>
      </w:r>
      <w:r w:rsidRPr="00910DD1">
        <w:rPr>
          <w:rFonts w:ascii="Times New Roman" w:hAnsi="Times New Roman" w:cs="Times New Roman"/>
        </w:rPr>
        <w:t>making procedures. This methodol</w:t>
      </w:r>
      <w:r w:rsidR="00277426" w:rsidRPr="00910DD1">
        <w:rPr>
          <w:rFonts w:ascii="Times New Roman" w:hAnsi="Times New Roman" w:cs="Times New Roman"/>
        </w:rPr>
        <w:t>ogical approach is coherent</w:t>
      </w:r>
      <w:r w:rsidRPr="00910DD1">
        <w:rPr>
          <w:rFonts w:ascii="Times New Roman" w:hAnsi="Times New Roman" w:cs="Times New Roman"/>
        </w:rPr>
        <w:t xml:space="preserve"> </w:t>
      </w:r>
      <w:r w:rsidR="00277426" w:rsidRPr="00910DD1">
        <w:rPr>
          <w:rFonts w:ascii="Times New Roman" w:hAnsi="Times New Roman" w:cs="Times New Roman"/>
        </w:rPr>
        <w:t>and</w:t>
      </w:r>
      <w:r w:rsidRPr="00910DD1">
        <w:rPr>
          <w:rFonts w:ascii="Times New Roman" w:hAnsi="Times New Roman" w:cs="Times New Roman"/>
        </w:rPr>
        <w:t xml:space="preserve"> simple in that it can be </w:t>
      </w:r>
      <w:r w:rsidR="008B6C58" w:rsidRPr="00910DD1">
        <w:rPr>
          <w:rFonts w:ascii="Times New Roman" w:hAnsi="Times New Roman" w:cs="Times New Roman"/>
        </w:rPr>
        <w:t>utili</w:t>
      </w:r>
      <w:r w:rsidR="008B6C58">
        <w:rPr>
          <w:rFonts w:ascii="Times New Roman" w:hAnsi="Times New Roman" w:cs="Times New Roman"/>
        </w:rPr>
        <w:t>z</w:t>
      </w:r>
      <w:r w:rsidR="008B6C58" w:rsidRPr="00910DD1">
        <w:rPr>
          <w:rFonts w:ascii="Times New Roman" w:hAnsi="Times New Roman" w:cs="Times New Roman"/>
        </w:rPr>
        <w:t xml:space="preserve">ed </w:t>
      </w:r>
      <w:r w:rsidRPr="00910DD1">
        <w:rPr>
          <w:rFonts w:ascii="Times New Roman" w:hAnsi="Times New Roman" w:cs="Times New Roman"/>
        </w:rPr>
        <w:t xml:space="preserve">by a single researcher or policymaker/s when considering such a multidimensional policy as </w:t>
      </w:r>
      <w:r w:rsidR="00277426" w:rsidRPr="00910DD1">
        <w:rPr>
          <w:rFonts w:ascii="Times New Roman" w:hAnsi="Times New Roman" w:cs="Times New Roman"/>
        </w:rPr>
        <w:t>climate change. Th</w:t>
      </w:r>
      <w:r w:rsidR="00102969" w:rsidRPr="00910DD1">
        <w:rPr>
          <w:rFonts w:ascii="Times New Roman" w:hAnsi="Times New Roman" w:cs="Times New Roman"/>
        </w:rPr>
        <w:t>e Delphi</w:t>
      </w:r>
      <w:r w:rsidR="00277426" w:rsidRPr="00910DD1">
        <w:rPr>
          <w:rFonts w:ascii="Times New Roman" w:hAnsi="Times New Roman" w:cs="Times New Roman"/>
        </w:rPr>
        <w:t xml:space="preserve"> method</w:t>
      </w:r>
      <w:r w:rsidRPr="00910DD1">
        <w:rPr>
          <w:rFonts w:ascii="Times New Roman" w:hAnsi="Times New Roman" w:cs="Times New Roman"/>
        </w:rPr>
        <w:t xml:space="preserve"> advances the discussion by bringing forward new aspects, ideas and </w:t>
      </w:r>
      <w:r w:rsidR="008B6C58" w:rsidRPr="00910DD1">
        <w:rPr>
          <w:rFonts w:ascii="Times New Roman" w:hAnsi="Times New Roman" w:cs="Times New Roman"/>
        </w:rPr>
        <w:t>generali</w:t>
      </w:r>
      <w:r w:rsidR="008B6C58">
        <w:rPr>
          <w:rFonts w:ascii="Times New Roman" w:hAnsi="Times New Roman" w:cs="Times New Roman"/>
        </w:rPr>
        <w:t>z</w:t>
      </w:r>
      <w:r w:rsidR="008B6C58" w:rsidRPr="00910DD1">
        <w:rPr>
          <w:rFonts w:ascii="Times New Roman" w:hAnsi="Times New Roman" w:cs="Times New Roman"/>
        </w:rPr>
        <w:t>ations</w:t>
      </w:r>
      <w:r w:rsidRPr="00910DD1">
        <w:rPr>
          <w:rFonts w:ascii="Times New Roman" w:hAnsi="Times New Roman" w:cs="Times New Roman"/>
        </w:rPr>
        <w:t>, enforcing learning processes that can contribute to improving the choices and impleme</w:t>
      </w:r>
      <w:r w:rsidR="00277426" w:rsidRPr="00910DD1">
        <w:rPr>
          <w:rFonts w:ascii="Times New Roman" w:hAnsi="Times New Roman" w:cs="Times New Roman"/>
        </w:rPr>
        <w:t>ntation of policy instruments.</w:t>
      </w:r>
    </w:p>
    <w:p w14:paraId="29BAAE18" w14:textId="77777777" w:rsidR="00902C32" w:rsidRDefault="00902C32" w:rsidP="00E47FE1">
      <w:pPr>
        <w:spacing w:after="0" w:line="480" w:lineRule="auto"/>
        <w:rPr>
          <w:rFonts w:ascii="Times New Roman" w:hAnsi="Times New Roman" w:cs="Times New Roman"/>
        </w:rPr>
      </w:pPr>
    </w:p>
    <w:p w14:paraId="25E9182E" w14:textId="77777777" w:rsidR="008B6C58" w:rsidRPr="00910DD1" w:rsidRDefault="008B6C58" w:rsidP="00E47FE1">
      <w:pPr>
        <w:spacing w:after="0" w:line="480" w:lineRule="auto"/>
        <w:rPr>
          <w:rFonts w:ascii="Times New Roman" w:hAnsi="Times New Roman" w:cs="Times New Roman"/>
        </w:rPr>
      </w:pPr>
    </w:p>
    <w:p w14:paraId="79B5990B" w14:textId="1FB9B39E" w:rsidR="00B628BD" w:rsidRPr="001B6F83" w:rsidRDefault="008B6C58" w:rsidP="001B6F83">
      <w:pPr>
        <w:pStyle w:val="Heading1"/>
        <w:numPr>
          <w:ilvl w:val="0"/>
          <w:numId w:val="0"/>
        </w:numPr>
        <w:spacing w:before="0" w:after="0" w:line="480" w:lineRule="auto"/>
        <w:ind w:left="360" w:hanging="360"/>
        <w:rPr>
          <w:rFonts w:ascii="Times New Roman" w:hAnsi="Times New Roman" w:cs="Times New Roman"/>
          <w:b w:val="0"/>
          <w:szCs w:val="28"/>
        </w:rPr>
      </w:pPr>
      <w:bookmarkStart w:id="5" w:name="_Toc358884918"/>
      <w:r w:rsidRPr="00FC4E19">
        <w:rPr>
          <w:rFonts w:ascii="Times New Roman" w:hAnsi="Times New Roman" w:cs="Times New Roman"/>
          <w:b w:val="0"/>
          <w:szCs w:val="28"/>
        </w:rPr>
        <w:t>&lt;A&gt;</w:t>
      </w:r>
      <w:r w:rsidRPr="008B6C58">
        <w:rPr>
          <w:rFonts w:ascii="Times New Roman" w:hAnsi="Times New Roman" w:cs="Times New Roman"/>
          <w:b w:val="0"/>
          <w:szCs w:val="28"/>
        </w:rPr>
        <w:t>CONCLUSION</w:t>
      </w:r>
      <w:bookmarkEnd w:id="5"/>
    </w:p>
    <w:p w14:paraId="322C81BA" w14:textId="77777777" w:rsidR="008B6C58" w:rsidRDefault="008B6C58" w:rsidP="00E47FE1">
      <w:pPr>
        <w:spacing w:after="0" w:line="480" w:lineRule="auto"/>
        <w:rPr>
          <w:rFonts w:ascii="Times New Roman" w:hAnsi="Times New Roman" w:cs="Times New Roman"/>
          <w:lang w:eastAsia="en-AU"/>
        </w:rPr>
      </w:pPr>
    </w:p>
    <w:p w14:paraId="46BD4264" w14:textId="6CAC4843" w:rsidR="00B628BD" w:rsidRPr="00910DD1" w:rsidRDefault="00190B40" w:rsidP="00E47FE1">
      <w:pPr>
        <w:spacing w:after="0" w:line="480" w:lineRule="auto"/>
        <w:rPr>
          <w:rFonts w:ascii="Times New Roman" w:hAnsi="Times New Roman" w:cs="Times New Roman"/>
          <w:lang w:eastAsia="en-AU"/>
        </w:rPr>
      </w:pPr>
      <w:r w:rsidRPr="00910DD1">
        <w:rPr>
          <w:rFonts w:ascii="Times New Roman" w:hAnsi="Times New Roman" w:cs="Times New Roman"/>
          <w:lang w:eastAsia="en-AU"/>
        </w:rPr>
        <w:t>The discussion in this chapter illustrates how</w:t>
      </w:r>
      <w:r w:rsidR="00B628BD" w:rsidRPr="00910DD1">
        <w:rPr>
          <w:rFonts w:ascii="Times New Roman" w:hAnsi="Times New Roman" w:cs="Times New Roman"/>
          <w:lang w:eastAsia="en-AU"/>
        </w:rPr>
        <w:t xml:space="preserve"> the Delphi method has and can be applied to </w:t>
      </w:r>
      <w:r w:rsidR="006C4943" w:rsidRPr="00910DD1">
        <w:rPr>
          <w:rFonts w:ascii="Times New Roman" w:hAnsi="Times New Roman" w:cs="Times New Roman"/>
          <w:lang w:eastAsia="en-AU"/>
        </w:rPr>
        <w:t xml:space="preserve">climate change </w:t>
      </w:r>
      <w:r w:rsidR="004C25F5" w:rsidRPr="00910DD1">
        <w:rPr>
          <w:rFonts w:ascii="Times New Roman" w:hAnsi="Times New Roman" w:cs="Times New Roman"/>
          <w:lang w:eastAsia="en-AU"/>
        </w:rPr>
        <w:t>policy</w:t>
      </w:r>
      <w:r w:rsidR="00B628BD" w:rsidRPr="00910DD1">
        <w:rPr>
          <w:rFonts w:ascii="Times New Roman" w:hAnsi="Times New Roman" w:cs="Times New Roman"/>
          <w:lang w:eastAsia="en-AU"/>
        </w:rPr>
        <w:t xml:space="preserve">making. </w:t>
      </w:r>
      <w:r w:rsidR="00802178" w:rsidRPr="00910DD1">
        <w:rPr>
          <w:rFonts w:ascii="Times New Roman" w:hAnsi="Times New Roman" w:cs="Times New Roman"/>
          <w:lang w:eastAsia="en-AU"/>
        </w:rPr>
        <w:t>The example</w:t>
      </w:r>
      <w:r w:rsidR="00FB19E3" w:rsidRPr="00910DD1">
        <w:rPr>
          <w:rFonts w:ascii="Times New Roman" w:hAnsi="Times New Roman" w:cs="Times New Roman"/>
          <w:lang w:eastAsia="en-AU"/>
        </w:rPr>
        <w:t xml:space="preserve">s </w:t>
      </w:r>
      <w:r w:rsidRPr="00910DD1">
        <w:rPr>
          <w:rFonts w:ascii="Times New Roman" w:hAnsi="Times New Roman" w:cs="Times New Roman"/>
          <w:lang w:eastAsia="en-AU"/>
        </w:rPr>
        <w:t>discussed</w:t>
      </w:r>
      <w:r w:rsidR="00FB19E3" w:rsidRPr="00910DD1">
        <w:rPr>
          <w:rFonts w:ascii="Times New Roman" w:hAnsi="Times New Roman" w:cs="Times New Roman"/>
          <w:lang w:eastAsia="en-AU"/>
        </w:rPr>
        <w:t xml:space="preserve">, including the </w:t>
      </w:r>
      <w:r w:rsidR="00802178" w:rsidRPr="00910DD1">
        <w:rPr>
          <w:rFonts w:ascii="Times New Roman" w:hAnsi="Times New Roman" w:cs="Times New Roman"/>
          <w:lang w:eastAsia="en-AU"/>
        </w:rPr>
        <w:t xml:space="preserve">Delphi </w:t>
      </w:r>
      <w:r w:rsidRPr="00910DD1">
        <w:rPr>
          <w:rFonts w:ascii="Times New Roman" w:hAnsi="Times New Roman" w:cs="Times New Roman"/>
          <w:lang w:eastAsia="en-AU"/>
        </w:rPr>
        <w:t xml:space="preserve">study </w:t>
      </w:r>
      <w:r w:rsidR="00802178" w:rsidRPr="00910DD1">
        <w:rPr>
          <w:rFonts w:ascii="Times New Roman" w:hAnsi="Times New Roman" w:cs="Times New Roman"/>
          <w:lang w:eastAsia="en-AU"/>
        </w:rPr>
        <w:t xml:space="preserve">in the Australian Climate Change context, </w:t>
      </w:r>
      <w:r w:rsidRPr="00910DD1">
        <w:rPr>
          <w:rFonts w:ascii="Times New Roman" w:hAnsi="Times New Roman" w:cs="Times New Roman"/>
          <w:lang w:eastAsia="en-AU"/>
        </w:rPr>
        <w:t>validate</w:t>
      </w:r>
      <w:r w:rsidR="00802178" w:rsidRPr="00910DD1">
        <w:rPr>
          <w:rFonts w:ascii="Times New Roman" w:hAnsi="Times New Roman" w:cs="Times New Roman"/>
          <w:lang w:eastAsia="en-AU"/>
        </w:rPr>
        <w:t xml:space="preserve"> both the use of this </w:t>
      </w:r>
      <w:r w:rsidRPr="00910DD1">
        <w:rPr>
          <w:rFonts w:ascii="Times New Roman" w:hAnsi="Times New Roman" w:cs="Times New Roman"/>
          <w:lang w:eastAsia="en-AU"/>
        </w:rPr>
        <w:t xml:space="preserve">method </w:t>
      </w:r>
      <w:r w:rsidR="00802178" w:rsidRPr="00910DD1">
        <w:rPr>
          <w:rFonts w:ascii="Times New Roman" w:hAnsi="Times New Roman" w:cs="Times New Roman"/>
          <w:lang w:eastAsia="en-AU"/>
        </w:rPr>
        <w:t xml:space="preserve">in </w:t>
      </w:r>
      <w:r w:rsidR="004C25F5" w:rsidRPr="00910DD1">
        <w:rPr>
          <w:rFonts w:ascii="Times New Roman" w:hAnsi="Times New Roman" w:cs="Times New Roman"/>
          <w:lang w:eastAsia="en-AU"/>
        </w:rPr>
        <w:t>climate policy</w:t>
      </w:r>
      <w:r w:rsidR="00802178" w:rsidRPr="00910DD1">
        <w:rPr>
          <w:rFonts w:ascii="Times New Roman" w:hAnsi="Times New Roman" w:cs="Times New Roman"/>
          <w:lang w:eastAsia="en-AU"/>
        </w:rPr>
        <w:t xml:space="preserve"> research and its </w:t>
      </w:r>
      <w:r w:rsidRPr="00910DD1">
        <w:rPr>
          <w:rFonts w:ascii="Times New Roman" w:hAnsi="Times New Roman" w:cs="Times New Roman"/>
          <w:lang w:eastAsia="en-AU"/>
        </w:rPr>
        <w:t xml:space="preserve">appropriateness </w:t>
      </w:r>
      <w:r w:rsidR="004C25F5" w:rsidRPr="00910DD1">
        <w:rPr>
          <w:rFonts w:ascii="Times New Roman" w:hAnsi="Times New Roman" w:cs="Times New Roman"/>
          <w:lang w:eastAsia="en-AU"/>
        </w:rPr>
        <w:t>for policymaking</w:t>
      </w:r>
      <w:r w:rsidR="00802178" w:rsidRPr="00910DD1">
        <w:rPr>
          <w:rFonts w:ascii="Times New Roman" w:hAnsi="Times New Roman" w:cs="Times New Roman"/>
          <w:lang w:eastAsia="en-AU"/>
        </w:rPr>
        <w:t xml:space="preserve">. </w:t>
      </w:r>
      <w:r w:rsidR="009C1E7F" w:rsidRPr="00910DD1">
        <w:rPr>
          <w:rFonts w:ascii="Times New Roman" w:hAnsi="Times New Roman" w:cs="Times New Roman"/>
          <w:lang w:eastAsia="en-AU"/>
        </w:rPr>
        <w:t xml:space="preserve">This has </w:t>
      </w:r>
      <w:r w:rsidRPr="00910DD1">
        <w:rPr>
          <w:rFonts w:ascii="Times New Roman" w:hAnsi="Times New Roman" w:cs="Times New Roman"/>
          <w:lang w:eastAsia="en-AU"/>
        </w:rPr>
        <w:t>strengthened</w:t>
      </w:r>
      <w:r w:rsidR="009C1E7F" w:rsidRPr="00910DD1">
        <w:rPr>
          <w:rFonts w:ascii="Times New Roman" w:hAnsi="Times New Roman" w:cs="Times New Roman"/>
          <w:lang w:eastAsia="en-AU"/>
        </w:rPr>
        <w:t xml:space="preserve"> the utility of the technique in theoretical and reform-oriented research</w:t>
      </w:r>
      <w:r w:rsidR="003951B5" w:rsidRPr="00910DD1">
        <w:rPr>
          <w:rFonts w:ascii="Times New Roman" w:hAnsi="Times New Roman" w:cs="Times New Roman"/>
          <w:lang w:eastAsia="en-AU"/>
        </w:rPr>
        <w:t xml:space="preserve">, particularly as a method of identifying and ranking key evaluative criteria to be applied in a </w:t>
      </w:r>
      <w:r w:rsidR="004C25F5" w:rsidRPr="00910DD1">
        <w:rPr>
          <w:rFonts w:ascii="Times New Roman" w:hAnsi="Times New Roman" w:cs="Times New Roman"/>
          <w:lang w:eastAsia="en-AU"/>
        </w:rPr>
        <w:lastRenderedPageBreak/>
        <w:t>policy</w:t>
      </w:r>
      <w:r w:rsidR="003951B5" w:rsidRPr="00910DD1">
        <w:rPr>
          <w:rFonts w:ascii="Times New Roman" w:hAnsi="Times New Roman" w:cs="Times New Roman"/>
          <w:lang w:eastAsia="en-AU"/>
        </w:rPr>
        <w:t xml:space="preserve"> analysis whether of an existing regime or to assist with the choice of a regime from a variety of policy options</w:t>
      </w:r>
      <w:r w:rsidR="009C1E7F" w:rsidRPr="00910DD1">
        <w:rPr>
          <w:rFonts w:ascii="Times New Roman" w:hAnsi="Times New Roman" w:cs="Times New Roman"/>
          <w:lang w:eastAsia="en-AU"/>
        </w:rPr>
        <w:t>.</w:t>
      </w:r>
    </w:p>
    <w:p w14:paraId="65A8D8DB" w14:textId="01695D8E" w:rsidR="00B92717" w:rsidRPr="00910DD1" w:rsidRDefault="008C7872" w:rsidP="001B6F83">
      <w:pPr>
        <w:spacing w:after="0" w:line="480" w:lineRule="auto"/>
        <w:ind w:firstLine="720"/>
        <w:rPr>
          <w:rFonts w:ascii="Times New Roman" w:hAnsi="Times New Roman" w:cs="Times New Roman"/>
          <w:lang w:eastAsia="en-AU"/>
        </w:rPr>
      </w:pPr>
      <w:r w:rsidRPr="00910DD1">
        <w:rPr>
          <w:rFonts w:ascii="Times New Roman" w:hAnsi="Times New Roman" w:cs="Times New Roman"/>
          <w:lang w:eastAsia="en-AU"/>
        </w:rPr>
        <w:t xml:space="preserve">There </w:t>
      </w:r>
      <w:r w:rsidR="004C25F5" w:rsidRPr="00910DD1">
        <w:rPr>
          <w:rFonts w:ascii="Times New Roman" w:hAnsi="Times New Roman" w:cs="Times New Roman"/>
          <w:lang w:eastAsia="en-AU"/>
        </w:rPr>
        <w:t>are</w:t>
      </w:r>
      <w:r w:rsidRPr="00910DD1">
        <w:rPr>
          <w:rFonts w:ascii="Times New Roman" w:hAnsi="Times New Roman" w:cs="Times New Roman"/>
          <w:lang w:eastAsia="en-AU"/>
        </w:rPr>
        <w:t xml:space="preserve"> criticisms of the Delphi method but the greatest criticism </w:t>
      </w:r>
      <w:r w:rsidR="005F36E8" w:rsidRPr="00910DD1">
        <w:rPr>
          <w:rFonts w:ascii="Times New Roman" w:hAnsi="Times New Roman" w:cs="Times New Roman"/>
          <w:lang w:eastAsia="en-AU"/>
        </w:rPr>
        <w:t>narrates</w:t>
      </w:r>
      <w:r w:rsidRPr="00910DD1">
        <w:rPr>
          <w:rFonts w:ascii="Times New Roman" w:hAnsi="Times New Roman" w:cs="Times New Roman"/>
          <w:lang w:eastAsia="en-AU"/>
        </w:rPr>
        <w:t xml:space="preserve"> to the way the method is carried out, in particular, how the experts are chosen. It relies upon the skill of the researcher in defining who is an expert in the field being investigated. </w:t>
      </w:r>
      <w:r w:rsidR="005F378F" w:rsidRPr="00910DD1">
        <w:rPr>
          <w:rFonts w:ascii="Times New Roman" w:hAnsi="Times New Roman" w:cs="Times New Roman"/>
          <w:lang w:eastAsia="en-AU"/>
        </w:rPr>
        <w:t>Conversely, the propon</w:t>
      </w:r>
      <w:r w:rsidR="00162620" w:rsidRPr="00910DD1">
        <w:rPr>
          <w:rFonts w:ascii="Times New Roman" w:hAnsi="Times New Roman" w:cs="Times New Roman"/>
          <w:lang w:eastAsia="en-AU"/>
        </w:rPr>
        <w:t>ents of the technique</w:t>
      </w:r>
      <w:r w:rsidR="005F378F" w:rsidRPr="00910DD1">
        <w:rPr>
          <w:rFonts w:ascii="Times New Roman" w:hAnsi="Times New Roman" w:cs="Times New Roman"/>
          <w:lang w:eastAsia="en-AU"/>
        </w:rPr>
        <w:t xml:space="preserve"> hail the flexibility of the</w:t>
      </w:r>
      <w:r w:rsidR="00162620" w:rsidRPr="00910DD1">
        <w:rPr>
          <w:rFonts w:ascii="Times New Roman" w:hAnsi="Times New Roman" w:cs="Times New Roman"/>
          <w:lang w:eastAsia="en-AU"/>
        </w:rPr>
        <w:t xml:space="preserve"> Delphi</w:t>
      </w:r>
      <w:r w:rsidR="005F378F" w:rsidRPr="00910DD1">
        <w:rPr>
          <w:rFonts w:ascii="Times New Roman" w:hAnsi="Times New Roman" w:cs="Times New Roman"/>
          <w:lang w:eastAsia="en-AU"/>
        </w:rPr>
        <w:t xml:space="preserve"> method, its ability to </w:t>
      </w:r>
      <w:r w:rsidR="00162620" w:rsidRPr="00910DD1">
        <w:rPr>
          <w:rFonts w:ascii="Times New Roman" w:hAnsi="Times New Roman" w:cs="Times New Roman"/>
          <w:lang w:eastAsia="en-AU"/>
        </w:rPr>
        <w:t>obtain ‘</w:t>
      </w:r>
      <w:r w:rsidR="00B92717" w:rsidRPr="00910DD1">
        <w:rPr>
          <w:rFonts w:ascii="Times New Roman" w:hAnsi="Times New Roman" w:cs="Times New Roman"/>
          <w:lang w:eastAsia="en-AU"/>
        </w:rPr>
        <w:t xml:space="preserve">equal and </w:t>
      </w:r>
      <w:r w:rsidR="00162620" w:rsidRPr="00910DD1">
        <w:rPr>
          <w:rFonts w:ascii="Times New Roman" w:hAnsi="Times New Roman" w:cs="Times New Roman"/>
          <w:lang w:eastAsia="en-AU"/>
        </w:rPr>
        <w:t>balanced participation’ with reduced peer-pressure thereby providing for consensus based conclusions, and</w:t>
      </w:r>
      <w:r w:rsidR="00B92717" w:rsidRPr="00910DD1">
        <w:rPr>
          <w:rFonts w:ascii="Times New Roman" w:hAnsi="Times New Roman" w:cs="Times New Roman"/>
          <w:lang w:eastAsia="en-AU"/>
        </w:rPr>
        <w:t xml:space="preserve"> the ability of the method to clarify complex and ambiguous issues and achieve valid judg</w:t>
      </w:r>
      <w:r w:rsidR="00CF6D48">
        <w:rPr>
          <w:rFonts w:ascii="Times New Roman" w:hAnsi="Times New Roman" w:cs="Times New Roman"/>
          <w:lang w:eastAsia="en-AU"/>
        </w:rPr>
        <w:t>e</w:t>
      </w:r>
      <w:r w:rsidR="00B92717" w:rsidRPr="00910DD1">
        <w:rPr>
          <w:rFonts w:ascii="Times New Roman" w:hAnsi="Times New Roman" w:cs="Times New Roman"/>
          <w:lang w:eastAsia="en-AU"/>
        </w:rPr>
        <w:t>ments</w:t>
      </w:r>
      <w:r w:rsidR="00162620" w:rsidRPr="00910DD1">
        <w:rPr>
          <w:rFonts w:ascii="Times New Roman" w:hAnsi="Times New Roman" w:cs="Times New Roman"/>
          <w:lang w:eastAsia="en-AU"/>
        </w:rPr>
        <w:t>.</w:t>
      </w:r>
      <w:r w:rsidR="001964A9" w:rsidRPr="00910DD1">
        <w:rPr>
          <w:rFonts w:ascii="Times New Roman" w:hAnsi="Times New Roman" w:cs="Times New Roman"/>
          <w:lang w:eastAsia="en-AU"/>
        </w:rPr>
        <w:t xml:space="preserve"> </w:t>
      </w:r>
      <w:r w:rsidR="00901FFB" w:rsidRPr="00910DD1">
        <w:rPr>
          <w:rFonts w:ascii="Times New Roman" w:hAnsi="Times New Roman" w:cs="Times New Roman"/>
          <w:lang w:eastAsia="en-AU"/>
        </w:rPr>
        <w:t xml:space="preserve">Whether the Delphi method is </w:t>
      </w:r>
      <w:r w:rsidR="008B6C58" w:rsidRPr="00910DD1">
        <w:rPr>
          <w:rFonts w:ascii="Times New Roman" w:hAnsi="Times New Roman" w:cs="Times New Roman"/>
          <w:lang w:eastAsia="en-AU"/>
        </w:rPr>
        <w:t>utili</w:t>
      </w:r>
      <w:r w:rsidR="008B6C58">
        <w:rPr>
          <w:rFonts w:ascii="Times New Roman" w:hAnsi="Times New Roman" w:cs="Times New Roman"/>
          <w:lang w:eastAsia="en-AU"/>
        </w:rPr>
        <w:t>z</w:t>
      </w:r>
      <w:r w:rsidR="008B6C58" w:rsidRPr="00910DD1">
        <w:rPr>
          <w:rFonts w:ascii="Times New Roman" w:hAnsi="Times New Roman" w:cs="Times New Roman"/>
          <w:lang w:eastAsia="en-AU"/>
        </w:rPr>
        <w:t xml:space="preserve">ed </w:t>
      </w:r>
      <w:r w:rsidR="00901FFB" w:rsidRPr="00910DD1">
        <w:rPr>
          <w:rFonts w:ascii="Times New Roman" w:hAnsi="Times New Roman" w:cs="Times New Roman"/>
          <w:lang w:eastAsia="en-AU"/>
        </w:rPr>
        <w:t xml:space="preserve">in empirical or theoretical research or in </w:t>
      </w:r>
      <w:r w:rsidR="009028E1" w:rsidRPr="00910DD1">
        <w:rPr>
          <w:rFonts w:ascii="Times New Roman" w:hAnsi="Times New Roman" w:cs="Times New Roman"/>
          <w:lang w:eastAsia="en-AU"/>
        </w:rPr>
        <w:t>policy</w:t>
      </w:r>
      <w:r w:rsidR="00901FFB" w:rsidRPr="00910DD1">
        <w:rPr>
          <w:rFonts w:ascii="Times New Roman" w:hAnsi="Times New Roman" w:cs="Times New Roman"/>
          <w:lang w:eastAsia="en-AU"/>
        </w:rPr>
        <w:t xml:space="preserve">making, this </w:t>
      </w:r>
      <w:r w:rsidR="00A30735" w:rsidRPr="00910DD1">
        <w:rPr>
          <w:rFonts w:ascii="Times New Roman" w:hAnsi="Times New Roman" w:cs="Times New Roman"/>
          <w:lang w:eastAsia="en-AU"/>
        </w:rPr>
        <w:t>chapter</w:t>
      </w:r>
      <w:r w:rsidR="00901FFB" w:rsidRPr="00910DD1">
        <w:rPr>
          <w:rFonts w:ascii="Times New Roman" w:hAnsi="Times New Roman" w:cs="Times New Roman"/>
          <w:lang w:eastAsia="en-AU"/>
        </w:rPr>
        <w:t xml:space="preserve"> has demonstrated the strength of the technique in providing transparent and justified </w:t>
      </w:r>
      <w:r w:rsidR="001964A9" w:rsidRPr="00910DD1">
        <w:rPr>
          <w:rFonts w:ascii="Times New Roman" w:hAnsi="Times New Roman" w:cs="Times New Roman"/>
          <w:lang w:eastAsia="en-AU"/>
        </w:rPr>
        <w:t>results</w:t>
      </w:r>
      <w:r w:rsidR="00641144" w:rsidRPr="00910DD1">
        <w:rPr>
          <w:rFonts w:ascii="Times New Roman" w:hAnsi="Times New Roman" w:cs="Times New Roman"/>
          <w:lang w:eastAsia="en-AU"/>
        </w:rPr>
        <w:t xml:space="preserve">, which in turn reinforces the utility of the method as a research and/or </w:t>
      </w:r>
      <w:r w:rsidR="009028E1" w:rsidRPr="00910DD1">
        <w:rPr>
          <w:rFonts w:ascii="Times New Roman" w:hAnsi="Times New Roman" w:cs="Times New Roman"/>
          <w:lang w:eastAsia="en-AU"/>
        </w:rPr>
        <w:t>policy</w:t>
      </w:r>
      <w:r w:rsidR="00641144" w:rsidRPr="00910DD1">
        <w:rPr>
          <w:rFonts w:ascii="Times New Roman" w:hAnsi="Times New Roman" w:cs="Times New Roman"/>
          <w:lang w:eastAsia="en-AU"/>
        </w:rPr>
        <w:t>making tool.</w:t>
      </w:r>
    </w:p>
    <w:p w14:paraId="1994444B" w14:textId="77777777" w:rsidR="00910DD1" w:rsidRDefault="00910DD1" w:rsidP="00E47FE1">
      <w:pPr>
        <w:spacing w:after="0" w:line="480" w:lineRule="auto"/>
        <w:rPr>
          <w:rFonts w:ascii="Times New Roman" w:hAnsi="Times New Roman" w:cs="Times New Roman"/>
          <w:sz w:val="24"/>
          <w:szCs w:val="24"/>
          <w:lang w:eastAsia="en-AU"/>
        </w:rPr>
      </w:pPr>
    </w:p>
    <w:p w14:paraId="327273A4" w14:textId="77777777" w:rsidR="008B6C58" w:rsidRDefault="008B6C58" w:rsidP="00E47FE1">
      <w:pPr>
        <w:spacing w:after="0" w:line="480" w:lineRule="auto"/>
        <w:rPr>
          <w:rFonts w:ascii="Times New Roman" w:hAnsi="Times New Roman" w:cs="Times New Roman"/>
          <w:sz w:val="24"/>
          <w:szCs w:val="24"/>
          <w:lang w:eastAsia="en-AU"/>
        </w:rPr>
      </w:pPr>
    </w:p>
    <w:p w14:paraId="6BCB2BB9" w14:textId="6C594D8B" w:rsidR="008B6C58" w:rsidRPr="00B628BD" w:rsidRDefault="008B6C58" w:rsidP="00E47FE1">
      <w:pPr>
        <w:spacing w:after="0" w:line="480" w:lineRule="auto"/>
        <w:rPr>
          <w:rFonts w:ascii="Times New Roman" w:hAnsi="Times New Roman" w:cs="Times New Roman"/>
          <w:sz w:val="24"/>
          <w:szCs w:val="24"/>
          <w:lang w:eastAsia="en-AU"/>
        </w:rPr>
      </w:pPr>
      <w:r>
        <w:rPr>
          <w:rFonts w:ascii="Times New Roman" w:hAnsi="Times New Roman" w:cs="Times New Roman"/>
          <w:sz w:val="24"/>
          <w:szCs w:val="24"/>
          <w:lang w:eastAsia="en-AU"/>
        </w:rPr>
        <w:t>&lt;A&gt;NOTES</w:t>
      </w:r>
    </w:p>
    <w:sectPr w:rsidR="008B6C58" w:rsidRPr="00B628BD" w:rsidSect="00A036D0">
      <w:headerReference w:type="default" r:id="rId9"/>
      <w:footerReference w:type="default" r:id="rId10"/>
      <w:endnotePr>
        <w:numFmt w:val="decimal"/>
      </w:end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99D0F" w14:textId="77777777" w:rsidR="00262900" w:rsidRDefault="00262900" w:rsidP="00F26419">
      <w:pPr>
        <w:spacing w:after="0" w:line="240" w:lineRule="auto"/>
      </w:pPr>
      <w:r>
        <w:separator/>
      </w:r>
    </w:p>
  </w:endnote>
  <w:endnote w:type="continuationSeparator" w:id="0">
    <w:p w14:paraId="05093819" w14:textId="77777777" w:rsidR="00262900" w:rsidRDefault="00262900" w:rsidP="00F26419">
      <w:pPr>
        <w:spacing w:after="0" w:line="240" w:lineRule="auto"/>
      </w:pPr>
      <w:r>
        <w:continuationSeparator/>
      </w:r>
    </w:p>
  </w:endnote>
  <w:endnote w:id="1">
    <w:p w14:paraId="2234A123" w14:textId="7777777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sym w:font="Symbol" w:char="F02A"/>
      </w:r>
      <w:r w:rsidRPr="00404C5A">
        <w:rPr>
          <w:rFonts w:ascii="Times New Roman" w:hAnsi="Times New Roman" w:cs="Times New Roman"/>
          <w:sz w:val="22"/>
          <w:szCs w:val="22"/>
        </w:rPr>
        <w:t xml:space="preserve"> Evgeny Guglyuvatyy is a Lecturer in the School of Law and Justice at the Southern Cross University.</w:t>
      </w:r>
    </w:p>
  </w:endnote>
  <w:endnote w:id="2">
    <w:p w14:paraId="58168704" w14:textId="7777777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sym w:font="Symbol" w:char="F02A"/>
      </w:r>
      <w:r w:rsidRPr="00404C5A">
        <w:rPr>
          <w:rStyle w:val="EndnoteReference"/>
          <w:rFonts w:ascii="Times New Roman" w:hAnsi="Times New Roman" w:cs="Times New Roman"/>
          <w:sz w:val="22"/>
          <w:szCs w:val="22"/>
        </w:rPr>
        <w:sym w:font="Symbol" w:char="F02A"/>
      </w:r>
      <w:r w:rsidRPr="00404C5A">
        <w:rPr>
          <w:rFonts w:ascii="Times New Roman" w:hAnsi="Times New Roman" w:cs="Times New Roman"/>
          <w:sz w:val="22"/>
          <w:szCs w:val="22"/>
        </w:rPr>
        <w:t xml:space="preserve"> Natalie Stoianoff is a Professor in the Faculty of Law at the University of Technology, Sydney, and the Director of the Intellectual Property Program.</w:t>
      </w:r>
    </w:p>
  </w:endnote>
  <w:endnote w:id="3">
    <w:p w14:paraId="73469358" w14:textId="7777777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 xml:space="preserve">Mickwitz, </w:t>
      </w:r>
      <w:r>
        <w:rPr>
          <w:rFonts w:ascii="Times New Roman" w:hAnsi="Times New Roman" w:cs="Times New Roman"/>
          <w:sz w:val="22"/>
          <w:szCs w:val="22"/>
        </w:rPr>
        <w:t>P</w:t>
      </w:r>
      <w:r>
        <w:rPr>
          <w:rFonts w:ascii="Times New Roman" w:hAnsi="Times New Roman" w:cs="Times New Roman"/>
          <w:i/>
          <w:sz w:val="22"/>
          <w:szCs w:val="22"/>
        </w:rPr>
        <w:t xml:space="preserve">. </w:t>
      </w:r>
      <w:r w:rsidRPr="006D07ED">
        <w:rPr>
          <w:rFonts w:ascii="Times New Roman" w:hAnsi="Times New Roman" w:cs="Times New Roman"/>
          <w:sz w:val="22"/>
          <w:szCs w:val="22"/>
        </w:rPr>
        <w:t>(2006)</w:t>
      </w:r>
      <w:r>
        <w:rPr>
          <w:rFonts w:ascii="Times New Roman" w:hAnsi="Times New Roman" w:cs="Times New Roman"/>
          <w:sz w:val="22"/>
          <w:szCs w:val="22"/>
        </w:rPr>
        <w:t>,</w:t>
      </w:r>
      <w:r>
        <w:rPr>
          <w:rFonts w:ascii="Times New Roman" w:hAnsi="Times New Roman" w:cs="Times New Roman"/>
          <w:i/>
          <w:sz w:val="22"/>
          <w:szCs w:val="22"/>
        </w:rPr>
        <w:t xml:space="preserve"> </w:t>
      </w:r>
      <w:r w:rsidRPr="00404C5A">
        <w:rPr>
          <w:rFonts w:ascii="Times New Roman" w:hAnsi="Times New Roman" w:cs="Times New Roman"/>
          <w:i/>
          <w:sz w:val="22"/>
          <w:szCs w:val="22"/>
        </w:rPr>
        <w:t>Environmental Policy Ev</w:t>
      </w:r>
      <w:r>
        <w:rPr>
          <w:rFonts w:ascii="Times New Roman" w:hAnsi="Times New Roman" w:cs="Times New Roman"/>
          <w:i/>
          <w:sz w:val="22"/>
          <w:szCs w:val="22"/>
        </w:rPr>
        <w:t>aluation: Concepts and Practice</w:t>
      </w:r>
      <w:r w:rsidRPr="00404C5A">
        <w:rPr>
          <w:rFonts w:ascii="Times New Roman" w:hAnsi="Times New Roman" w:cs="Times New Roman"/>
          <w:sz w:val="22"/>
          <w:szCs w:val="22"/>
        </w:rPr>
        <w:t>, Tampere, Commentationes Scienti</w:t>
      </w:r>
      <w:r>
        <w:rPr>
          <w:rFonts w:ascii="Times New Roman" w:hAnsi="Times New Roman" w:cs="Times New Roman"/>
          <w:sz w:val="22"/>
          <w:szCs w:val="22"/>
        </w:rPr>
        <w:t>arum Socialium</w:t>
      </w:r>
      <w:r w:rsidRPr="00404C5A">
        <w:rPr>
          <w:rFonts w:ascii="Times New Roman" w:hAnsi="Times New Roman" w:cs="Times New Roman"/>
          <w:sz w:val="22"/>
          <w:szCs w:val="22"/>
        </w:rPr>
        <w:t>.</w:t>
      </w:r>
    </w:p>
  </w:endnote>
  <w:endnote w:id="4">
    <w:p w14:paraId="758F9093" w14:textId="3F370158"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Kingdon,</w:t>
      </w:r>
      <w:r>
        <w:rPr>
          <w:rFonts w:ascii="Times New Roman" w:hAnsi="Times New Roman" w:cs="Times New Roman"/>
          <w:sz w:val="22"/>
          <w:szCs w:val="22"/>
        </w:rPr>
        <w:t xml:space="preserve"> J.D. (1995),</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Agendas,</w:t>
      </w:r>
      <w:r>
        <w:rPr>
          <w:rFonts w:ascii="Times New Roman" w:hAnsi="Times New Roman" w:cs="Times New Roman"/>
          <w:i/>
          <w:sz w:val="22"/>
          <w:szCs w:val="22"/>
        </w:rPr>
        <w:t xml:space="preserve"> Alternatives and Public Policy</w:t>
      </w:r>
      <w:r>
        <w:rPr>
          <w:rFonts w:ascii="Times New Roman" w:hAnsi="Times New Roman" w:cs="Times New Roman"/>
          <w:sz w:val="22"/>
          <w:szCs w:val="22"/>
        </w:rPr>
        <w:t>, New York: HarperCollins</w:t>
      </w:r>
      <w:r w:rsidRPr="00404C5A">
        <w:rPr>
          <w:rFonts w:ascii="Times New Roman" w:hAnsi="Times New Roman" w:cs="Times New Roman"/>
          <w:sz w:val="22"/>
          <w:szCs w:val="22"/>
        </w:rPr>
        <w:t>; Zahariadis,</w:t>
      </w:r>
      <w:r>
        <w:rPr>
          <w:rFonts w:ascii="Times New Roman" w:hAnsi="Times New Roman" w:cs="Times New Roman"/>
          <w:sz w:val="22"/>
          <w:szCs w:val="22"/>
        </w:rPr>
        <w:t xml:space="preserve"> N. (2003),</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Ambiguity and Choice in Public Policy. Political Decision Making in Modern Democracies</w:t>
      </w:r>
      <w:r w:rsidRPr="00404C5A">
        <w:rPr>
          <w:rFonts w:ascii="Times New Roman" w:hAnsi="Times New Roman" w:cs="Times New Roman"/>
          <w:sz w:val="22"/>
          <w:szCs w:val="22"/>
        </w:rPr>
        <w:t>, Washington DC</w:t>
      </w:r>
      <w:r>
        <w:rPr>
          <w:rFonts w:ascii="Times New Roman" w:hAnsi="Times New Roman" w:cs="Times New Roman"/>
          <w:sz w:val="22"/>
          <w:szCs w:val="22"/>
        </w:rPr>
        <w:t>:</w:t>
      </w:r>
      <w:r w:rsidRPr="00404C5A">
        <w:rPr>
          <w:rFonts w:ascii="Times New Roman" w:hAnsi="Times New Roman" w:cs="Times New Roman"/>
          <w:sz w:val="22"/>
          <w:szCs w:val="22"/>
        </w:rPr>
        <w:t xml:space="preserve"> Georgetown University Pre</w:t>
      </w:r>
      <w:r>
        <w:rPr>
          <w:rFonts w:ascii="Times New Roman" w:hAnsi="Times New Roman" w:cs="Times New Roman"/>
          <w:sz w:val="22"/>
          <w:szCs w:val="22"/>
        </w:rPr>
        <w:t>ss</w:t>
      </w:r>
      <w:r w:rsidRPr="00404C5A">
        <w:rPr>
          <w:rFonts w:ascii="Times New Roman" w:hAnsi="Times New Roman" w:cs="Times New Roman"/>
          <w:sz w:val="22"/>
          <w:szCs w:val="22"/>
        </w:rPr>
        <w:t>.</w:t>
      </w:r>
    </w:p>
  </w:endnote>
  <w:endnote w:id="5">
    <w:p w14:paraId="1FAA501D" w14:textId="4E42C09A"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proofErr w:type="gramStart"/>
      <w:r w:rsidRPr="00404C5A">
        <w:rPr>
          <w:rFonts w:ascii="Times New Roman" w:hAnsi="Times New Roman" w:cs="Times New Roman"/>
          <w:sz w:val="22"/>
          <w:szCs w:val="22"/>
        </w:rPr>
        <w:t xml:space="preserve">Becker, </w:t>
      </w:r>
      <w:r>
        <w:rPr>
          <w:rFonts w:ascii="Times New Roman" w:hAnsi="Times New Roman" w:cs="Times New Roman"/>
          <w:sz w:val="22"/>
          <w:szCs w:val="22"/>
        </w:rPr>
        <w:t xml:space="preserve">G. (1983), </w:t>
      </w:r>
      <w:r w:rsidRPr="00404C5A">
        <w:rPr>
          <w:rFonts w:ascii="Times New Roman" w:hAnsi="Times New Roman" w:cs="Times New Roman"/>
          <w:sz w:val="22"/>
          <w:szCs w:val="22"/>
        </w:rPr>
        <w:t>‘A Theory of Competition among Pressure Groups for Political Influence’</w:t>
      </w:r>
      <w:r>
        <w:rPr>
          <w:rFonts w:ascii="Times New Roman" w:hAnsi="Times New Roman" w:cs="Times New Roman"/>
          <w:sz w:val="22"/>
          <w:szCs w:val="22"/>
        </w:rPr>
        <w:t>,</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Quarterly Journal of Economics</w:t>
      </w:r>
      <w:r w:rsidRPr="00404C5A">
        <w:rPr>
          <w:rFonts w:ascii="Times New Roman" w:hAnsi="Times New Roman" w:cs="Times New Roman"/>
          <w:sz w:val="22"/>
          <w:szCs w:val="22"/>
        </w:rPr>
        <w:t>, 98, 371</w:t>
      </w:r>
      <w:r>
        <w:rPr>
          <w:rFonts w:ascii="Times New Roman" w:hAnsi="Times New Roman" w:cs="Times New Roman"/>
          <w:sz w:val="22"/>
          <w:szCs w:val="22"/>
        </w:rPr>
        <w:t>‒</w:t>
      </w:r>
      <w:r w:rsidRPr="00404C5A">
        <w:rPr>
          <w:rFonts w:ascii="Times New Roman" w:hAnsi="Times New Roman" w:cs="Times New Roman"/>
          <w:sz w:val="22"/>
          <w:szCs w:val="22"/>
        </w:rPr>
        <w:t>400.</w:t>
      </w:r>
      <w:proofErr w:type="gramEnd"/>
    </w:p>
  </w:endnote>
  <w:endnote w:id="6">
    <w:p w14:paraId="63D033FC" w14:textId="71E3BECA"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Bernauer</w:t>
      </w:r>
      <w:r>
        <w:rPr>
          <w:rFonts w:ascii="Times New Roman" w:hAnsi="Times New Roman" w:cs="Times New Roman"/>
          <w:sz w:val="22"/>
          <w:szCs w:val="22"/>
        </w:rPr>
        <w:t>, T.</w:t>
      </w:r>
      <w:r w:rsidRPr="00404C5A">
        <w:rPr>
          <w:rFonts w:ascii="Times New Roman" w:hAnsi="Times New Roman" w:cs="Times New Roman"/>
          <w:sz w:val="22"/>
          <w:szCs w:val="22"/>
        </w:rPr>
        <w:t xml:space="preserve"> and L</w:t>
      </w:r>
      <w:r>
        <w:rPr>
          <w:rFonts w:ascii="Times New Roman" w:hAnsi="Times New Roman" w:cs="Times New Roman"/>
          <w:sz w:val="22"/>
          <w:szCs w:val="22"/>
        </w:rPr>
        <w:t>.</w:t>
      </w:r>
      <w:r w:rsidRPr="00404C5A">
        <w:rPr>
          <w:rFonts w:ascii="Times New Roman" w:hAnsi="Times New Roman" w:cs="Times New Roman"/>
          <w:sz w:val="22"/>
          <w:szCs w:val="22"/>
        </w:rPr>
        <w:t xml:space="preserve"> Caduff</w:t>
      </w:r>
      <w:r>
        <w:rPr>
          <w:rFonts w:ascii="Times New Roman" w:hAnsi="Times New Roman" w:cs="Times New Roman"/>
          <w:sz w:val="22"/>
          <w:szCs w:val="22"/>
        </w:rPr>
        <w:t xml:space="preserve"> (2004),</w:t>
      </w:r>
      <w:r w:rsidRPr="00404C5A">
        <w:rPr>
          <w:rFonts w:ascii="Times New Roman" w:hAnsi="Times New Roman" w:cs="Times New Roman"/>
          <w:sz w:val="22"/>
          <w:szCs w:val="22"/>
        </w:rPr>
        <w:t xml:space="preserve"> 'In Whose Interest? </w:t>
      </w:r>
      <w:proofErr w:type="gramStart"/>
      <w:r w:rsidRPr="00404C5A">
        <w:rPr>
          <w:rFonts w:ascii="Times New Roman" w:hAnsi="Times New Roman" w:cs="Times New Roman"/>
          <w:sz w:val="22"/>
          <w:szCs w:val="22"/>
        </w:rPr>
        <w:t xml:space="preserve">Pressure Group Politics, Economic Competition and Environmental Regulation’, </w:t>
      </w:r>
      <w:r w:rsidRPr="00404C5A">
        <w:rPr>
          <w:rFonts w:ascii="Times New Roman" w:hAnsi="Times New Roman" w:cs="Times New Roman"/>
          <w:i/>
          <w:sz w:val="22"/>
          <w:szCs w:val="22"/>
        </w:rPr>
        <w:t>Journal of Public Policy</w:t>
      </w:r>
      <w:r w:rsidRPr="00404C5A">
        <w:rPr>
          <w:rFonts w:ascii="Times New Roman" w:hAnsi="Times New Roman" w:cs="Times New Roman"/>
          <w:sz w:val="22"/>
          <w:szCs w:val="22"/>
        </w:rPr>
        <w:t>, 24, 99</w:t>
      </w:r>
      <w:r>
        <w:rPr>
          <w:rFonts w:ascii="Times New Roman" w:hAnsi="Times New Roman" w:cs="Times New Roman"/>
          <w:sz w:val="22"/>
          <w:szCs w:val="22"/>
        </w:rPr>
        <w:t>‒</w:t>
      </w:r>
      <w:r w:rsidRPr="00404C5A">
        <w:rPr>
          <w:rFonts w:ascii="Times New Roman" w:hAnsi="Times New Roman" w:cs="Times New Roman"/>
          <w:sz w:val="22"/>
          <w:szCs w:val="22"/>
        </w:rPr>
        <w:t>126, 100.</w:t>
      </w:r>
      <w:proofErr w:type="gramEnd"/>
    </w:p>
  </w:endnote>
  <w:endnote w:id="7">
    <w:p w14:paraId="45674761" w14:textId="491B4C56"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proofErr w:type="gramStart"/>
      <w:r w:rsidRPr="00404C5A">
        <w:rPr>
          <w:rFonts w:ascii="Times New Roman" w:hAnsi="Times New Roman" w:cs="Times New Roman"/>
          <w:sz w:val="22"/>
          <w:szCs w:val="22"/>
        </w:rPr>
        <w:t>Sanderson,</w:t>
      </w:r>
      <w:r>
        <w:rPr>
          <w:rFonts w:ascii="Times New Roman" w:hAnsi="Times New Roman" w:cs="Times New Roman"/>
          <w:sz w:val="22"/>
          <w:szCs w:val="22"/>
        </w:rPr>
        <w:t xml:space="preserve"> </w:t>
      </w:r>
      <w:r w:rsidRPr="00404C5A">
        <w:rPr>
          <w:rFonts w:ascii="Times New Roman" w:hAnsi="Times New Roman" w:cs="Times New Roman"/>
          <w:sz w:val="22"/>
          <w:szCs w:val="22"/>
        </w:rPr>
        <w:t>Ian</w:t>
      </w:r>
      <w:r>
        <w:rPr>
          <w:rFonts w:ascii="Times New Roman" w:hAnsi="Times New Roman" w:cs="Times New Roman"/>
          <w:sz w:val="22"/>
          <w:szCs w:val="22"/>
        </w:rPr>
        <w:t xml:space="preserve"> (2002),</w:t>
      </w:r>
      <w:r w:rsidRPr="00404C5A">
        <w:rPr>
          <w:rFonts w:ascii="Times New Roman" w:hAnsi="Times New Roman" w:cs="Times New Roman"/>
          <w:sz w:val="22"/>
          <w:szCs w:val="22"/>
        </w:rPr>
        <w:t xml:space="preserve"> ‘Evaluation, Policy-learning and Evidence Based Policy Making’, </w:t>
      </w:r>
      <w:r w:rsidRPr="00404C5A">
        <w:rPr>
          <w:rFonts w:ascii="Times New Roman" w:hAnsi="Times New Roman" w:cs="Times New Roman"/>
          <w:i/>
          <w:sz w:val="22"/>
          <w:szCs w:val="22"/>
        </w:rPr>
        <w:t>Public Administration</w:t>
      </w:r>
      <w:r w:rsidRPr="00404C5A">
        <w:rPr>
          <w:rFonts w:ascii="Times New Roman" w:hAnsi="Times New Roman" w:cs="Times New Roman"/>
          <w:sz w:val="22"/>
          <w:szCs w:val="22"/>
        </w:rPr>
        <w:t>, 80, 1</w:t>
      </w:r>
      <w:r>
        <w:rPr>
          <w:rFonts w:ascii="Times New Roman" w:hAnsi="Times New Roman" w:cs="Times New Roman"/>
          <w:sz w:val="22"/>
          <w:szCs w:val="22"/>
        </w:rPr>
        <w:t>‒</w:t>
      </w:r>
      <w:r w:rsidRPr="00404C5A">
        <w:rPr>
          <w:rFonts w:ascii="Times New Roman" w:hAnsi="Times New Roman" w:cs="Times New Roman"/>
          <w:sz w:val="22"/>
          <w:szCs w:val="22"/>
        </w:rPr>
        <w:t>22, 19</w:t>
      </w:r>
      <w:r>
        <w:rPr>
          <w:rFonts w:ascii="Times New Roman" w:hAnsi="Times New Roman" w:cs="Times New Roman"/>
          <w:sz w:val="22"/>
          <w:szCs w:val="22"/>
        </w:rPr>
        <w:t>.</w:t>
      </w:r>
      <w:proofErr w:type="gramEnd"/>
    </w:p>
  </w:endnote>
  <w:endnote w:id="8">
    <w:p w14:paraId="262A1F3E" w14:textId="7779DE34"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Hilden, </w:t>
      </w:r>
      <w:r>
        <w:rPr>
          <w:rFonts w:ascii="Times New Roman" w:hAnsi="Times New Roman" w:cs="Times New Roman"/>
          <w:sz w:val="22"/>
          <w:szCs w:val="22"/>
        </w:rPr>
        <w:t xml:space="preserve">M., </w:t>
      </w:r>
      <w:r w:rsidR="00FC4E19">
        <w:rPr>
          <w:rFonts w:ascii="Times New Roman" w:hAnsi="Times New Roman" w:cs="Times New Roman"/>
          <w:sz w:val="22"/>
          <w:szCs w:val="22"/>
        </w:rPr>
        <w:t xml:space="preserve">J. </w:t>
      </w:r>
      <w:r w:rsidRPr="00404C5A">
        <w:rPr>
          <w:rFonts w:ascii="Times New Roman" w:hAnsi="Times New Roman" w:cs="Times New Roman"/>
          <w:sz w:val="22"/>
          <w:szCs w:val="22"/>
        </w:rPr>
        <w:t xml:space="preserve">Lepola, </w:t>
      </w:r>
      <w:r w:rsidR="00FC4E19">
        <w:rPr>
          <w:rFonts w:ascii="Times New Roman" w:hAnsi="Times New Roman" w:cs="Times New Roman"/>
          <w:sz w:val="22"/>
          <w:szCs w:val="22"/>
        </w:rPr>
        <w:t xml:space="preserve">P. </w:t>
      </w:r>
      <w:r w:rsidRPr="00404C5A">
        <w:rPr>
          <w:rFonts w:ascii="Times New Roman" w:hAnsi="Times New Roman" w:cs="Times New Roman"/>
          <w:sz w:val="22"/>
          <w:szCs w:val="22"/>
        </w:rPr>
        <w:t xml:space="preserve">Mickwitz, </w:t>
      </w:r>
      <w:r w:rsidR="00FC4E19">
        <w:rPr>
          <w:rFonts w:ascii="Times New Roman" w:hAnsi="Times New Roman" w:cs="Times New Roman"/>
          <w:sz w:val="22"/>
          <w:szCs w:val="22"/>
        </w:rPr>
        <w:t>A.</w:t>
      </w:r>
      <w:r w:rsidRPr="00404C5A">
        <w:rPr>
          <w:rFonts w:ascii="Times New Roman" w:hAnsi="Times New Roman" w:cs="Times New Roman"/>
          <w:sz w:val="22"/>
          <w:szCs w:val="22"/>
        </w:rPr>
        <w:t xml:space="preserve"> Mulders, </w:t>
      </w:r>
      <w:r w:rsidR="00FC4E19">
        <w:rPr>
          <w:rFonts w:ascii="Times New Roman" w:hAnsi="Times New Roman" w:cs="Times New Roman"/>
          <w:sz w:val="22"/>
          <w:szCs w:val="22"/>
        </w:rPr>
        <w:t>M.</w:t>
      </w:r>
      <w:r w:rsidRPr="00404C5A">
        <w:rPr>
          <w:rFonts w:ascii="Times New Roman" w:hAnsi="Times New Roman" w:cs="Times New Roman"/>
          <w:sz w:val="22"/>
          <w:szCs w:val="22"/>
        </w:rPr>
        <w:t xml:space="preserve"> Palosaari, </w:t>
      </w:r>
      <w:r w:rsidR="00FC4E19">
        <w:rPr>
          <w:rFonts w:ascii="Times New Roman" w:hAnsi="Times New Roman" w:cs="Times New Roman"/>
          <w:sz w:val="22"/>
          <w:szCs w:val="22"/>
        </w:rPr>
        <w:t>J.</w:t>
      </w:r>
      <w:r w:rsidRPr="00404C5A">
        <w:rPr>
          <w:rFonts w:ascii="Times New Roman" w:hAnsi="Times New Roman" w:cs="Times New Roman"/>
          <w:sz w:val="22"/>
          <w:szCs w:val="22"/>
        </w:rPr>
        <w:t xml:space="preserve"> Similä, </w:t>
      </w:r>
      <w:r>
        <w:rPr>
          <w:rFonts w:ascii="Times New Roman" w:hAnsi="Times New Roman" w:cs="Times New Roman"/>
          <w:sz w:val="22"/>
          <w:szCs w:val="22"/>
        </w:rPr>
        <w:t xml:space="preserve">J., </w:t>
      </w:r>
      <w:r w:rsidR="00FC4E19">
        <w:rPr>
          <w:rFonts w:ascii="Times New Roman" w:hAnsi="Times New Roman" w:cs="Times New Roman"/>
          <w:sz w:val="22"/>
          <w:szCs w:val="22"/>
        </w:rPr>
        <w:t xml:space="preserve">S. </w:t>
      </w:r>
      <w:proofErr w:type="spellStart"/>
      <w:r>
        <w:rPr>
          <w:rFonts w:ascii="Times New Roman" w:hAnsi="Times New Roman" w:cs="Times New Roman"/>
          <w:sz w:val="22"/>
          <w:szCs w:val="22"/>
        </w:rPr>
        <w:t>Sj</w:t>
      </w:r>
      <w:r w:rsidRPr="001B6F83">
        <w:rPr>
          <w:rFonts w:ascii="Times New Roman" w:hAnsi="Times New Roman" w:cs="Times New Roman"/>
          <w:sz w:val="22"/>
          <w:szCs w:val="22"/>
          <w:highlight w:val="yellow"/>
        </w:rPr>
        <w:t>ö</w:t>
      </w:r>
      <w:r>
        <w:rPr>
          <w:rFonts w:ascii="Times New Roman" w:hAnsi="Times New Roman" w:cs="Times New Roman"/>
          <w:sz w:val="22"/>
          <w:szCs w:val="22"/>
        </w:rPr>
        <w:t>blom</w:t>
      </w:r>
      <w:proofErr w:type="spellEnd"/>
      <w:r>
        <w:rPr>
          <w:rFonts w:ascii="Times New Roman" w:hAnsi="Times New Roman" w:cs="Times New Roman"/>
          <w:sz w:val="22"/>
          <w:szCs w:val="22"/>
        </w:rPr>
        <w:t xml:space="preserve"> and</w:t>
      </w:r>
      <w:r w:rsidRPr="00404C5A">
        <w:rPr>
          <w:rFonts w:ascii="Times New Roman" w:hAnsi="Times New Roman" w:cs="Times New Roman"/>
          <w:sz w:val="22"/>
          <w:szCs w:val="22"/>
        </w:rPr>
        <w:t xml:space="preserve"> E</w:t>
      </w:r>
      <w:r w:rsidR="001C133A">
        <w:rPr>
          <w:rFonts w:ascii="Times New Roman" w:hAnsi="Times New Roman" w:cs="Times New Roman"/>
          <w:sz w:val="22"/>
          <w:szCs w:val="22"/>
        </w:rPr>
        <w:t>.</w:t>
      </w:r>
      <w:r w:rsidRPr="00404C5A">
        <w:rPr>
          <w:rFonts w:ascii="Times New Roman" w:hAnsi="Times New Roman" w:cs="Times New Roman"/>
          <w:sz w:val="22"/>
          <w:szCs w:val="22"/>
        </w:rPr>
        <w:t xml:space="preserve"> Vedung, </w:t>
      </w:r>
      <w:r w:rsidRPr="00404C5A">
        <w:rPr>
          <w:rFonts w:ascii="Times New Roman" w:hAnsi="Times New Roman" w:cs="Times New Roman"/>
          <w:i/>
          <w:sz w:val="22"/>
          <w:szCs w:val="22"/>
        </w:rPr>
        <w:t>Evaluation of Environmental Policy Instruments – a Case Study of the Finnish Pulp &amp; Paper and Chemical Industries</w:t>
      </w:r>
      <w:r w:rsidRPr="00404C5A">
        <w:rPr>
          <w:rFonts w:ascii="Times New Roman" w:hAnsi="Times New Roman" w:cs="Times New Roman"/>
          <w:sz w:val="22"/>
          <w:szCs w:val="22"/>
        </w:rPr>
        <w:t>. Monographs of the Boreal Environment Research. Helsinki</w:t>
      </w:r>
      <w:r>
        <w:rPr>
          <w:rFonts w:ascii="Times New Roman" w:hAnsi="Times New Roman" w:cs="Times New Roman"/>
          <w:sz w:val="22"/>
          <w:szCs w:val="22"/>
        </w:rPr>
        <w:t>; Mickwitz above n.</w:t>
      </w:r>
      <w:r w:rsidRPr="00404C5A">
        <w:rPr>
          <w:rFonts w:ascii="Times New Roman" w:hAnsi="Times New Roman" w:cs="Times New Roman"/>
          <w:sz w:val="22"/>
          <w:szCs w:val="22"/>
        </w:rPr>
        <w:t xml:space="preserve"> 1.</w:t>
      </w:r>
    </w:p>
  </w:endnote>
  <w:endnote w:id="9">
    <w:p w14:paraId="38FD608B" w14:textId="7777777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Some examples of climate change related policy evaluations are discussed in the next subsection.</w:t>
      </w:r>
    </w:p>
  </w:endnote>
  <w:endnote w:id="10">
    <w:p w14:paraId="6B6D9839" w14:textId="007961E4"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proofErr w:type="gramStart"/>
      <w:r w:rsidRPr="00404C5A">
        <w:rPr>
          <w:rFonts w:ascii="Times New Roman" w:hAnsi="Times New Roman" w:cs="Times New Roman"/>
          <w:sz w:val="22"/>
          <w:szCs w:val="22"/>
        </w:rPr>
        <w:t xml:space="preserve">Adger, </w:t>
      </w:r>
      <w:r>
        <w:rPr>
          <w:rFonts w:ascii="Times New Roman" w:hAnsi="Times New Roman" w:cs="Times New Roman"/>
          <w:sz w:val="22"/>
          <w:szCs w:val="22"/>
        </w:rPr>
        <w:t>W.N. (2002), ‘</w:t>
      </w:r>
      <w:r w:rsidRPr="00404C5A">
        <w:rPr>
          <w:rFonts w:ascii="Times New Roman" w:hAnsi="Times New Roman" w:cs="Times New Roman"/>
          <w:sz w:val="22"/>
          <w:szCs w:val="22"/>
        </w:rPr>
        <w:t>Inequality, Environment, and Planning</w:t>
      </w:r>
      <w:r>
        <w:rPr>
          <w:rFonts w:ascii="Times New Roman" w:hAnsi="Times New Roman" w:cs="Times New Roman"/>
          <w:sz w:val="22"/>
          <w:szCs w:val="22"/>
        </w:rPr>
        <w:t>’,</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Environment and Planning</w:t>
      </w:r>
      <w:r w:rsidRPr="00404C5A">
        <w:rPr>
          <w:rFonts w:ascii="Times New Roman" w:hAnsi="Times New Roman" w:cs="Times New Roman"/>
          <w:sz w:val="22"/>
          <w:szCs w:val="22"/>
        </w:rPr>
        <w:t>, 34, 1716</w:t>
      </w:r>
      <w:r>
        <w:rPr>
          <w:rFonts w:ascii="Times New Roman" w:hAnsi="Times New Roman" w:cs="Times New Roman"/>
          <w:sz w:val="22"/>
          <w:szCs w:val="22"/>
        </w:rPr>
        <w:t>‒</w:t>
      </w:r>
      <w:r w:rsidRPr="00404C5A">
        <w:rPr>
          <w:rFonts w:ascii="Times New Roman" w:hAnsi="Times New Roman" w:cs="Times New Roman"/>
          <w:sz w:val="22"/>
          <w:szCs w:val="22"/>
        </w:rPr>
        <w:t>1719.</w:t>
      </w:r>
      <w:proofErr w:type="gramEnd"/>
    </w:p>
  </w:endnote>
  <w:endnote w:id="11">
    <w:p w14:paraId="6675B9D7" w14:textId="77777777" w:rsidR="008B6C58" w:rsidRPr="00404C5A" w:rsidRDefault="008B6C58" w:rsidP="00404C5A">
      <w:pPr>
        <w:pStyle w:val="EndnoteText"/>
        <w:tabs>
          <w:tab w:val="left" w:pos="0"/>
        </w:tabs>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For example, a policy evaluation requirement is formulated in the 6th Environmental Action Program for the European Union which was adopted in June 2002. Article 10, paragraph C of this document states: ‘[The objectives shall be pursued by] improvement of the process of policy making through: 1) ex-ante evaluations of the possible impacts, in particular the environmental impacts, of new policies including the alternative of no action and the proposal for legislation and publication of the results; 2) ex-post evaluation of the effectiveness of existing measures in meeting their environmental objectives.’</w:t>
      </w:r>
    </w:p>
  </w:endnote>
  <w:endnote w:id="12">
    <w:p w14:paraId="4D67661D" w14:textId="4C16E472" w:rsidR="008B6C58" w:rsidRPr="00404C5A" w:rsidRDefault="008B6C58" w:rsidP="00404C5A">
      <w:pPr>
        <w:pStyle w:val="EndnoteText"/>
        <w:tabs>
          <w:tab w:val="left" w:pos="0"/>
        </w:tabs>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Dalkey</w:t>
      </w:r>
      <w:r>
        <w:rPr>
          <w:rFonts w:ascii="Times New Roman" w:hAnsi="Times New Roman" w:cs="Times New Roman"/>
          <w:sz w:val="22"/>
          <w:szCs w:val="22"/>
        </w:rPr>
        <w:t>, N.C.</w:t>
      </w:r>
      <w:r w:rsidRPr="00404C5A">
        <w:rPr>
          <w:rFonts w:ascii="Times New Roman" w:hAnsi="Times New Roman" w:cs="Times New Roman"/>
          <w:sz w:val="22"/>
          <w:szCs w:val="22"/>
        </w:rPr>
        <w:t xml:space="preserve"> and O</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Helmer</w:t>
      </w:r>
      <w:proofErr w:type="spellEnd"/>
      <w:r w:rsidRPr="00404C5A">
        <w:rPr>
          <w:rFonts w:ascii="Times New Roman" w:hAnsi="Times New Roman" w:cs="Times New Roman"/>
          <w:sz w:val="22"/>
          <w:szCs w:val="22"/>
        </w:rPr>
        <w:t xml:space="preserve"> </w:t>
      </w:r>
      <w:r>
        <w:rPr>
          <w:rFonts w:ascii="Times New Roman" w:hAnsi="Times New Roman" w:cs="Times New Roman"/>
          <w:sz w:val="22"/>
          <w:szCs w:val="22"/>
        </w:rPr>
        <w:t xml:space="preserve">(1963), </w:t>
      </w:r>
      <w:r w:rsidRPr="00404C5A">
        <w:rPr>
          <w:rFonts w:ascii="Times New Roman" w:hAnsi="Times New Roman" w:cs="Times New Roman"/>
          <w:sz w:val="22"/>
          <w:szCs w:val="22"/>
        </w:rPr>
        <w:t xml:space="preserve">‘An Experimental Application of the Delphi Method to the Use of Experts’, </w:t>
      </w:r>
      <w:r w:rsidRPr="00404C5A">
        <w:rPr>
          <w:rFonts w:ascii="Times New Roman" w:hAnsi="Times New Roman" w:cs="Times New Roman"/>
          <w:i/>
          <w:sz w:val="22"/>
          <w:szCs w:val="22"/>
        </w:rPr>
        <w:t>Journal of the Institute of Management Sciences, in: Management Science</w:t>
      </w:r>
      <w:r w:rsidRPr="00404C5A">
        <w:rPr>
          <w:rFonts w:ascii="Times New Roman" w:hAnsi="Times New Roman" w:cs="Times New Roman"/>
          <w:sz w:val="22"/>
          <w:szCs w:val="22"/>
        </w:rPr>
        <w:t>, 9, 458</w:t>
      </w:r>
      <w:r>
        <w:rPr>
          <w:rFonts w:ascii="Times New Roman" w:hAnsi="Times New Roman" w:cs="Times New Roman"/>
          <w:sz w:val="22"/>
          <w:szCs w:val="22"/>
        </w:rPr>
        <w:t>‒</w:t>
      </w:r>
      <w:r w:rsidRPr="00404C5A">
        <w:rPr>
          <w:rFonts w:ascii="Times New Roman" w:hAnsi="Times New Roman" w:cs="Times New Roman"/>
          <w:sz w:val="22"/>
          <w:szCs w:val="22"/>
        </w:rPr>
        <w:t>467.</w:t>
      </w:r>
    </w:p>
  </w:endnote>
  <w:endnote w:id="13">
    <w:p w14:paraId="12C54DCA" w14:textId="52672DF3" w:rsidR="008B6C58" w:rsidRPr="00404C5A" w:rsidRDefault="008B6C58" w:rsidP="00404C5A">
      <w:pPr>
        <w:pStyle w:val="EndnoteText"/>
        <w:tabs>
          <w:tab w:val="left" w:pos="0"/>
        </w:tabs>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It should be noted though, that Dalkey and Helmer were not satisfied with the term Delphi, arguing that the term implied ‘something oracular’, something signifying a little of the occult rather than a method designed to identify the best possible solutions (Dalkey</w:t>
      </w:r>
      <w:r>
        <w:rPr>
          <w:rFonts w:ascii="Times New Roman" w:hAnsi="Times New Roman" w:cs="Times New Roman"/>
          <w:sz w:val="22"/>
          <w:szCs w:val="22"/>
        </w:rPr>
        <w:t xml:space="preserve">, </w:t>
      </w:r>
      <w:r w:rsidRPr="00404C5A">
        <w:rPr>
          <w:rFonts w:ascii="Times New Roman" w:hAnsi="Times New Roman" w:cs="Times New Roman"/>
          <w:sz w:val="22"/>
          <w:szCs w:val="22"/>
        </w:rPr>
        <w:t>N</w:t>
      </w:r>
      <w:r>
        <w:rPr>
          <w:rFonts w:ascii="Times New Roman" w:hAnsi="Times New Roman" w:cs="Times New Roman"/>
          <w:sz w:val="22"/>
          <w:szCs w:val="22"/>
        </w:rPr>
        <w:t>.</w:t>
      </w:r>
      <w:r w:rsidRPr="00404C5A">
        <w:rPr>
          <w:rFonts w:ascii="Times New Roman" w:hAnsi="Times New Roman" w:cs="Times New Roman"/>
          <w:sz w:val="22"/>
          <w:szCs w:val="22"/>
        </w:rPr>
        <w:t>C</w:t>
      </w:r>
      <w:r>
        <w:rPr>
          <w:rFonts w:ascii="Times New Roman" w:hAnsi="Times New Roman" w:cs="Times New Roman"/>
          <w:sz w:val="22"/>
          <w:szCs w:val="22"/>
        </w:rPr>
        <w:t>.</w:t>
      </w:r>
      <w:r w:rsidRPr="00404C5A">
        <w:rPr>
          <w:rFonts w:ascii="Times New Roman" w:hAnsi="Times New Roman" w:cs="Times New Roman"/>
          <w:sz w:val="22"/>
          <w:szCs w:val="22"/>
        </w:rPr>
        <w:t xml:space="preserve"> 1968, cited in H</w:t>
      </w:r>
      <w:r w:rsidR="001C133A">
        <w:rPr>
          <w:rFonts w:ascii="Times New Roman" w:hAnsi="Times New Roman" w:cs="Times New Roman"/>
          <w:sz w:val="22"/>
          <w:szCs w:val="22"/>
        </w:rPr>
        <w:t>.</w:t>
      </w:r>
      <w:r w:rsidRPr="00404C5A">
        <w:rPr>
          <w:rFonts w:ascii="Times New Roman" w:hAnsi="Times New Roman" w:cs="Times New Roman"/>
          <w:sz w:val="22"/>
          <w:szCs w:val="22"/>
        </w:rPr>
        <w:t xml:space="preserve"> Gunaydin, ‘The Delphi Method, Optimization Group’ 2006</w:t>
      </w:r>
      <w:r>
        <w:rPr>
          <w:rFonts w:ascii="Times New Roman" w:hAnsi="Times New Roman" w:cs="Times New Roman"/>
          <w:sz w:val="22"/>
          <w:szCs w:val="22"/>
        </w:rPr>
        <w:t>,</w:t>
      </w:r>
      <w:r w:rsidRPr="00404C5A">
        <w:rPr>
          <w:rFonts w:ascii="Times New Roman" w:hAnsi="Times New Roman" w:cs="Times New Roman"/>
          <w:sz w:val="22"/>
          <w:szCs w:val="22"/>
        </w:rPr>
        <w:t xml:space="preserve"> http://www.iyte.edu.tr/~muratgunaydin/delphi.htm at 9 April 2013).</w:t>
      </w:r>
    </w:p>
  </w:endnote>
  <w:endnote w:id="14">
    <w:p w14:paraId="3645FD66" w14:textId="0BE4108C"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Turoff</w:t>
      </w:r>
      <w:r>
        <w:rPr>
          <w:rFonts w:ascii="Times New Roman" w:hAnsi="Times New Roman" w:cs="Times New Roman"/>
          <w:sz w:val="22"/>
          <w:szCs w:val="22"/>
        </w:rPr>
        <w:t>, M.</w:t>
      </w:r>
      <w:r w:rsidRPr="00404C5A">
        <w:rPr>
          <w:rFonts w:ascii="Times New Roman" w:hAnsi="Times New Roman" w:cs="Times New Roman"/>
          <w:sz w:val="22"/>
          <w:szCs w:val="22"/>
        </w:rPr>
        <w:t xml:space="preserve"> and H</w:t>
      </w:r>
      <w:r>
        <w:rPr>
          <w:rFonts w:ascii="Times New Roman" w:hAnsi="Times New Roman" w:cs="Times New Roman"/>
          <w:sz w:val="22"/>
          <w:szCs w:val="22"/>
        </w:rPr>
        <w:t>.A.</w:t>
      </w:r>
      <w:r w:rsidRPr="00404C5A">
        <w:rPr>
          <w:rFonts w:ascii="Times New Roman" w:hAnsi="Times New Roman" w:cs="Times New Roman"/>
          <w:sz w:val="22"/>
          <w:szCs w:val="22"/>
        </w:rPr>
        <w:t xml:space="preserve"> Linstone, ‘The Delphi Method: Techniques and Applications’, http://is.njit.edu/pubs/delphibook/ at 28 April 2013.</w:t>
      </w:r>
    </w:p>
  </w:endnote>
  <w:endnote w:id="15">
    <w:p w14:paraId="361702AE" w14:textId="1F4655AC"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Gunaydin, </w:t>
      </w:r>
      <w:r>
        <w:rPr>
          <w:rFonts w:ascii="Times New Roman" w:hAnsi="Times New Roman" w:cs="Times New Roman"/>
          <w:sz w:val="22"/>
          <w:szCs w:val="22"/>
        </w:rPr>
        <w:t xml:space="preserve">H. (2006), </w:t>
      </w:r>
      <w:r w:rsidRPr="00404C5A">
        <w:rPr>
          <w:rFonts w:ascii="Times New Roman" w:hAnsi="Times New Roman" w:cs="Times New Roman"/>
          <w:sz w:val="22"/>
          <w:szCs w:val="22"/>
        </w:rPr>
        <w:t xml:space="preserve">‘The Delphi Method, Optimization Group’ http://www.iyte.edu.tr/~muratgunaydin/delphi.htm </w:t>
      </w:r>
      <w:r>
        <w:rPr>
          <w:rFonts w:ascii="Times New Roman" w:hAnsi="Times New Roman" w:cs="Times New Roman"/>
          <w:sz w:val="22"/>
          <w:szCs w:val="22"/>
        </w:rPr>
        <w:t>at June 2013.</w:t>
      </w:r>
    </w:p>
  </w:endnote>
  <w:endnote w:id="16">
    <w:p w14:paraId="2BCE91C6" w14:textId="2C8D572E"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Ziglio,</w:t>
      </w:r>
      <w:r>
        <w:rPr>
          <w:rFonts w:ascii="Times New Roman" w:hAnsi="Times New Roman" w:cs="Times New Roman"/>
          <w:sz w:val="22"/>
          <w:szCs w:val="22"/>
        </w:rPr>
        <w:t xml:space="preserve"> E.</w:t>
      </w:r>
      <w:r w:rsidRPr="00404C5A">
        <w:rPr>
          <w:rFonts w:ascii="Times New Roman" w:hAnsi="Times New Roman" w:cs="Times New Roman"/>
          <w:sz w:val="22"/>
          <w:szCs w:val="22"/>
        </w:rPr>
        <w:t xml:space="preserve"> </w:t>
      </w:r>
      <w:r>
        <w:rPr>
          <w:rFonts w:ascii="Times New Roman" w:hAnsi="Times New Roman" w:cs="Times New Roman"/>
          <w:sz w:val="22"/>
          <w:szCs w:val="22"/>
        </w:rPr>
        <w:t xml:space="preserve">(1996), </w:t>
      </w:r>
      <w:r w:rsidRPr="00404C5A">
        <w:rPr>
          <w:rFonts w:ascii="Times New Roman" w:hAnsi="Times New Roman" w:cs="Times New Roman"/>
          <w:sz w:val="22"/>
          <w:szCs w:val="22"/>
        </w:rPr>
        <w:t>‘The Delphi Method and Its Co</w:t>
      </w:r>
      <w:r>
        <w:rPr>
          <w:rFonts w:ascii="Times New Roman" w:hAnsi="Times New Roman" w:cs="Times New Roman"/>
          <w:sz w:val="22"/>
          <w:szCs w:val="22"/>
        </w:rPr>
        <w:t>ntribution to Decision-Making’, i</w:t>
      </w:r>
      <w:r w:rsidRPr="00404C5A">
        <w:rPr>
          <w:rFonts w:ascii="Times New Roman" w:hAnsi="Times New Roman" w:cs="Times New Roman"/>
          <w:sz w:val="22"/>
          <w:szCs w:val="22"/>
        </w:rPr>
        <w:t xml:space="preserve">n Adler, </w:t>
      </w:r>
      <w:r>
        <w:rPr>
          <w:rFonts w:ascii="Times New Roman" w:hAnsi="Times New Roman" w:cs="Times New Roman"/>
          <w:sz w:val="22"/>
          <w:szCs w:val="22"/>
        </w:rPr>
        <w:t xml:space="preserve">M. </w:t>
      </w:r>
      <w:r w:rsidRPr="00404C5A">
        <w:rPr>
          <w:rFonts w:ascii="Times New Roman" w:hAnsi="Times New Roman" w:cs="Times New Roman"/>
          <w:sz w:val="22"/>
          <w:szCs w:val="22"/>
        </w:rPr>
        <w:t xml:space="preserve">and E </w:t>
      </w:r>
      <w:proofErr w:type="spellStart"/>
      <w:r w:rsidRPr="00404C5A">
        <w:rPr>
          <w:rFonts w:ascii="Times New Roman" w:hAnsi="Times New Roman" w:cs="Times New Roman"/>
          <w:sz w:val="22"/>
          <w:szCs w:val="22"/>
        </w:rPr>
        <w:t>Ziglio</w:t>
      </w:r>
      <w:proofErr w:type="spellEnd"/>
      <w:r w:rsidRPr="00404C5A">
        <w:rPr>
          <w:rFonts w:ascii="Times New Roman" w:hAnsi="Times New Roman" w:cs="Times New Roman"/>
          <w:sz w:val="22"/>
          <w:szCs w:val="22"/>
        </w:rPr>
        <w:t xml:space="preserve"> </w:t>
      </w:r>
      <w:r>
        <w:rPr>
          <w:rFonts w:ascii="Times New Roman" w:hAnsi="Times New Roman" w:cs="Times New Roman"/>
          <w:sz w:val="22"/>
          <w:szCs w:val="22"/>
        </w:rPr>
        <w:t>(</w:t>
      </w:r>
      <w:proofErr w:type="spellStart"/>
      <w:r>
        <w:rPr>
          <w:rFonts w:ascii="Times New Roman" w:hAnsi="Times New Roman" w:cs="Times New Roman"/>
          <w:sz w:val="22"/>
          <w:szCs w:val="22"/>
        </w:rPr>
        <w:t>e</w:t>
      </w:r>
      <w:r w:rsidRPr="00404C5A">
        <w:rPr>
          <w:rFonts w:ascii="Times New Roman" w:hAnsi="Times New Roman" w:cs="Times New Roman"/>
          <w:sz w:val="22"/>
          <w:szCs w:val="22"/>
        </w:rPr>
        <w:t>d</w:t>
      </w:r>
      <w:r>
        <w:rPr>
          <w:rFonts w:ascii="Times New Roman" w:hAnsi="Times New Roman" w:cs="Times New Roman"/>
          <w:sz w:val="22"/>
          <w:szCs w:val="22"/>
        </w:rPr>
        <w:t>s</w:t>
      </w:r>
      <w:proofErr w:type="spellEnd"/>
      <w:r>
        <w:rPr>
          <w:rFonts w:ascii="Times New Roman" w:hAnsi="Times New Roman" w:cs="Times New Roman"/>
          <w:sz w:val="22"/>
          <w:szCs w:val="22"/>
        </w:rPr>
        <w:t>),</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Gazing into the Oracle: The Delphi Method and its Application to Social Policy and Public Health</w:t>
      </w:r>
      <w:r w:rsidR="00F43BDC">
        <w:rPr>
          <w:rFonts w:ascii="Times New Roman" w:hAnsi="Times New Roman" w:cs="Times New Roman"/>
          <w:sz w:val="22"/>
          <w:szCs w:val="22"/>
        </w:rPr>
        <w:t>,</w:t>
      </w:r>
      <w:r w:rsidRPr="00404C5A">
        <w:rPr>
          <w:rFonts w:ascii="Times New Roman" w:hAnsi="Times New Roman" w:cs="Times New Roman"/>
          <w:sz w:val="22"/>
          <w:szCs w:val="22"/>
        </w:rPr>
        <w:t xml:space="preserve"> </w:t>
      </w:r>
      <w:r w:rsidR="00F43BDC">
        <w:rPr>
          <w:rFonts w:ascii="Times New Roman" w:hAnsi="Times New Roman" w:cs="Times New Roman"/>
          <w:sz w:val="22"/>
          <w:szCs w:val="22"/>
        </w:rPr>
        <w:t xml:space="preserve">London: </w:t>
      </w:r>
      <w:r w:rsidRPr="00404C5A">
        <w:rPr>
          <w:rFonts w:ascii="Times New Roman" w:hAnsi="Times New Roman" w:cs="Times New Roman"/>
          <w:sz w:val="22"/>
          <w:szCs w:val="22"/>
        </w:rPr>
        <w:t>Jessica Kingsley Publishers.</w:t>
      </w:r>
    </w:p>
  </w:endnote>
  <w:endnote w:id="17">
    <w:p w14:paraId="2EBB1420" w14:textId="1C6E6B21"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proofErr w:type="spellStart"/>
      <w:r>
        <w:rPr>
          <w:rFonts w:ascii="Times New Roman" w:hAnsi="Times New Roman" w:cs="Times New Roman"/>
          <w:sz w:val="22"/>
          <w:szCs w:val="22"/>
        </w:rPr>
        <w:t>Turoff</w:t>
      </w:r>
      <w:proofErr w:type="spellEnd"/>
      <w:r>
        <w:rPr>
          <w:rFonts w:ascii="Times New Roman" w:hAnsi="Times New Roman" w:cs="Times New Roman"/>
          <w:sz w:val="22"/>
          <w:szCs w:val="22"/>
        </w:rPr>
        <w:t xml:space="preserve"> and </w:t>
      </w:r>
      <w:proofErr w:type="spellStart"/>
      <w:r>
        <w:rPr>
          <w:rFonts w:ascii="Times New Roman" w:hAnsi="Times New Roman" w:cs="Times New Roman"/>
          <w:sz w:val="22"/>
          <w:szCs w:val="22"/>
        </w:rPr>
        <w:t>Linstone</w:t>
      </w:r>
      <w:proofErr w:type="spellEnd"/>
      <w:r>
        <w:rPr>
          <w:rFonts w:ascii="Times New Roman" w:hAnsi="Times New Roman" w:cs="Times New Roman"/>
          <w:sz w:val="22"/>
          <w:szCs w:val="22"/>
        </w:rPr>
        <w:t>, a</w:t>
      </w:r>
      <w:r w:rsidRPr="00404C5A">
        <w:rPr>
          <w:rFonts w:ascii="Times New Roman" w:hAnsi="Times New Roman" w:cs="Times New Roman"/>
          <w:sz w:val="22"/>
          <w:szCs w:val="22"/>
        </w:rPr>
        <w:t>bove n</w:t>
      </w:r>
      <w:r w:rsidR="00F43BDC">
        <w:rPr>
          <w:rFonts w:ascii="Times New Roman" w:hAnsi="Times New Roman" w:cs="Times New Roman"/>
          <w:sz w:val="22"/>
          <w:szCs w:val="22"/>
        </w:rPr>
        <w:t>.</w:t>
      </w:r>
      <w:r w:rsidRPr="00404C5A">
        <w:rPr>
          <w:rFonts w:ascii="Times New Roman" w:hAnsi="Times New Roman" w:cs="Times New Roman"/>
          <w:sz w:val="22"/>
          <w:szCs w:val="22"/>
        </w:rPr>
        <w:t xml:space="preserve"> 1</w:t>
      </w:r>
      <w:r w:rsidR="00F43BDC">
        <w:rPr>
          <w:rFonts w:ascii="Times New Roman" w:hAnsi="Times New Roman" w:cs="Times New Roman"/>
          <w:sz w:val="22"/>
          <w:szCs w:val="22"/>
        </w:rPr>
        <w:t>2</w:t>
      </w:r>
      <w:r w:rsidRPr="00404C5A">
        <w:rPr>
          <w:rFonts w:ascii="Times New Roman" w:hAnsi="Times New Roman" w:cs="Times New Roman"/>
          <w:sz w:val="22"/>
          <w:szCs w:val="22"/>
        </w:rPr>
        <w:t>.</w:t>
      </w:r>
    </w:p>
  </w:endnote>
  <w:endnote w:id="18">
    <w:p w14:paraId="59FFD622" w14:textId="3F964E49" w:rsidR="008B6C58" w:rsidRPr="00404C5A" w:rsidRDefault="008B6C58" w:rsidP="00404C5A">
      <w:pPr>
        <w:pStyle w:val="EndnoteText"/>
        <w:tabs>
          <w:tab w:val="left" w:pos="0"/>
        </w:tabs>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 xml:space="preserve">Hader, </w:t>
      </w:r>
      <w:r>
        <w:rPr>
          <w:rFonts w:ascii="Times New Roman" w:hAnsi="Times New Roman" w:cs="Times New Roman"/>
          <w:sz w:val="22"/>
          <w:szCs w:val="22"/>
        </w:rPr>
        <w:t xml:space="preserve">M. </w:t>
      </w:r>
      <w:r w:rsidRPr="00404C5A">
        <w:rPr>
          <w:rFonts w:ascii="Times New Roman" w:hAnsi="Times New Roman" w:cs="Times New Roman"/>
          <w:sz w:val="22"/>
          <w:szCs w:val="22"/>
        </w:rPr>
        <w:t>and S</w:t>
      </w:r>
      <w:r>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H</w:t>
      </w:r>
      <w:r w:rsidRPr="001B6F83">
        <w:rPr>
          <w:rFonts w:ascii="Times New Roman" w:hAnsi="Times New Roman" w:cs="Times New Roman"/>
          <w:sz w:val="22"/>
          <w:szCs w:val="22"/>
          <w:highlight w:val="yellow"/>
        </w:rPr>
        <w:t>ä</w:t>
      </w:r>
      <w:r w:rsidRPr="00404C5A">
        <w:rPr>
          <w:rFonts w:ascii="Times New Roman" w:hAnsi="Times New Roman" w:cs="Times New Roman"/>
          <w:sz w:val="22"/>
          <w:szCs w:val="22"/>
        </w:rPr>
        <w:t>der</w:t>
      </w:r>
      <w:proofErr w:type="spellEnd"/>
      <w:r w:rsidR="00FC4E19">
        <w:rPr>
          <w:rFonts w:ascii="Times New Roman" w:hAnsi="Times New Roman" w:cs="Times New Roman"/>
          <w:sz w:val="22"/>
          <w:szCs w:val="22"/>
        </w:rPr>
        <w:t xml:space="preserve"> (1995)</w:t>
      </w:r>
      <w:r w:rsidRPr="00404C5A">
        <w:rPr>
          <w:rFonts w:ascii="Times New Roman" w:hAnsi="Times New Roman" w:cs="Times New Roman"/>
          <w:sz w:val="22"/>
          <w:szCs w:val="22"/>
        </w:rPr>
        <w:t xml:space="preserve">, ‘Delphi und Kognitionspsychologie: Ein Zugang zur theoretischen Fundierung der Delphi-Methode’, in </w:t>
      </w:r>
      <w:r w:rsidRPr="00404C5A">
        <w:rPr>
          <w:rFonts w:ascii="Times New Roman" w:hAnsi="Times New Roman" w:cs="Times New Roman"/>
          <w:i/>
          <w:sz w:val="22"/>
          <w:szCs w:val="22"/>
        </w:rPr>
        <w:t>ZUMA-Nachrichten</w:t>
      </w:r>
      <w:r>
        <w:rPr>
          <w:rFonts w:ascii="Times New Roman" w:hAnsi="Times New Roman" w:cs="Times New Roman"/>
          <w:sz w:val="22"/>
          <w:szCs w:val="22"/>
        </w:rPr>
        <w:t>, 37,</w:t>
      </w:r>
      <w:r w:rsidRPr="00404C5A">
        <w:rPr>
          <w:rFonts w:ascii="Times New Roman" w:hAnsi="Times New Roman" w:cs="Times New Roman"/>
          <w:sz w:val="22"/>
          <w:szCs w:val="22"/>
        </w:rPr>
        <w:t xml:space="preserve"> 12.</w:t>
      </w:r>
    </w:p>
  </w:endnote>
  <w:endnote w:id="19">
    <w:p w14:paraId="46C6AD45" w14:textId="38DA9D3B"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Gupta</w:t>
      </w:r>
      <w:r>
        <w:rPr>
          <w:rFonts w:ascii="Times New Roman" w:hAnsi="Times New Roman" w:cs="Times New Roman"/>
          <w:sz w:val="22"/>
          <w:szCs w:val="22"/>
        </w:rPr>
        <w:t xml:space="preserve">, </w:t>
      </w:r>
      <w:r w:rsidRPr="00404C5A">
        <w:rPr>
          <w:rFonts w:ascii="Times New Roman" w:hAnsi="Times New Roman" w:cs="Times New Roman"/>
          <w:sz w:val="22"/>
          <w:szCs w:val="22"/>
        </w:rPr>
        <w:t>U</w:t>
      </w:r>
      <w:r>
        <w:rPr>
          <w:rFonts w:ascii="Times New Roman" w:hAnsi="Times New Roman" w:cs="Times New Roman"/>
          <w:sz w:val="22"/>
          <w:szCs w:val="22"/>
        </w:rPr>
        <w:t>.</w:t>
      </w:r>
      <w:r w:rsidRPr="00404C5A">
        <w:rPr>
          <w:rFonts w:ascii="Times New Roman" w:hAnsi="Times New Roman" w:cs="Times New Roman"/>
          <w:sz w:val="22"/>
          <w:szCs w:val="22"/>
        </w:rPr>
        <w:t>G</w:t>
      </w:r>
      <w:r>
        <w:rPr>
          <w:rFonts w:ascii="Times New Roman" w:hAnsi="Times New Roman" w:cs="Times New Roman"/>
          <w:sz w:val="22"/>
          <w:szCs w:val="22"/>
        </w:rPr>
        <w:t>.</w:t>
      </w:r>
      <w:r w:rsidRPr="00404C5A">
        <w:rPr>
          <w:rFonts w:ascii="Times New Roman" w:hAnsi="Times New Roman" w:cs="Times New Roman"/>
          <w:sz w:val="22"/>
          <w:szCs w:val="22"/>
        </w:rPr>
        <w:t xml:space="preserve"> and R</w:t>
      </w:r>
      <w:r>
        <w:rPr>
          <w:rFonts w:ascii="Times New Roman" w:hAnsi="Times New Roman" w:cs="Times New Roman"/>
          <w:sz w:val="22"/>
          <w:szCs w:val="22"/>
        </w:rPr>
        <w:t>.</w:t>
      </w:r>
      <w:r w:rsidRPr="00404C5A">
        <w:rPr>
          <w:rFonts w:ascii="Times New Roman" w:hAnsi="Times New Roman" w:cs="Times New Roman"/>
          <w:sz w:val="22"/>
          <w:szCs w:val="22"/>
        </w:rPr>
        <w:t>E</w:t>
      </w:r>
      <w:r>
        <w:rPr>
          <w:rFonts w:ascii="Times New Roman" w:hAnsi="Times New Roman" w:cs="Times New Roman"/>
          <w:sz w:val="22"/>
          <w:szCs w:val="22"/>
        </w:rPr>
        <w:t>.</w:t>
      </w:r>
      <w:r w:rsidRPr="00404C5A">
        <w:rPr>
          <w:rFonts w:ascii="Times New Roman" w:hAnsi="Times New Roman" w:cs="Times New Roman"/>
          <w:sz w:val="22"/>
          <w:szCs w:val="22"/>
        </w:rPr>
        <w:t xml:space="preserve"> Clarke </w:t>
      </w:r>
      <w:r>
        <w:rPr>
          <w:rFonts w:ascii="Times New Roman" w:hAnsi="Times New Roman" w:cs="Times New Roman"/>
          <w:sz w:val="22"/>
          <w:szCs w:val="22"/>
        </w:rPr>
        <w:t xml:space="preserve">(1996), </w:t>
      </w:r>
      <w:r w:rsidRPr="00404C5A">
        <w:rPr>
          <w:rFonts w:ascii="Times New Roman" w:hAnsi="Times New Roman" w:cs="Times New Roman"/>
          <w:sz w:val="22"/>
          <w:szCs w:val="22"/>
        </w:rPr>
        <w:t>‘Theory and Applications of the Delphi Technique: A bibliography (1975</w:t>
      </w:r>
      <w:r w:rsidR="00FC4E19">
        <w:rPr>
          <w:rFonts w:ascii="Times New Roman" w:hAnsi="Times New Roman" w:cs="Times New Roman"/>
          <w:sz w:val="22"/>
          <w:szCs w:val="22"/>
        </w:rPr>
        <w:t>‒</w:t>
      </w:r>
      <w:r w:rsidRPr="00404C5A">
        <w:rPr>
          <w:rFonts w:ascii="Times New Roman" w:hAnsi="Times New Roman" w:cs="Times New Roman"/>
          <w:sz w:val="22"/>
          <w:szCs w:val="22"/>
        </w:rPr>
        <w:t xml:space="preserve">1994)’, </w:t>
      </w:r>
      <w:r w:rsidRPr="00404C5A">
        <w:rPr>
          <w:rFonts w:ascii="Times New Roman" w:hAnsi="Times New Roman" w:cs="Times New Roman"/>
          <w:i/>
          <w:sz w:val="22"/>
          <w:szCs w:val="22"/>
        </w:rPr>
        <w:t>Technological Forecasting and Social Change</w:t>
      </w:r>
      <w:r w:rsidRPr="00404C5A">
        <w:rPr>
          <w:rFonts w:ascii="Times New Roman" w:hAnsi="Times New Roman" w:cs="Times New Roman"/>
          <w:sz w:val="22"/>
          <w:szCs w:val="22"/>
        </w:rPr>
        <w:t>, 53, 185</w:t>
      </w:r>
      <w:r w:rsidR="00FC4E19">
        <w:rPr>
          <w:rFonts w:ascii="Times New Roman" w:hAnsi="Times New Roman" w:cs="Times New Roman"/>
          <w:sz w:val="22"/>
          <w:szCs w:val="22"/>
        </w:rPr>
        <w:t>‒</w:t>
      </w:r>
      <w:r w:rsidRPr="00404C5A">
        <w:rPr>
          <w:rFonts w:ascii="Times New Roman" w:hAnsi="Times New Roman" w:cs="Times New Roman"/>
          <w:sz w:val="22"/>
          <w:szCs w:val="22"/>
        </w:rPr>
        <w:t>211.</w:t>
      </w:r>
    </w:p>
  </w:endnote>
  <w:endnote w:id="20">
    <w:p w14:paraId="4EF1FE84" w14:textId="262876FE" w:rsidR="008B6C58" w:rsidRPr="00404C5A" w:rsidRDefault="008B6C58" w:rsidP="00404C5A">
      <w:pPr>
        <w:pStyle w:val="EndnoteText"/>
        <w:spacing w:line="480" w:lineRule="auto"/>
        <w:rPr>
          <w:rFonts w:ascii="Times New Roman" w:hAnsi="Times New Roman" w:cs="Times New Roman"/>
          <w:sz w:val="22"/>
          <w:szCs w:val="22"/>
        </w:rPr>
      </w:pPr>
      <w:r w:rsidRPr="00436078">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proofErr w:type="gramStart"/>
      <w:r w:rsidRPr="00436078">
        <w:rPr>
          <w:rFonts w:ascii="Times New Roman" w:hAnsi="Times New Roman" w:cs="Times New Roman"/>
          <w:sz w:val="22"/>
          <w:szCs w:val="22"/>
        </w:rPr>
        <w:t>Eto</w:t>
      </w:r>
      <w:proofErr w:type="gramEnd"/>
      <w:r w:rsidRPr="00436078">
        <w:rPr>
          <w:rFonts w:ascii="Times New Roman" w:hAnsi="Times New Roman" w:cs="Times New Roman"/>
          <w:sz w:val="22"/>
          <w:szCs w:val="22"/>
        </w:rPr>
        <w:t xml:space="preserve">, </w:t>
      </w:r>
      <w:r>
        <w:rPr>
          <w:rFonts w:ascii="Times New Roman" w:hAnsi="Times New Roman" w:cs="Times New Roman"/>
          <w:sz w:val="22"/>
          <w:szCs w:val="22"/>
        </w:rPr>
        <w:t xml:space="preserve">H. (2003), </w:t>
      </w:r>
      <w:r w:rsidRPr="00436078">
        <w:rPr>
          <w:rFonts w:ascii="Times New Roman" w:hAnsi="Times New Roman" w:cs="Times New Roman"/>
          <w:sz w:val="22"/>
          <w:szCs w:val="22"/>
        </w:rPr>
        <w:t xml:space="preserve">‘The </w:t>
      </w:r>
      <w:r w:rsidR="00FC4E19" w:rsidRPr="00436078">
        <w:rPr>
          <w:rFonts w:ascii="Times New Roman" w:hAnsi="Times New Roman" w:cs="Times New Roman"/>
          <w:sz w:val="22"/>
          <w:szCs w:val="22"/>
        </w:rPr>
        <w:t xml:space="preserve">Suitability </w:t>
      </w:r>
      <w:r w:rsidR="00FC4E19">
        <w:rPr>
          <w:rFonts w:ascii="Times New Roman" w:hAnsi="Times New Roman" w:cs="Times New Roman"/>
          <w:sz w:val="22"/>
          <w:szCs w:val="22"/>
        </w:rPr>
        <w:t>o</w:t>
      </w:r>
      <w:r w:rsidR="00FC4E19" w:rsidRPr="00436078">
        <w:rPr>
          <w:rFonts w:ascii="Times New Roman" w:hAnsi="Times New Roman" w:cs="Times New Roman"/>
          <w:sz w:val="22"/>
          <w:szCs w:val="22"/>
        </w:rPr>
        <w:t xml:space="preserve">f Technology Forecasting/Foresight Methods </w:t>
      </w:r>
      <w:r w:rsidR="00FC4E19">
        <w:rPr>
          <w:rFonts w:ascii="Times New Roman" w:hAnsi="Times New Roman" w:cs="Times New Roman"/>
          <w:sz w:val="22"/>
          <w:szCs w:val="22"/>
        </w:rPr>
        <w:t>f</w:t>
      </w:r>
      <w:r w:rsidR="00FC4E19" w:rsidRPr="00436078">
        <w:rPr>
          <w:rFonts w:ascii="Times New Roman" w:hAnsi="Times New Roman" w:cs="Times New Roman"/>
          <w:sz w:val="22"/>
          <w:szCs w:val="22"/>
        </w:rPr>
        <w:t xml:space="preserve">or Decision Systems </w:t>
      </w:r>
      <w:r w:rsidR="00FC4E19">
        <w:rPr>
          <w:rFonts w:ascii="Times New Roman" w:hAnsi="Times New Roman" w:cs="Times New Roman"/>
          <w:sz w:val="22"/>
          <w:szCs w:val="22"/>
        </w:rPr>
        <w:t>a</w:t>
      </w:r>
      <w:r w:rsidR="00FC4E19" w:rsidRPr="00436078">
        <w:rPr>
          <w:rFonts w:ascii="Times New Roman" w:hAnsi="Times New Roman" w:cs="Times New Roman"/>
          <w:sz w:val="22"/>
          <w:szCs w:val="22"/>
        </w:rPr>
        <w:t>nd Strategy.</w:t>
      </w:r>
      <w:r w:rsidR="00FC4E19" w:rsidRPr="00404C5A">
        <w:rPr>
          <w:rFonts w:ascii="Times New Roman" w:hAnsi="Times New Roman" w:cs="Times New Roman"/>
          <w:sz w:val="22"/>
          <w:szCs w:val="22"/>
        </w:rPr>
        <w:t xml:space="preserve"> </w:t>
      </w:r>
      <w:r w:rsidRPr="00404C5A">
        <w:rPr>
          <w:rFonts w:ascii="Times New Roman" w:hAnsi="Times New Roman" w:cs="Times New Roman"/>
          <w:sz w:val="22"/>
          <w:szCs w:val="22"/>
        </w:rPr>
        <w:t xml:space="preserve">A Japanese </w:t>
      </w:r>
      <w:r w:rsidR="00FC4E19" w:rsidRPr="00404C5A">
        <w:rPr>
          <w:rFonts w:ascii="Times New Roman" w:hAnsi="Times New Roman" w:cs="Times New Roman"/>
          <w:sz w:val="22"/>
          <w:szCs w:val="22"/>
        </w:rPr>
        <w:t>Vi</w:t>
      </w:r>
      <w:r w:rsidRPr="00404C5A">
        <w:rPr>
          <w:rFonts w:ascii="Times New Roman" w:hAnsi="Times New Roman" w:cs="Times New Roman"/>
          <w:sz w:val="22"/>
          <w:szCs w:val="22"/>
        </w:rPr>
        <w:t xml:space="preserve">ew’, </w:t>
      </w:r>
      <w:r w:rsidRPr="00404C5A">
        <w:rPr>
          <w:rFonts w:ascii="Times New Roman" w:hAnsi="Times New Roman" w:cs="Times New Roman"/>
          <w:i/>
          <w:sz w:val="22"/>
          <w:szCs w:val="22"/>
        </w:rPr>
        <w:t>Technological Forecasting and Social Change</w:t>
      </w:r>
      <w:r w:rsidRPr="00404C5A">
        <w:rPr>
          <w:rFonts w:ascii="Times New Roman" w:hAnsi="Times New Roman" w:cs="Times New Roman"/>
          <w:sz w:val="22"/>
          <w:szCs w:val="22"/>
        </w:rPr>
        <w:t>, 70, 231</w:t>
      </w:r>
      <w:r w:rsidR="00FC4E19">
        <w:rPr>
          <w:rFonts w:ascii="Times New Roman" w:hAnsi="Times New Roman" w:cs="Times New Roman"/>
          <w:sz w:val="22"/>
          <w:szCs w:val="22"/>
        </w:rPr>
        <w:t>‒</w:t>
      </w:r>
      <w:r w:rsidRPr="00404C5A">
        <w:rPr>
          <w:rFonts w:ascii="Times New Roman" w:hAnsi="Times New Roman" w:cs="Times New Roman"/>
          <w:sz w:val="22"/>
          <w:szCs w:val="22"/>
        </w:rPr>
        <w:t>249</w:t>
      </w:r>
      <w:r>
        <w:rPr>
          <w:rFonts w:ascii="Times New Roman" w:hAnsi="Times New Roman" w:cs="Times New Roman"/>
          <w:sz w:val="22"/>
          <w:szCs w:val="22"/>
        </w:rPr>
        <w:t>.</w:t>
      </w:r>
    </w:p>
  </w:endnote>
  <w:endnote w:id="21">
    <w:p w14:paraId="34BDEE9D" w14:textId="40B19DF1"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McCulloch Anna and Mary </w:t>
      </w:r>
      <w:proofErr w:type="spellStart"/>
      <w:r w:rsidRPr="00404C5A">
        <w:rPr>
          <w:rFonts w:ascii="Times New Roman" w:hAnsi="Times New Roman" w:cs="Times New Roman"/>
          <w:sz w:val="22"/>
          <w:szCs w:val="22"/>
        </w:rPr>
        <w:t>McMurran</w:t>
      </w:r>
      <w:proofErr w:type="spellEnd"/>
      <w:r>
        <w:rPr>
          <w:rFonts w:ascii="Times New Roman" w:hAnsi="Times New Roman" w:cs="Times New Roman"/>
          <w:sz w:val="22"/>
          <w:szCs w:val="22"/>
        </w:rPr>
        <w:t xml:space="preserve"> (2007),</w:t>
      </w:r>
      <w:r w:rsidRPr="00404C5A">
        <w:rPr>
          <w:rFonts w:ascii="Times New Roman" w:hAnsi="Times New Roman" w:cs="Times New Roman"/>
          <w:sz w:val="22"/>
          <w:szCs w:val="22"/>
        </w:rPr>
        <w:t xml:space="preserve"> ‘The </w:t>
      </w:r>
      <w:r w:rsidR="00FC4E19" w:rsidRPr="00404C5A">
        <w:rPr>
          <w:rFonts w:ascii="Times New Roman" w:hAnsi="Times New Roman" w:cs="Times New Roman"/>
          <w:sz w:val="22"/>
          <w:szCs w:val="22"/>
        </w:rPr>
        <w:t xml:space="preserve">Features </w:t>
      </w:r>
      <w:r w:rsidR="00FC4E19">
        <w:rPr>
          <w:rFonts w:ascii="Times New Roman" w:hAnsi="Times New Roman" w:cs="Times New Roman"/>
          <w:sz w:val="22"/>
          <w:szCs w:val="22"/>
        </w:rPr>
        <w:t>o</w:t>
      </w:r>
      <w:r w:rsidR="00FC4E19" w:rsidRPr="00404C5A">
        <w:rPr>
          <w:rFonts w:ascii="Times New Roman" w:hAnsi="Times New Roman" w:cs="Times New Roman"/>
          <w:sz w:val="22"/>
          <w:szCs w:val="22"/>
        </w:rPr>
        <w:t xml:space="preserve">f </w:t>
      </w:r>
      <w:r w:rsidR="00FC4E19">
        <w:rPr>
          <w:rFonts w:ascii="Times New Roman" w:hAnsi="Times New Roman" w:cs="Times New Roman"/>
          <w:sz w:val="22"/>
          <w:szCs w:val="22"/>
        </w:rPr>
        <w:t>a</w:t>
      </w:r>
      <w:r w:rsidR="00FC4E19" w:rsidRPr="00404C5A">
        <w:rPr>
          <w:rFonts w:ascii="Times New Roman" w:hAnsi="Times New Roman" w:cs="Times New Roman"/>
          <w:sz w:val="22"/>
          <w:szCs w:val="22"/>
        </w:rPr>
        <w:t xml:space="preserve"> Good Offender Treatment Programme Manual: A </w:t>
      </w:r>
      <w:r w:rsidRPr="00404C5A">
        <w:rPr>
          <w:rFonts w:ascii="Times New Roman" w:hAnsi="Times New Roman" w:cs="Times New Roman"/>
          <w:sz w:val="22"/>
          <w:szCs w:val="22"/>
        </w:rPr>
        <w:t xml:space="preserve">Delphi </w:t>
      </w:r>
      <w:r w:rsidR="00FC4E19" w:rsidRPr="00404C5A">
        <w:rPr>
          <w:rFonts w:ascii="Times New Roman" w:hAnsi="Times New Roman" w:cs="Times New Roman"/>
          <w:sz w:val="22"/>
          <w:szCs w:val="22"/>
        </w:rPr>
        <w:t xml:space="preserve">Survey </w:t>
      </w:r>
      <w:r w:rsidR="00FC4E19">
        <w:rPr>
          <w:rFonts w:ascii="Times New Roman" w:hAnsi="Times New Roman" w:cs="Times New Roman"/>
          <w:sz w:val="22"/>
          <w:szCs w:val="22"/>
        </w:rPr>
        <w:t>o</w:t>
      </w:r>
      <w:r w:rsidR="00FC4E19" w:rsidRPr="00404C5A">
        <w:rPr>
          <w:rFonts w:ascii="Times New Roman" w:hAnsi="Times New Roman" w:cs="Times New Roman"/>
          <w:sz w:val="22"/>
          <w:szCs w:val="22"/>
        </w:rPr>
        <w:t>f Expert</w:t>
      </w:r>
      <w:r w:rsidRPr="00404C5A">
        <w:rPr>
          <w:rFonts w:ascii="Times New Roman" w:hAnsi="Times New Roman" w:cs="Times New Roman"/>
          <w:sz w:val="22"/>
          <w:szCs w:val="22"/>
        </w:rPr>
        <w:t xml:space="preserve">s’, </w:t>
      </w:r>
      <w:r w:rsidRPr="00404C5A">
        <w:rPr>
          <w:rFonts w:ascii="Times New Roman" w:hAnsi="Times New Roman" w:cs="Times New Roman"/>
          <w:i/>
          <w:sz w:val="22"/>
          <w:szCs w:val="22"/>
        </w:rPr>
        <w:t xml:space="preserve">Psychology, Crime </w:t>
      </w:r>
      <w:r w:rsidR="00CF6D48">
        <w:rPr>
          <w:rFonts w:ascii="Times New Roman" w:hAnsi="Times New Roman" w:cs="Times New Roman"/>
          <w:i/>
          <w:sz w:val="22"/>
          <w:szCs w:val="22"/>
        </w:rPr>
        <w:t>and</w:t>
      </w:r>
      <w:r w:rsidR="00CF6D48" w:rsidRPr="00404C5A">
        <w:rPr>
          <w:rFonts w:ascii="Times New Roman" w:hAnsi="Times New Roman" w:cs="Times New Roman"/>
          <w:i/>
          <w:sz w:val="22"/>
          <w:szCs w:val="22"/>
        </w:rPr>
        <w:t xml:space="preserve"> </w:t>
      </w:r>
      <w:r w:rsidRPr="00404C5A">
        <w:rPr>
          <w:rFonts w:ascii="Times New Roman" w:hAnsi="Times New Roman" w:cs="Times New Roman"/>
          <w:i/>
          <w:sz w:val="22"/>
          <w:szCs w:val="22"/>
        </w:rPr>
        <w:t>Law</w:t>
      </w:r>
      <w:r w:rsidRPr="00404C5A">
        <w:rPr>
          <w:rFonts w:ascii="Times New Roman" w:hAnsi="Times New Roman" w:cs="Times New Roman"/>
          <w:sz w:val="22"/>
          <w:szCs w:val="22"/>
        </w:rPr>
        <w:t>, 13</w:t>
      </w:r>
      <w:r w:rsidR="0078482D">
        <w:rPr>
          <w:rFonts w:ascii="Times New Roman" w:hAnsi="Times New Roman" w:cs="Times New Roman"/>
          <w:sz w:val="22"/>
          <w:szCs w:val="22"/>
        </w:rPr>
        <w:t xml:space="preserve"> </w:t>
      </w:r>
      <w:r w:rsidRPr="00404C5A">
        <w:rPr>
          <w:rFonts w:ascii="Times New Roman" w:hAnsi="Times New Roman" w:cs="Times New Roman"/>
          <w:sz w:val="22"/>
          <w:szCs w:val="22"/>
        </w:rPr>
        <w:t>(3), 265</w:t>
      </w:r>
      <w:r w:rsidR="00FC4E19">
        <w:rPr>
          <w:rFonts w:ascii="Times New Roman" w:hAnsi="Times New Roman" w:cs="Times New Roman"/>
          <w:sz w:val="22"/>
          <w:szCs w:val="22"/>
        </w:rPr>
        <w:t>‒</w:t>
      </w:r>
      <w:r w:rsidRPr="00404C5A">
        <w:rPr>
          <w:rFonts w:ascii="Times New Roman" w:hAnsi="Times New Roman" w:cs="Times New Roman"/>
          <w:sz w:val="22"/>
          <w:szCs w:val="22"/>
        </w:rPr>
        <w:t>274.</w:t>
      </w:r>
    </w:p>
  </w:endnote>
  <w:endnote w:id="22">
    <w:p w14:paraId="7577BCA5" w14:textId="7E70E400"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Ghafele, Roya </w:t>
      </w:r>
      <w:r>
        <w:rPr>
          <w:rFonts w:ascii="Times New Roman" w:hAnsi="Times New Roman" w:cs="Times New Roman"/>
          <w:sz w:val="22"/>
          <w:szCs w:val="22"/>
        </w:rPr>
        <w:t xml:space="preserve">(2010), </w:t>
      </w:r>
      <w:r w:rsidRPr="00404C5A">
        <w:rPr>
          <w:rFonts w:ascii="Times New Roman" w:hAnsi="Times New Roman" w:cs="Times New Roman"/>
          <w:sz w:val="22"/>
          <w:szCs w:val="22"/>
        </w:rPr>
        <w:t xml:space="preserve">‘Of </w:t>
      </w:r>
      <w:r w:rsidR="00FC4E19" w:rsidRPr="00404C5A">
        <w:rPr>
          <w:rFonts w:ascii="Times New Roman" w:hAnsi="Times New Roman" w:cs="Times New Roman"/>
          <w:sz w:val="22"/>
          <w:szCs w:val="22"/>
        </w:rPr>
        <w:t xml:space="preserve">War </w:t>
      </w:r>
      <w:r w:rsidR="00FC4E19">
        <w:rPr>
          <w:rFonts w:ascii="Times New Roman" w:hAnsi="Times New Roman" w:cs="Times New Roman"/>
          <w:sz w:val="22"/>
          <w:szCs w:val="22"/>
        </w:rPr>
        <w:t>a</w:t>
      </w:r>
      <w:r w:rsidR="00FC4E19" w:rsidRPr="00404C5A">
        <w:rPr>
          <w:rFonts w:ascii="Times New Roman" w:hAnsi="Times New Roman" w:cs="Times New Roman"/>
          <w:sz w:val="22"/>
          <w:szCs w:val="22"/>
        </w:rPr>
        <w:t xml:space="preserve">nd Peace: Analysing </w:t>
      </w:r>
      <w:r w:rsidR="00FC4E19">
        <w:rPr>
          <w:rFonts w:ascii="Times New Roman" w:hAnsi="Times New Roman" w:cs="Times New Roman"/>
          <w:sz w:val="22"/>
          <w:szCs w:val="22"/>
        </w:rPr>
        <w:t>t</w:t>
      </w:r>
      <w:r w:rsidR="00FC4E19" w:rsidRPr="00404C5A">
        <w:rPr>
          <w:rFonts w:ascii="Times New Roman" w:hAnsi="Times New Roman" w:cs="Times New Roman"/>
          <w:sz w:val="22"/>
          <w:szCs w:val="22"/>
        </w:rPr>
        <w:t xml:space="preserve">he International Discourse </w:t>
      </w:r>
      <w:r w:rsidR="00FC4E19">
        <w:rPr>
          <w:rFonts w:ascii="Times New Roman" w:hAnsi="Times New Roman" w:cs="Times New Roman"/>
          <w:sz w:val="22"/>
          <w:szCs w:val="22"/>
        </w:rPr>
        <w:t>o</w:t>
      </w:r>
      <w:r w:rsidR="00FC4E19" w:rsidRPr="00404C5A">
        <w:rPr>
          <w:rFonts w:ascii="Times New Roman" w:hAnsi="Times New Roman" w:cs="Times New Roman"/>
          <w:sz w:val="22"/>
          <w:szCs w:val="22"/>
        </w:rPr>
        <w:t>n Intellectual Property La</w:t>
      </w:r>
      <w:r w:rsidRPr="00404C5A">
        <w:rPr>
          <w:rFonts w:ascii="Times New Roman" w:hAnsi="Times New Roman" w:cs="Times New Roman"/>
          <w:sz w:val="22"/>
          <w:szCs w:val="22"/>
        </w:rPr>
        <w:t>w’</w:t>
      </w:r>
      <w:r w:rsidRPr="001B6F83">
        <w:rPr>
          <w:rFonts w:ascii="Times New Roman" w:hAnsi="Times New Roman" w:cs="Times New Roman"/>
          <w:sz w:val="22"/>
          <w:szCs w:val="22"/>
        </w:rPr>
        <w:t xml:space="preserve">, </w:t>
      </w:r>
      <w:r w:rsidRPr="00404C5A">
        <w:rPr>
          <w:rFonts w:ascii="Times New Roman" w:hAnsi="Times New Roman" w:cs="Times New Roman"/>
          <w:i/>
          <w:sz w:val="22"/>
          <w:szCs w:val="22"/>
        </w:rPr>
        <w:t>Intellectual Property Quarterly</w:t>
      </w:r>
      <w:r w:rsidRPr="00404C5A">
        <w:rPr>
          <w:rFonts w:ascii="Times New Roman" w:hAnsi="Times New Roman" w:cs="Times New Roman"/>
          <w:sz w:val="22"/>
          <w:szCs w:val="22"/>
        </w:rPr>
        <w:t>, 3, 237</w:t>
      </w:r>
      <w:r w:rsidR="00FC4E19">
        <w:rPr>
          <w:rFonts w:ascii="Times New Roman" w:hAnsi="Times New Roman" w:cs="Times New Roman"/>
          <w:sz w:val="22"/>
          <w:szCs w:val="22"/>
        </w:rPr>
        <w:t>‒</w:t>
      </w:r>
      <w:r w:rsidRPr="00404C5A">
        <w:rPr>
          <w:rFonts w:ascii="Times New Roman" w:hAnsi="Times New Roman" w:cs="Times New Roman"/>
          <w:sz w:val="22"/>
          <w:szCs w:val="22"/>
        </w:rPr>
        <w:t>255.</w:t>
      </w:r>
    </w:p>
  </w:endnote>
  <w:endnote w:id="23">
    <w:p w14:paraId="0D8D0E50" w14:textId="4BE7DBD8"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Bergami, Roberto </w:t>
      </w:r>
      <w:r>
        <w:rPr>
          <w:rFonts w:ascii="Times New Roman" w:hAnsi="Times New Roman" w:cs="Times New Roman"/>
          <w:sz w:val="22"/>
          <w:szCs w:val="22"/>
        </w:rPr>
        <w:t xml:space="preserve">(2010), </w:t>
      </w:r>
      <w:r w:rsidRPr="00404C5A">
        <w:rPr>
          <w:rFonts w:ascii="Times New Roman" w:hAnsi="Times New Roman" w:cs="Times New Roman"/>
          <w:sz w:val="22"/>
          <w:szCs w:val="22"/>
        </w:rPr>
        <w:t xml:space="preserve">‘A Risk Management Approach for Export Letter of Credit Transactions’, </w:t>
      </w:r>
      <w:r w:rsidRPr="00404C5A">
        <w:rPr>
          <w:rFonts w:ascii="Times New Roman" w:hAnsi="Times New Roman" w:cs="Times New Roman"/>
          <w:i/>
          <w:sz w:val="22"/>
          <w:szCs w:val="22"/>
        </w:rPr>
        <w:t xml:space="preserve">Vindobona Journal of International Commercial Law </w:t>
      </w:r>
      <w:r w:rsidR="00CF6D48">
        <w:rPr>
          <w:rFonts w:ascii="Times New Roman" w:hAnsi="Times New Roman" w:cs="Times New Roman"/>
          <w:i/>
          <w:sz w:val="22"/>
          <w:szCs w:val="22"/>
        </w:rPr>
        <w:t>and</w:t>
      </w:r>
      <w:r w:rsidR="00CF6D48" w:rsidRPr="00404C5A">
        <w:rPr>
          <w:rFonts w:ascii="Times New Roman" w:hAnsi="Times New Roman" w:cs="Times New Roman"/>
          <w:i/>
          <w:sz w:val="22"/>
          <w:szCs w:val="22"/>
        </w:rPr>
        <w:t xml:space="preserve"> </w:t>
      </w:r>
      <w:r w:rsidRPr="00404C5A">
        <w:rPr>
          <w:rFonts w:ascii="Times New Roman" w:hAnsi="Times New Roman" w:cs="Times New Roman"/>
          <w:i/>
          <w:sz w:val="22"/>
          <w:szCs w:val="22"/>
        </w:rPr>
        <w:t>Arbitration</w:t>
      </w:r>
      <w:r w:rsidRPr="00404C5A">
        <w:rPr>
          <w:rFonts w:ascii="Times New Roman" w:hAnsi="Times New Roman" w:cs="Times New Roman"/>
          <w:sz w:val="22"/>
          <w:szCs w:val="22"/>
        </w:rPr>
        <w:t>, 14, 165.</w:t>
      </w:r>
    </w:p>
  </w:endnote>
  <w:endnote w:id="24">
    <w:p w14:paraId="776ADD03" w14:textId="05075F31" w:rsidR="008B6C58" w:rsidRPr="00404C5A" w:rsidRDefault="008B6C58" w:rsidP="00404C5A">
      <w:pPr>
        <w:pStyle w:val="EndnoteText"/>
        <w:spacing w:line="480" w:lineRule="auto"/>
        <w:rPr>
          <w:rFonts w:ascii="Times New Roman" w:hAnsi="Times New Roman" w:cs="Times New Roman"/>
          <w:sz w:val="22"/>
          <w:szCs w:val="22"/>
        </w:rPr>
      </w:pPr>
      <w:r w:rsidRPr="00CA37C6">
        <w:rPr>
          <w:rStyle w:val="EndnoteReference"/>
          <w:rFonts w:ascii="Times New Roman" w:hAnsi="Times New Roman" w:cs="Times New Roman"/>
          <w:sz w:val="22"/>
          <w:szCs w:val="22"/>
        </w:rPr>
        <w:endnoteRef/>
      </w:r>
      <w:r w:rsidRPr="00CA37C6">
        <w:rPr>
          <w:rFonts w:ascii="Times New Roman" w:hAnsi="Times New Roman" w:cs="Times New Roman"/>
          <w:sz w:val="22"/>
          <w:szCs w:val="22"/>
        </w:rPr>
        <w:t xml:space="preserve"> DeLoe, R</w:t>
      </w:r>
      <w:r>
        <w:rPr>
          <w:rFonts w:ascii="Times New Roman" w:hAnsi="Times New Roman" w:cs="Times New Roman"/>
          <w:sz w:val="22"/>
          <w:szCs w:val="22"/>
        </w:rPr>
        <w:t>.</w:t>
      </w:r>
      <w:r w:rsidRPr="00CA37C6">
        <w:rPr>
          <w:rFonts w:ascii="Times New Roman" w:hAnsi="Times New Roman" w:cs="Times New Roman"/>
          <w:sz w:val="22"/>
          <w:szCs w:val="22"/>
        </w:rPr>
        <w:t>C</w:t>
      </w:r>
      <w:r>
        <w:rPr>
          <w:rFonts w:ascii="Times New Roman" w:hAnsi="Times New Roman" w:cs="Times New Roman"/>
          <w:sz w:val="22"/>
          <w:szCs w:val="22"/>
        </w:rPr>
        <w:t>. (1995),</w:t>
      </w:r>
      <w:r w:rsidRPr="00CA37C6">
        <w:rPr>
          <w:rFonts w:ascii="Times New Roman" w:hAnsi="Times New Roman" w:cs="Times New Roman"/>
          <w:sz w:val="22"/>
          <w:szCs w:val="22"/>
        </w:rPr>
        <w:t xml:space="preserve"> ‘Exploring Complex Policy Questions Using the Policy Delphi’ </w:t>
      </w:r>
      <w:r w:rsidRPr="00CA37C6">
        <w:rPr>
          <w:rFonts w:ascii="Times New Roman" w:hAnsi="Times New Roman" w:cs="Times New Roman"/>
          <w:i/>
          <w:sz w:val="22"/>
          <w:szCs w:val="22"/>
        </w:rPr>
        <w:t>Applied Geography</w:t>
      </w:r>
      <w:r w:rsidRPr="00CA37C6">
        <w:rPr>
          <w:rFonts w:ascii="Times New Roman" w:hAnsi="Times New Roman" w:cs="Times New Roman"/>
          <w:sz w:val="22"/>
          <w:szCs w:val="22"/>
        </w:rPr>
        <w:t xml:space="preserve">, </w:t>
      </w:r>
      <w:r w:rsidRPr="00404C5A">
        <w:rPr>
          <w:rFonts w:ascii="Times New Roman" w:hAnsi="Times New Roman" w:cs="Times New Roman"/>
          <w:sz w:val="22"/>
          <w:szCs w:val="22"/>
        </w:rPr>
        <w:t>15, 53</w:t>
      </w:r>
      <w:r w:rsidR="00FC4E19">
        <w:rPr>
          <w:rFonts w:ascii="Times New Roman" w:hAnsi="Times New Roman" w:cs="Times New Roman"/>
          <w:sz w:val="22"/>
          <w:szCs w:val="22"/>
        </w:rPr>
        <w:t>‒</w:t>
      </w:r>
      <w:r w:rsidRPr="00404C5A">
        <w:rPr>
          <w:rFonts w:ascii="Times New Roman" w:hAnsi="Times New Roman" w:cs="Times New Roman"/>
          <w:sz w:val="22"/>
          <w:szCs w:val="22"/>
        </w:rPr>
        <w:t xml:space="preserve">68; Evans, Chris </w:t>
      </w:r>
      <w:r>
        <w:rPr>
          <w:rFonts w:ascii="Times New Roman" w:hAnsi="Times New Roman" w:cs="Times New Roman"/>
          <w:sz w:val="22"/>
          <w:szCs w:val="22"/>
        </w:rPr>
        <w:t xml:space="preserve">(2007), </w:t>
      </w:r>
      <w:r w:rsidRPr="00404C5A">
        <w:rPr>
          <w:rFonts w:ascii="Times New Roman" w:hAnsi="Times New Roman" w:cs="Times New Roman"/>
          <w:sz w:val="22"/>
          <w:szCs w:val="22"/>
        </w:rPr>
        <w:t xml:space="preserve">‘Unravelling the Mysteries of the Oracle: Using the Delphi Methodology to Inform the Personal Tax Reform Debate in Australia’, </w:t>
      </w:r>
      <w:r w:rsidRPr="00404C5A">
        <w:rPr>
          <w:rFonts w:ascii="Times New Roman" w:hAnsi="Times New Roman" w:cs="Times New Roman"/>
          <w:i/>
          <w:sz w:val="22"/>
          <w:szCs w:val="22"/>
        </w:rPr>
        <w:t>eJournal of Tax Research</w:t>
      </w:r>
      <w:r w:rsidRPr="001B6F83">
        <w:rPr>
          <w:rFonts w:ascii="Times New Roman" w:hAnsi="Times New Roman" w:cs="Times New Roman"/>
          <w:sz w:val="22"/>
          <w:szCs w:val="22"/>
        </w:rPr>
        <w:t>,</w:t>
      </w:r>
      <w:r w:rsidRPr="00FC4E19">
        <w:rPr>
          <w:rFonts w:ascii="Times New Roman" w:hAnsi="Times New Roman" w:cs="Times New Roman"/>
          <w:sz w:val="22"/>
          <w:szCs w:val="22"/>
        </w:rPr>
        <w:t xml:space="preserve"> </w:t>
      </w:r>
      <w:r w:rsidRPr="00404C5A">
        <w:rPr>
          <w:rFonts w:ascii="Times New Roman" w:hAnsi="Times New Roman" w:cs="Times New Roman"/>
          <w:sz w:val="22"/>
          <w:szCs w:val="22"/>
        </w:rPr>
        <w:t>5, 105</w:t>
      </w:r>
      <w:r w:rsidR="00FC4E19">
        <w:rPr>
          <w:rFonts w:ascii="Times New Roman" w:hAnsi="Times New Roman" w:cs="Times New Roman"/>
          <w:sz w:val="22"/>
          <w:szCs w:val="22"/>
        </w:rPr>
        <w:t>‒</w:t>
      </w:r>
      <w:r w:rsidRPr="00404C5A">
        <w:rPr>
          <w:rFonts w:ascii="Times New Roman" w:hAnsi="Times New Roman" w:cs="Times New Roman"/>
          <w:sz w:val="22"/>
          <w:szCs w:val="22"/>
        </w:rPr>
        <w:t>135.</w:t>
      </w:r>
    </w:p>
  </w:endnote>
  <w:endnote w:id="25">
    <w:p w14:paraId="59ADC701" w14:textId="6D0B55CD"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r>
        <w:rPr>
          <w:rFonts w:ascii="Times New Roman" w:hAnsi="Times New Roman" w:cs="Times New Roman"/>
          <w:sz w:val="22"/>
          <w:szCs w:val="22"/>
        </w:rPr>
        <w:t>Evans, a</w:t>
      </w:r>
      <w:r w:rsidRPr="00404C5A">
        <w:rPr>
          <w:rFonts w:ascii="Times New Roman" w:hAnsi="Times New Roman" w:cs="Times New Roman"/>
          <w:sz w:val="22"/>
          <w:szCs w:val="22"/>
        </w:rPr>
        <w:t>bove n</w:t>
      </w:r>
      <w:r w:rsidR="00FC4E19">
        <w:rPr>
          <w:rFonts w:ascii="Times New Roman" w:hAnsi="Times New Roman" w:cs="Times New Roman"/>
          <w:sz w:val="22"/>
          <w:szCs w:val="22"/>
        </w:rPr>
        <w:t>.</w:t>
      </w:r>
      <w:r w:rsidRPr="00404C5A">
        <w:rPr>
          <w:rFonts w:ascii="Times New Roman" w:hAnsi="Times New Roman" w:cs="Times New Roman"/>
          <w:sz w:val="22"/>
          <w:szCs w:val="22"/>
        </w:rPr>
        <w:t xml:space="preserve"> 22.</w:t>
      </w:r>
    </w:p>
  </w:endnote>
  <w:endnote w:id="26">
    <w:p w14:paraId="7AB86892" w14:textId="065B4B14"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r w:rsidRPr="00FC4E19">
        <w:rPr>
          <w:rFonts w:ascii="Times New Roman" w:hAnsi="Times New Roman" w:cs="Times New Roman"/>
          <w:sz w:val="22"/>
          <w:szCs w:val="22"/>
        </w:rPr>
        <w:t xml:space="preserve">Kangas, J.J., M. Alho, O. Kolehmainen and A. </w:t>
      </w:r>
      <w:proofErr w:type="spellStart"/>
      <w:r w:rsidRPr="00FC4E19">
        <w:rPr>
          <w:rFonts w:ascii="Times New Roman" w:hAnsi="Times New Roman" w:cs="Times New Roman"/>
          <w:sz w:val="22"/>
          <w:szCs w:val="22"/>
        </w:rPr>
        <w:t>Mononen</w:t>
      </w:r>
      <w:proofErr w:type="spellEnd"/>
      <w:r w:rsidRPr="00FC4E19">
        <w:rPr>
          <w:rFonts w:ascii="Times New Roman" w:hAnsi="Times New Roman" w:cs="Times New Roman"/>
          <w:sz w:val="22"/>
          <w:szCs w:val="22"/>
        </w:rPr>
        <w:t xml:space="preserve"> (1998), ‘Analysing Consistency of Experts’ Judgments – Case</w:t>
      </w:r>
      <w:r w:rsidRPr="00404C5A">
        <w:rPr>
          <w:rFonts w:ascii="Times New Roman" w:hAnsi="Times New Roman" w:cs="Times New Roman"/>
          <w:sz w:val="22"/>
          <w:szCs w:val="22"/>
        </w:rPr>
        <w:t xml:space="preserve"> of Assessing Forest Biodiversity’ </w:t>
      </w:r>
      <w:r w:rsidRPr="00404C5A">
        <w:rPr>
          <w:rFonts w:ascii="Times New Roman" w:hAnsi="Times New Roman" w:cs="Times New Roman"/>
          <w:i/>
          <w:sz w:val="22"/>
          <w:szCs w:val="22"/>
        </w:rPr>
        <w:t>Forest Science</w:t>
      </w:r>
      <w:r w:rsidRPr="00404C5A">
        <w:rPr>
          <w:rFonts w:ascii="Times New Roman" w:hAnsi="Times New Roman" w:cs="Times New Roman"/>
          <w:sz w:val="22"/>
          <w:szCs w:val="22"/>
        </w:rPr>
        <w:t>, 44, 610</w:t>
      </w:r>
      <w:r w:rsidR="00FC4E19">
        <w:rPr>
          <w:rFonts w:ascii="Times New Roman" w:hAnsi="Times New Roman" w:cs="Times New Roman"/>
          <w:sz w:val="22"/>
          <w:szCs w:val="22"/>
        </w:rPr>
        <w:t>‒</w:t>
      </w:r>
      <w:r w:rsidRPr="00404C5A">
        <w:rPr>
          <w:rFonts w:ascii="Times New Roman" w:hAnsi="Times New Roman" w:cs="Times New Roman"/>
          <w:sz w:val="22"/>
          <w:szCs w:val="22"/>
        </w:rPr>
        <w:t>617; Mendoza G</w:t>
      </w:r>
      <w:r>
        <w:rPr>
          <w:rFonts w:ascii="Times New Roman" w:hAnsi="Times New Roman" w:cs="Times New Roman"/>
          <w:sz w:val="22"/>
          <w:szCs w:val="22"/>
        </w:rPr>
        <w:t>.</w:t>
      </w:r>
      <w:r w:rsidRPr="00404C5A">
        <w:rPr>
          <w:rFonts w:ascii="Times New Roman" w:hAnsi="Times New Roman" w:cs="Times New Roman"/>
          <w:sz w:val="22"/>
          <w:szCs w:val="22"/>
        </w:rPr>
        <w:t>A</w:t>
      </w:r>
      <w:r>
        <w:rPr>
          <w:rFonts w:ascii="Times New Roman" w:hAnsi="Times New Roman" w:cs="Times New Roman"/>
          <w:sz w:val="22"/>
          <w:szCs w:val="22"/>
        </w:rPr>
        <w:t>.</w:t>
      </w:r>
      <w:r w:rsidRPr="00404C5A">
        <w:rPr>
          <w:rFonts w:ascii="Times New Roman" w:hAnsi="Times New Roman" w:cs="Times New Roman"/>
          <w:sz w:val="22"/>
          <w:szCs w:val="22"/>
        </w:rPr>
        <w:t xml:space="preserve"> and R</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Prabhu</w:t>
      </w:r>
      <w:proofErr w:type="spellEnd"/>
      <w:r>
        <w:rPr>
          <w:rFonts w:ascii="Times New Roman" w:hAnsi="Times New Roman" w:cs="Times New Roman"/>
          <w:sz w:val="22"/>
          <w:szCs w:val="22"/>
        </w:rPr>
        <w:t xml:space="preserve"> (2000),</w:t>
      </w:r>
      <w:r w:rsidRPr="00404C5A">
        <w:rPr>
          <w:rFonts w:ascii="Times New Roman" w:hAnsi="Times New Roman" w:cs="Times New Roman"/>
          <w:sz w:val="22"/>
          <w:szCs w:val="22"/>
        </w:rPr>
        <w:t xml:space="preserve"> ‘Development of a Methodology for Selecting Criteria and Indicators of Sustainable Forest Management: A Case Study of Participatory Assessment’, </w:t>
      </w:r>
      <w:r w:rsidRPr="00404C5A">
        <w:rPr>
          <w:rFonts w:ascii="Times New Roman" w:hAnsi="Times New Roman" w:cs="Times New Roman"/>
          <w:i/>
          <w:sz w:val="22"/>
          <w:szCs w:val="22"/>
        </w:rPr>
        <w:t>Environmental Management</w:t>
      </w:r>
      <w:r w:rsidRPr="00404C5A">
        <w:rPr>
          <w:rFonts w:ascii="Times New Roman" w:hAnsi="Times New Roman" w:cs="Times New Roman"/>
          <w:sz w:val="22"/>
          <w:szCs w:val="22"/>
        </w:rPr>
        <w:t>, 26, 659</w:t>
      </w:r>
      <w:r w:rsidR="00FC4E19">
        <w:rPr>
          <w:rFonts w:ascii="Times New Roman" w:hAnsi="Times New Roman" w:cs="Times New Roman"/>
          <w:sz w:val="22"/>
          <w:szCs w:val="22"/>
        </w:rPr>
        <w:t>‒</w:t>
      </w:r>
      <w:r w:rsidRPr="00404C5A">
        <w:rPr>
          <w:rFonts w:ascii="Times New Roman" w:hAnsi="Times New Roman" w:cs="Times New Roman"/>
          <w:sz w:val="22"/>
          <w:szCs w:val="22"/>
        </w:rPr>
        <w:t>673; Garrod</w:t>
      </w:r>
      <w:r>
        <w:rPr>
          <w:rFonts w:ascii="Times New Roman" w:hAnsi="Times New Roman" w:cs="Times New Roman"/>
          <w:sz w:val="22"/>
          <w:szCs w:val="22"/>
        </w:rPr>
        <w:t>, B.</w:t>
      </w:r>
      <w:r w:rsidRPr="00404C5A">
        <w:rPr>
          <w:rFonts w:ascii="Times New Roman" w:hAnsi="Times New Roman" w:cs="Times New Roman"/>
          <w:sz w:val="22"/>
          <w:szCs w:val="22"/>
        </w:rPr>
        <w:t xml:space="preserve"> and A</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Fyall</w:t>
      </w:r>
      <w:proofErr w:type="spellEnd"/>
      <w:r w:rsidRPr="00404C5A">
        <w:rPr>
          <w:rFonts w:ascii="Times New Roman" w:hAnsi="Times New Roman" w:cs="Times New Roman"/>
          <w:sz w:val="22"/>
          <w:szCs w:val="22"/>
        </w:rPr>
        <w:t xml:space="preserve"> </w:t>
      </w:r>
      <w:r>
        <w:rPr>
          <w:rFonts w:ascii="Times New Roman" w:hAnsi="Times New Roman" w:cs="Times New Roman"/>
          <w:sz w:val="22"/>
          <w:szCs w:val="22"/>
        </w:rPr>
        <w:t xml:space="preserve">(2000), </w:t>
      </w:r>
      <w:r w:rsidRPr="00404C5A">
        <w:rPr>
          <w:rFonts w:ascii="Times New Roman" w:hAnsi="Times New Roman" w:cs="Times New Roman"/>
          <w:sz w:val="22"/>
          <w:szCs w:val="22"/>
        </w:rPr>
        <w:t>‘Managing Heritage Tourism’</w:t>
      </w:r>
      <w:r w:rsidRPr="001B6F83">
        <w:rPr>
          <w:rFonts w:ascii="Times New Roman" w:hAnsi="Times New Roman" w:cs="Times New Roman"/>
          <w:sz w:val="22"/>
          <w:szCs w:val="22"/>
        </w:rPr>
        <w:t xml:space="preserve">, </w:t>
      </w:r>
      <w:r w:rsidRPr="00404C5A">
        <w:rPr>
          <w:rFonts w:ascii="Times New Roman" w:hAnsi="Times New Roman" w:cs="Times New Roman"/>
          <w:i/>
          <w:sz w:val="22"/>
          <w:szCs w:val="22"/>
        </w:rPr>
        <w:t>Annals of Tourism Research</w:t>
      </w:r>
      <w:r w:rsidRPr="00404C5A">
        <w:rPr>
          <w:rFonts w:ascii="Times New Roman" w:hAnsi="Times New Roman" w:cs="Times New Roman"/>
          <w:sz w:val="22"/>
          <w:szCs w:val="22"/>
        </w:rPr>
        <w:t>, 27, 682</w:t>
      </w:r>
      <w:r w:rsidR="00FC4E19">
        <w:rPr>
          <w:rFonts w:ascii="Times New Roman" w:hAnsi="Times New Roman" w:cs="Times New Roman"/>
          <w:sz w:val="22"/>
          <w:szCs w:val="22"/>
        </w:rPr>
        <w:t>‒</w:t>
      </w:r>
      <w:r w:rsidRPr="00404C5A">
        <w:rPr>
          <w:rFonts w:ascii="Times New Roman" w:hAnsi="Times New Roman" w:cs="Times New Roman"/>
          <w:sz w:val="22"/>
          <w:szCs w:val="22"/>
        </w:rPr>
        <w:t>708; Miller</w:t>
      </w:r>
      <w:r>
        <w:rPr>
          <w:rFonts w:ascii="Times New Roman" w:hAnsi="Times New Roman" w:cs="Times New Roman"/>
          <w:sz w:val="22"/>
          <w:szCs w:val="22"/>
        </w:rPr>
        <w:t>, A.</w:t>
      </w:r>
      <w:r w:rsidRPr="00404C5A">
        <w:rPr>
          <w:rFonts w:ascii="Times New Roman" w:hAnsi="Times New Roman" w:cs="Times New Roman"/>
          <w:sz w:val="22"/>
          <w:szCs w:val="22"/>
        </w:rPr>
        <w:t xml:space="preserve"> and W</w:t>
      </w:r>
      <w:r>
        <w:rPr>
          <w:rFonts w:ascii="Times New Roman" w:hAnsi="Times New Roman" w:cs="Times New Roman"/>
          <w:sz w:val="22"/>
          <w:szCs w:val="22"/>
        </w:rPr>
        <w:t>.</w:t>
      </w:r>
      <w:r w:rsidRPr="00404C5A">
        <w:rPr>
          <w:rFonts w:ascii="Times New Roman" w:hAnsi="Times New Roman" w:cs="Times New Roman"/>
          <w:sz w:val="22"/>
          <w:szCs w:val="22"/>
        </w:rPr>
        <w:t xml:space="preserve"> Cuff </w:t>
      </w:r>
      <w:r>
        <w:rPr>
          <w:rFonts w:ascii="Times New Roman" w:hAnsi="Times New Roman" w:cs="Times New Roman"/>
          <w:sz w:val="22"/>
          <w:szCs w:val="22"/>
        </w:rPr>
        <w:t xml:space="preserve">(1986), </w:t>
      </w:r>
      <w:r w:rsidRPr="00404C5A">
        <w:rPr>
          <w:rFonts w:ascii="Times New Roman" w:hAnsi="Times New Roman" w:cs="Times New Roman"/>
          <w:sz w:val="22"/>
          <w:szCs w:val="22"/>
        </w:rPr>
        <w:t>‘The Delphi Approach to the Mediation of Environmental Disputes’</w:t>
      </w:r>
      <w:r w:rsidR="00FC4E19">
        <w:rPr>
          <w:rFonts w:ascii="Times New Roman" w:hAnsi="Times New Roman" w:cs="Times New Roman"/>
          <w:sz w:val="22"/>
          <w:szCs w:val="22"/>
        </w:rPr>
        <w:t>,</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Environmental Management</w:t>
      </w:r>
      <w:r w:rsidRPr="00404C5A">
        <w:rPr>
          <w:rFonts w:ascii="Times New Roman" w:hAnsi="Times New Roman" w:cs="Times New Roman"/>
          <w:sz w:val="22"/>
          <w:szCs w:val="22"/>
        </w:rPr>
        <w:t>, 19, 321</w:t>
      </w:r>
      <w:r w:rsidR="00FC4E19">
        <w:rPr>
          <w:rFonts w:ascii="Times New Roman" w:hAnsi="Times New Roman" w:cs="Times New Roman"/>
          <w:sz w:val="22"/>
          <w:szCs w:val="22"/>
        </w:rPr>
        <w:t>‒</w:t>
      </w:r>
      <w:r w:rsidRPr="00404C5A">
        <w:rPr>
          <w:rFonts w:ascii="Times New Roman" w:hAnsi="Times New Roman" w:cs="Times New Roman"/>
          <w:sz w:val="22"/>
          <w:szCs w:val="22"/>
        </w:rPr>
        <w:t>330; Ying</w:t>
      </w:r>
      <w:r>
        <w:rPr>
          <w:rFonts w:ascii="Times New Roman" w:hAnsi="Times New Roman" w:cs="Times New Roman"/>
          <w:sz w:val="22"/>
          <w:szCs w:val="22"/>
        </w:rPr>
        <w:t xml:space="preserve">, </w:t>
      </w:r>
      <w:r w:rsidRPr="00404C5A">
        <w:rPr>
          <w:rFonts w:ascii="Times New Roman" w:hAnsi="Times New Roman" w:cs="Times New Roman"/>
          <w:sz w:val="22"/>
          <w:szCs w:val="22"/>
        </w:rPr>
        <w:t>L</w:t>
      </w:r>
      <w:r>
        <w:rPr>
          <w:rFonts w:ascii="Times New Roman" w:hAnsi="Times New Roman" w:cs="Times New Roman"/>
          <w:sz w:val="22"/>
          <w:szCs w:val="22"/>
        </w:rPr>
        <w:t>.</w:t>
      </w:r>
      <w:r w:rsidRPr="00404C5A">
        <w:rPr>
          <w:rFonts w:ascii="Times New Roman" w:hAnsi="Times New Roman" w:cs="Times New Roman"/>
          <w:sz w:val="22"/>
          <w:szCs w:val="22"/>
        </w:rPr>
        <w:t>G</w:t>
      </w:r>
      <w:r>
        <w:rPr>
          <w:rFonts w:ascii="Times New Roman" w:hAnsi="Times New Roman" w:cs="Times New Roman"/>
          <w:sz w:val="22"/>
          <w:szCs w:val="22"/>
        </w:rPr>
        <w:t>.</w:t>
      </w:r>
      <w:r w:rsidRPr="00404C5A">
        <w:rPr>
          <w:rFonts w:ascii="Times New Roman" w:hAnsi="Times New Roman" w:cs="Times New Roman"/>
          <w:sz w:val="22"/>
          <w:szCs w:val="22"/>
        </w:rPr>
        <w:t xml:space="preserve"> and H</w:t>
      </w:r>
      <w:r>
        <w:rPr>
          <w:rFonts w:ascii="Times New Roman" w:hAnsi="Times New Roman" w:cs="Times New Roman"/>
          <w:sz w:val="22"/>
          <w:szCs w:val="22"/>
        </w:rPr>
        <w:t>.</w:t>
      </w:r>
      <w:r w:rsidRPr="00404C5A">
        <w:rPr>
          <w:rFonts w:ascii="Times New Roman" w:hAnsi="Times New Roman" w:cs="Times New Roman"/>
          <w:sz w:val="22"/>
          <w:szCs w:val="22"/>
        </w:rPr>
        <w:t xml:space="preserve"> Kung </w:t>
      </w:r>
      <w:r>
        <w:rPr>
          <w:rFonts w:ascii="Times New Roman" w:hAnsi="Times New Roman" w:cs="Times New Roman"/>
          <w:sz w:val="22"/>
          <w:szCs w:val="22"/>
        </w:rPr>
        <w:t xml:space="preserve">(2000), </w:t>
      </w:r>
      <w:r w:rsidRPr="00404C5A">
        <w:rPr>
          <w:rFonts w:ascii="Times New Roman" w:hAnsi="Times New Roman" w:cs="Times New Roman"/>
          <w:sz w:val="22"/>
          <w:szCs w:val="22"/>
        </w:rPr>
        <w:t xml:space="preserve">‘Forecasting up to Year 2000 on Shanghai’s Environmental Quality’, </w:t>
      </w:r>
      <w:r w:rsidRPr="00404C5A">
        <w:rPr>
          <w:rFonts w:ascii="Times New Roman" w:hAnsi="Times New Roman" w:cs="Times New Roman"/>
          <w:i/>
          <w:sz w:val="22"/>
          <w:szCs w:val="22"/>
        </w:rPr>
        <w:t>Environmental Monitoring and Assessment</w:t>
      </w:r>
      <w:r w:rsidRPr="00404C5A">
        <w:rPr>
          <w:rFonts w:ascii="Times New Roman" w:hAnsi="Times New Roman" w:cs="Times New Roman"/>
          <w:sz w:val="22"/>
          <w:szCs w:val="22"/>
        </w:rPr>
        <w:t>, 63, 297</w:t>
      </w:r>
      <w:r w:rsidR="00FC4E19">
        <w:rPr>
          <w:rFonts w:ascii="Times New Roman" w:hAnsi="Times New Roman" w:cs="Times New Roman"/>
          <w:sz w:val="22"/>
          <w:szCs w:val="22"/>
        </w:rPr>
        <w:t>‒</w:t>
      </w:r>
      <w:r w:rsidRPr="00404C5A">
        <w:rPr>
          <w:rFonts w:ascii="Times New Roman" w:hAnsi="Times New Roman" w:cs="Times New Roman"/>
          <w:sz w:val="22"/>
          <w:szCs w:val="22"/>
        </w:rPr>
        <w:t xml:space="preserve">312; </w:t>
      </w:r>
      <w:proofErr w:type="spellStart"/>
      <w:r w:rsidRPr="00404C5A">
        <w:rPr>
          <w:rFonts w:ascii="Times New Roman" w:hAnsi="Times New Roman" w:cs="Times New Roman"/>
          <w:sz w:val="22"/>
          <w:szCs w:val="22"/>
        </w:rPr>
        <w:t>Kuo</w:t>
      </w:r>
      <w:proofErr w:type="spellEnd"/>
      <w:r>
        <w:rPr>
          <w:rFonts w:ascii="Times New Roman" w:hAnsi="Times New Roman" w:cs="Times New Roman"/>
          <w:sz w:val="22"/>
          <w:szCs w:val="22"/>
        </w:rPr>
        <w:t xml:space="preserve">, </w:t>
      </w:r>
      <w:r w:rsidRPr="00404C5A">
        <w:rPr>
          <w:rFonts w:ascii="Times New Roman" w:hAnsi="Times New Roman" w:cs="Times New Roman"/>
          <w:sz w:val="22"/>
          <w:szCs w:val="22"/>
        </w:rPr>
        <w:t>N</w:t>
      </w:r>
      <w:r>
        <w:rPr>
          <w:rFonts w:ascii="Times New Roman" w:hAnsi="Times New Roman" w:cs="Times New Roman"/>
          <w:sz w:val="22"/>
          <w:szCs w:val="22"/>
        </w:rPr>
        <w:t>.</w:t>
      </w:r>
      <w:r w:rsidRPr="00404C5A">
        <w:rPr>
          <w:rFonts w:ascii="Times New Roman" w:hAnsi="Times New Roman" w:cs="Times New Roman"/>
          <w:sz w:val="22"/>
          <w:szCs w:val="22"/>
        </w:rPr>
        <w:t>W</w:t>
      </w:r>
      <w:r>
        <w:rPr>
          <w:rFonts w:ascii="Times New Roman" w:hAnsi="Times New Roman" w:cs="Times New Roman"/>
          <w:sz w:val="22"/>
          <w:szCs w:val="22"/>
        </w:rPr>
        <w:t>.</w:t>
      </w:r>
      <w:r w:rsidRPr="00404C5A">
        <w:rPr>
          <w:rFonts w:ascii="Times New Roman" w:hAnsi="Times New Roman" w:cs="Times New Roman"/>
          <w:sz w:val="22"/>
          <w:szCs w:val="22"/>
        </w:rPr>
        <w:t xml:space="preserve"> and Y</w:t>
      </w:r>
      <w:r>
        <w:rPr>
          <w:rFonts w:ascii="Times New Roman" w:hAnsi="Times New Roman" w:cs="Times New Roman"/>
          <w:sz w:val="22"/>
          <w:szCs w:val="22"/>
        </w:rPr>
        <w:t>.</w:t>
      </w:r>
      <w:r w:rsidRPr="00404C5A">
        <w:rPr>
          <w:rFonts w:ascii="Times New Roman" w:hAnsi="Times New Roman" w:cs="Times New Roman"/>
          <w:sz w:val="22"/>
          <w:szCs w:val="22"/>
        </w:rPr>
        <w:t>H</w:t>
      </w:r>
      <w:r>
        <w:rPr>
          <w:rFonts w:ascii="Times New Roman" w:hAnsi="Times New Roman" w:cs="Times New Roman"/>
          <w:sz w:val="22"/>
          <w:szCs w:val="22"/>
        </w:rPr>
        <w:t>.</w:t>
      </w:r>
      <w:r w:rsidRPr="00404C5A">
        <w:rPr>
          <w:rFonts w:ascii="Times New Roman" w:hAnsi="Times New Roman" w:cs="Times New Roman"/>
          <w:sz w:val="22"/>
          <w:szCs w:val="22"/>
        </w:rPr>
        <w:t xml:space="preserve"> Yu </w:t>
      </w:r>
      <w:r>
        <w:rPr>
          <w:rFonts w:ascii="Times New Roman" w:hAnsi="Times New Roman" w:cs="Times New Roman"/>
          <w:sz w:val="22"/>
          <w:szCs w:val="22"/>
        </w:rPr>
        <w:t xml:space="preserve">(1999), </w:t>
      </w:r>
      <w:r w:rsidRPr="00404C5A">
        <w:rPr>
          <w:rFonts w:ascii="Times New Roman" w:hAnsi="Times New Roman" w:cs="Times New Roman"/>
          <w:sz w:val="22"/>
          <w:szCs w:val="22"/>
        </w:rPr>
        <w:t xml:space="preserve">‘Policy and Practice: An Evaluation System for National Park Selection in Taiwan’, </w:t>
      </w:r>
      <w:r w:rsidRPr="00404C5A">
        <w:rPr>
          <w:rFonts w:ascii="Times New Roman" w:hAnsi="Times New Roman" w:cs="Times New Roman"/>
          <w:i/>
          <w:sz w:val="22"/>
          <w:szCs w:val="22"/>
        </w:rPr>
        <w:t>Journal of Environmental Planning and Management</w:t>
      </w:r>
      <w:r w:rsidRPr="00404C5A">
        <w:rPr>
          <w:rFonts w:ascii="Times New Roman" w:hAnsi="Times New Roman" w:cs="Times New Roman"/>
          <w:sz w:val="22"/>
          <w:szCs w:val="22"/>
        </w:rPr>
        <w:t>, 42, 735</w:t>
      </w:r>
      <w:r w:rsidR="005272B4">
        <w:rPr>
          <w:rFonts w:ascii="Times New Roman" w:hAnsi="Times New Roman" w:cs="Times New Roman"/>
          <w:sz w:val="22"/>
          <w:szCs w:val="22"/>
        </w:rPr>
        <w:t>‒</w:t>
      </w:r>
      <w:r w:rsidRPr="00404C5A">
        <w:rPr>
          <w:rFonts w:ascii="Times New Roman" w:hAnsi="Times New Roman" w:cs="Times New Roman"/>
          <w:sz w:val="22"/>
          <w:szCs w:val="22"/>
        </w:rPr>
        <w:t>745; Bush</w:t>
      </w:r>
      <w:r>
        <w:rPr>
          <w:rFonts w:ascii="Times New Roman" w:hAnsi="Times New Roman" w:cs="Times New Roman"/>
          <w:sz w:val="22"/>
          <w:szCs w:val="22"/>
        </w:rPr>
        <w:t xml:space="preserve">, </w:t>
      </w:r>
      <w:r w:rsidRPr="00404C5A">
        <w:rPr>
          <w:rFonts w:ascii="Times New Roman" w:hAnsi="Times New Roman" w:cs="Times New Roman"/>
          <w:sz w:val="22"/>
          <w:szCs w:val="22"/>
        </w:rPr>
        <w:t>W</w:t>
      </w:r>
      <w:r>
        <w:rPr>
          <w:rFonts w:ascii="Times New Roman" w:hAnsi="Times New Roman" w:cs="Times New Roman"/>
          <w:sz w:val="22"/>
          <w:szCs w:val="22"/>
        </w:rPr>
        <w:t>.</w:t>
      </w:r>
      <w:r w:rsidRPr="00404C5A">
        <w:rPr>
          <w:rFonts w:ascii="Times New Roman" w:hAnsi="Times New Roman" w:cs="Times New Roman"/>
          <w:sz w:val="22"/>
          <w:szCs w:val="22"/>
        </w:rPr>
        <w:t>D</w:t>
      </w:r>
      <w:r>
        <w:rPr>
          <w:rFonts w:ascii="Times New Roman" w:hAnsi="Times New Roman" w:cs="Times New Roman"/>
          <w:sz w:val="22"/>
          <w:szCs w:val="22"/>
        </w:rPr>
        <w:t>.</w:t>
      </w:r>
      <w:r w:rsidRPr="00404C5A">
        <w:rPr>
          <w:rFonts w:ascii="Times New Roman" w:hAnsi="Times New Roman" w:cs="Times New Roman"/>
          <w:sz w:val="22"/>
          <w:szCs w:val="22"/>
        </w:rPr>
        <w:t xml:space="preserve"> and S</w:t>
      </w:r>
      <w:r>
        <w:rPr>
          <w:rFonts w:ascii="Times New Roman" w:hAnsi="Times New Roman" w:cs="Times New Roman"/>
          <w:sz w:val="22"/>
          <w:szCs w:val="22"/>
        </w:rPr>
        <w:t>.</w:t>
      </w:r>
      <w:r w:rsidRPr="00404C5A">
        <w:rPr>
          <w:rFonts w:ascii="Times New Roman" w:hAnsi="Times New Roman" w:cs="Times New Roman"/>
          <w:sz w:val="22"/>
          <w:szCs w:val="22"/>
        </w:rPr>
        <w:t>J</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Lary</w:t>
      </w:r>
      <w:proofErr w:type="spellEnd"/>
      <w:r w:rsidRPr="00404C5A">
        <w:rPr>
          <w:rFonts w:ascii="Times New Roman" w:hAnsi="Times New Roman" w:cs="Times New Roman"/>
          <w:sz w:val="22"/>
          <w:szCs w:val="22"/>
        </w:rPr>
        <w:t xml:space="preserve"> </w:t>
      </w:r>
      <w:r>
        <w:rPr>
          <w:rFonts w:ascii="Times New Roman" w:hAnsi="Times New Roman" w:cs="Times New Roman"/>
          <w:sz w:val="22"/>
          <w:szCs w:val="22"/>
        </w:rPr>
        <w:t xml:space="preserve">(1996), </w:t>
      </w:r>
      <w:r w:rsidRPr="00404C5A">
        <w:rPr>
          <w:rFonts w:ascii="Times New Roman" w:hAnsi="Times New Roman" w:cs="Times New Roman"/>
          <w:sz w:val="22"/>
          <w:szCs w:val="22"/>
        </w:rPr>
        <w:t xml:space="preserve">‘Assessment of Habitat Impairments Impacting the Aquatic Resources of Lake Ontario’, </w:t>
      </w:r>
      <w:r w:rsidRPr="00404C5A">
        <w:rPr>
          <w:rFonts w:ascii="Times New Roman" w:hAnsi="Times New Roman" w:cs="Times New Roman"/>
          <w:i/>
          <w:sz w:val="22"/>
          <w:szCs w:val="22"/>
        </w:rPr>
        <w:t>Canadian Journal of Fisheries and Aquatic Life</w:t>
      </w:r>
      <w:r w:rsidRPr="00404C5A">
        <w:rPr>
          <w:rFonts w:ascii="Times New Roman" w:hAnsi="Times New Roman" w:cs="Times New Roman"/>
          <w:sz w:val="22"/>
          <w:szCs w:val="22"/>
        </w:rPr>
        <w:t>, 53, 113</w:t>
      </w:r>
      <w:r w:rsidR="005272B4">
        <w:rPr>
          <w:rFonts w:ascii="Times New Roman" w:hAnsi="Times New Roman" w:cs="Times New Roman"/>
          <w:sz w:val="22"/>
          <w:szCs w:val="22"/>
        </w:rPr>
        <w:t>‒</w:t>
      </w:r>
      <w:r w:rsidRPr="00404C5A">
        <w:rPr>
          <w:rFonts w:ascii="Times New Roman" w:hAnsi="Times New Roman" w:cs="Times New Roman"/>
          <w:sz w:val="22"/>
          <w:szCs w:val="22"/>
        </w:rPr>
        <w:t>120.</w:t>
      </w:r>
    </w:p>
  </w:endnote>
  <w:endnote w:id="27">
    <w:p w14:paraId="0F90A8DF" w14:textId="0CE9DB83" w:rsidR="008B6C58" w:rsidRPr="00404C5A" w:rsidRDefault="008B6C58" w:rsidP="00404C5A">
      <w:pPr>
        <w:pStyle w:val="EndnoteText"/>
        <w:tabs>
          <w:tab w:val="left" w:pos="0"/>
        </w:tabs>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proofErr w:type="gramStart"/>
      <w:r w:rsidRPr="00404C5A">
        <w:rPr>
          <w:rFonts w:ascii="Times New Roman" w:hAnsi="Times New Roman" w:cs="Times New Roman"/>
          <w:sz w:val="22"/>
          <w:szCs w:val="22"/>
        </w:rPr>
        <w:t>Wilenius</w:t>
      </w:r>
      <w:r>
        <w:rPr>
          <w:rFonts w:ascii="Times New Roman" w:hAnsi="Times New Roman" w:cs="Times New Roman"/>
          <w:sz w:val="22"/>
          <w:szCs w:val="22"/>
        </w:rPr>
        <w:t>, M.</w:t>
      </w:r>
      <w:r w:rsidRPr="00404C5A">
        <w:rPr>
          <w:rFonts w:ascii="Times New Roman" w:hAnsi="Times New Roman" w:cs="Times New Roman"/>
          <w:sz w:val="22"/>
          <w:szCs w:val="22"/>
        </w:rPr>
        <w:t xml:space="preserve"> and J</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Tirkkonen</w:t>
      </w:r>
      <w:proofErr w:type="spellEnd"/>
      <w:r>
        <w:rPr>
          <w:rFonts w:ascii="Times New Roman" w:hAnsi="Times New Roman" w:cs="Times New Roman"/>
          <w:sz w:val="22"/>
          <w:szCs w:val="22"/>
        </w:rPr>
        <w:t xml:space="preserve"> (1997),</w:t>
      </w:r>
      <w:r w:rsidRPr="00404C5A">
        <w:rPr>
          <w:rFonts w:ascii="Times New Roman" w:hAnsi="Times New Roman" w:cs="Times New Roman"/>
          <w:sz w:val="22"/>
          <w:szCs w:val="22"/>
        </w:rPr>
        <w:t xml:space="preserve"> ‘Climate in the </w:t>
      </w:r>
      <w:r w:rsidR="005272B4">
        <w:rPr>
          <w:rFonts w:ascii="Times New Roman" w:hAnsi="Times New Roman" w:cs="Times New Roman"/>
          <w:sz w:val="22"/>
          <w:szCs w:val="22"/>
        </w:rPr>
        <w:t>M</w:t>
      </w:r>
      <w:r w:rsidR="005272B4" w:rsidRPr="00404C5A">
        <w:rPr>
          <w:rFonts w:ascii="Times New Roman" w:hAnsi="Times New Roman" w:cs="Times New Roman"/>
          <w:sz w:val="22"/>
          <w:szCs w:val="22"/>
        </w:rPr>
        <w:t>aking</w:t>
      </w:r>
      <w:r w:rsidRPr="00404C5A">
        <w:rPr>
          <w:rFonts w:ascii="Times New Roman" w:hAnsi="Times New Roman" w:cs="Times New Roman"/>
          <w:sz w:val="22"/>
          <w:szCs w:val="22"/>
        </w:rPr>
        <w:t>.</w:t>
      </w:r>
      <w:proofErr w:type="gramEnd"/>
      <w:r w:rsidRPr="00404C5A">
        <w:rPr>
          <w:rFonts w:ascii="Times New Roman" w:hAnsi="Times New Roman" w:cs="Times New Roman"/>
          <w:sz w:val="22"/>
          <w:szCs w:val="22"/>
        </w:rPr>
        <w:t xml:space="preserve"> Using Delphi for Finnish </w:t>
      </w:r>
      <w:r w:rsidR="005272B4">
        <w:rPr>
          <w:rFonts w:ascii="Times New Roman" w:hAnsi="Times New Roman" w:cs="Times New Roman"/>
          <w:sz w:val="22"/>
          <w:szCs w:val="22"/>
        </w:rPr>
        <w:t>C</w:t>
      </w:r>
      <w:r w:rsidR="005272B4" w:rsidRPr="00404C5A">
        <w:rPr>
          <w:rFonts w:ascii="Times New Roman" w:hAnsi="Times New Roman" w:cs="Times New Roman"/>
          <w:sz w:val="22"/>
          <w:szCs w:val="22"/>
        </w:rPr>
        <w:t xml:space="preserve">limate </w:t>
      </w:r>
      <w:r w:rsidR="005272B4">
        <w:rPr>
          <w:rFonts w:ascii="Times New Roman" w:hAnsi="Times New Roman" w:cs="Times New Roman"/>
          <w:sz w:val="22"/>
          <w:szCs w:val="22"/>
        </w:rPr>
        <w:t>P</w:t>
      </w:r>
      <w:r w:rsidR="005272B4" w:rsidRPr="00404C5A">
        <w:rPr>
          <w:rFonts w:ascii="Times New Roman" w:hAnsi="Times New Roman" w:cs="Times New Roman"/>
          <w:sz w:val="22"/>
          <w:szCs w:val="22"/>
        </w:rPr>
        <w:t>olicy’</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Futures</w:t>
      </w:r>
      <w:r w:rsidRPr="00404C5A">
        <w:rPr>
          <w:rFonts w:ascii="Times New Roman" w:hAnsi="Times New Roman" w:cs="Times New Roman"/>
          <w:sz w:val="22"/>
          <w:szCs w:val="22"/>
        </w:rPr>
        <w:t>, 29 (9), 845</w:t>
      </w:r>
      <w:r w:rsidR="005272B4">
        <w:rPr>
          <w:rFonts w:ascii="Times New Roman" w:hAnsi="Times New Roman" w:cs="Times New Roman"/>
          <w:sz w:val="22"/>
          <w:szCs w:val="22"/>
        </w:rPr>
        <w:t>‒</w:t>
      </w:r>
      <w:r w:rsidRPr="00404C5A">
        <w:rPr>
          <w:rFonts w:ascii="Times New Roman" w:hAnsi="Times New Roman" w:cs="Times New Roman"/>
          <w:sz w:val="22"/>
          <w:szCs w:val="22"/>
        </w:rPr>
        <w:t>862.</w:t>
      </w:r>
    </w:p>
  </w:endnote>
  <w:endnote w:id="28">
    <w:p w14:paraId="3BAB21FE" w14:textId="1E8CA7B0" w:rsidR="008B6C58" w:rsidRPr="00404C5A" w:rsidRDefault="008B6C58" w:rsidP="00404C5A">
      <w:pPr>
        <w:pStyle w:val="EndnoteText"/>
        <w:tabs>
          <w:tab w:val="left" w:pos="0"/>
        </w:tabs>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 xml:space="preserve">Klabbers, </w:t>
      </w:r>
      <w:r>
        <w:rPr>
          <w:rFonts w:ascii="Times New Roman" w:hAnsi="Times New Roman" w:cs="Times New Roman"/>
          <w:sz w:val="22"/>
          <w:szCs w:val="22"/>
        </w:rPr>
        <w:t xml:space="preserve">J., </w:t>
      </w:r>
      <w:r w:rsidRPr="00404C5A">
        <w:rPr>
          <w:rFonts w:ascii="Times New Roman" w:hAnsi="Times New Roman" w:cs="Times New Roman"/>
          <w:sz w:val="22"/>
          <w:szCs w:val="22"/>
        </w:rPr>
        <w:t>P</w:t>
      </w:r>
      <w:r>
        <w:rPr>
          <w:rFonts w:ascii="Times New Roman" w:hAnsi="Times New Roman" w:cs="Times New Roman"/>
          <w:sz w:val="22"/>
          <w:szCs w:val="22"/>
        </w:rPr>
        <w:t>.</w:t>
      </w:r>
      <w:r w:rsidRPr="00404C5A">
        <w:rPr>
          <w:rFonts w:ascii="Times New Roman" w:hAnsi="Times New Roman" w:cs="Times New Roman"/>
          <w:sz w:val="22"/>
          <w:szCs w:val="22"/>
        </w:rPr>
        <w:t xml:space="preserve"> Vellinga, R</w:t>
      </w:r>
      <w:r>
        <w:rPr>
          <w:rFonts w:ascii="Times New Roman" w:hAnsi="Times New Roman" w:cs="Times New Roman"/>
          <w:sz w:val="22"/>
          <w:szCs w:val="22"/>
        </w:rPr>
        <w:t>.</w:t>
      </w:r>
      <w:r w:rsidRPr="00404C5A">
        <w:rPr>
          <w:rFonts w:ascii="Times New Roman" w:hAnsi="Times New Roman" w:cs="Times New Roman"/>
          <w:sz w:val="22"/>
          <w:szCs w:val="22"/>
        </w:rPr>
        <w:t xml:space="preserve"> Swart, A</w:t>
      </w:r>
      <w:r>
        <w:rPr>
          <w:rFonts w:ascii="Times New Roman" w:hAnsi="Times New Roman" w:cs="Times New Roman"/>
          <w:sz w:val="22"/>
          <w:szCs w:val="22"/>
        </w:rPr>
        <w:t>.</w:t>
      </w:r>
      <w:r w:rsidRPr="00404C5A">
        <w:rPr>
          <w:rFonts w:ascii="Times New Roman" w:hAnsi="Times New Roman" w:cs="Times New Roman"/>
          <w:sz w:val="22"/>
          <w:szCs w:val="22"/>
        </w:rPr>
        <w:t xml:space="preserve"> Van Ulden and R</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Jansson</w:t>
      </w:r>
      <w:proofErr w:type="spellEnd"/>
      <w:r w:rsidRPr="00404C5A">
        <w:rPr>
          <w:rFonts w:ascii="Times New Roman" w:hAnsi="Times New Roman" w:cs="Times New Roman"/>
          <w:sz w:val="22"/>
          <w:szCs w:val="22"/>
        </w:rPr>
        <w:t xml:space="preserve"> </w:t>
      </w:r>
      <w:r>
        <w:rPr>
          <w:rFonts w:ascii="Times New Roman" w:hAnsi="Times New Roman" w:cs="Times New Roman"/>
          <w:sz w:val="22"/>
          <w:szCs w:val="22"/>
        </w:rPr>
        <w:t xml:space="preserve">(1996), </w:t>
      </w:r>
      <w:r w:rsidRPr="00404C5A">
        <w:rPr>
          <w:rFonts w:ascii="Times New Roman" w:hAnsi="Times New Roman" w:cs="Times New Roman"/>
          <w:sz w:val="22"/>
          <w:szCs w:val="22"/>
        </w:rPr>
        <w:t xml:space="preserve">‘Climate </w:t>
      </w:r>
      <w:r w:rsidR="005272B4" w:rsidRPr="00404C5A">
        <w:rPr>
          <w:rFonts w:ascii="Times New Roman" w:hAnsi="Times New Roman" w:cs="Times New Roman"/>
          <w:sz w:val="22"/>
          <w:szCs w:val="22"/>
        </w:rPr>
        <w:t xml:space="preserve">Change </w:t>
      </w:r>
      <w:r w:rsidR="005272B4">
        <w:rPr>
          <w:rFonts w:ascii="Times New Roman" w:hAnsi="Times New Roman" w:cs="Times New Roman"/>
          <w:sz w:val="22"/>
          <w:szCs w:val="22"/>
        </w:rPr>
        <w:t>a</w:t>
      </w:r>
      <w:r w:rsidR="005272B4" w:rsidRPr="00404C5A">
        <w:rPr>
          <w:rFonts w:ascii="Times New Roman" w:hAnsi="Times New Roman" w:cs="Times New Roman"/>
          <w:sz w:val="22"/>
          <w:szCs w:val="22"/>
        </w:rPr>
        <w:t>nd Climate Policy: Improving Science/Policy Inter</w:t>
      </w:r>
      <w:r w:rsidRPr="00404C5A">
        <w:rPr>
          <w:rFonts w:ascii="Times New Roman" w:hAnsi="Times New Roman" w:cs="Times New Roman"/>
          <w:sz w:val="22"/>
          <w:szCs w:val="22"/>
        </w:rPr>
        <w:t>face’</w:t>
      </w:r>
      <w:r w:rsidR="005272B4">
        <w:rPr>
          <w:rFonts w:ascii="Times New Roman" w:hAnsi="Times New Roman" w:cs="Times New Roman"/>
          <w:sz w:val="22"/>
          <w:szCs w:val="22"/>
        </w:rPr>
        <w:t>,</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Mitigation and Adaptation Strategies for Global Change</w:t>
      </w:r>
      <w:r w:rsidRPr="00404C5A">
        <w:rPr>
          <w:rFonts w:ascii="Times New Roman" w:hAnsi="Times New Roman" w:cs="Times New Roman"/>
          <w:sz w:val="22"/>
          <w:szCs w:val="22"/>
        </w:rPr>
        <w:t>, 1 (1), 73</w:t>
      </w:r>
      <w:r w:rsidR="005272B4">
        <w:rPr>
          <w:rFonts w:ascii="Times New Roman" w:hAnsi="Times New Roman" w:cs="Times New Roman"/>
          <w:sz w:val="22"/>
          <w:szCs w:val="22"/>
        </w:rPr>
        <w:t>‒</w:t>
      </w:r>
      <w:r w:rsidRPr="00404C5A">
        <w:rPr>
          <w:rFonts w:ascii="Times New Roman" w:hAnsi="Times New Roman" w:cs="Times New Roman"/>
          <w:sz w:val="22"/>
          <w:szCs w:val="22"/>
        </w:rPr>
        <w:t>93.</w:t>
      </w:r>
    </w:p>
  </w:endnote>
  <w:endnote w:id="29">
    <w:p w14:paraId="2F43E2D8" w14:textId="77777777" w:rsidR="008B6C58" w:rsidRPr="00404C5A" w:rsidRDefault="008B6C58" w:rsidP="00404C5A">
      <w:pPr>
        <w:autoSpaceDE w:val="0"/>
        <w:autoSpaceDN w:val="0"/>
        <w:adjustRightInd w:val="0"/>
        <w:spacing w:after="0" w:line="480" w:lineRule="auto"/>
        <w:rPr>
          <w:rFonts w:ascii="Times New Roman" w:hAnsi="Times New Roman" w:cs="Times New Roman"/>
          <w:lang w:val="en-US"/>
        </w:rPr>
      </w:pPr>
      <w:r w:rsidRPr="00404C5A">
        <w:rPr>
          <w:rStyle w:val="EndnoteReference"/>
          <w:rFonts w:ascii="Times New Roman" w:hAnsi="Times New Roman" w:cs="Times New Roman"/>
        </w:rPr>
        <w:endnoteRef/>
      </w:r>
      <w:r w:rsidRPr="00404C5A">
        <w:rPr>
          <w:rFonts w:ascii="Times New Roman" w:hAnsi="Times New Roman" w:cs="Times New Roman"/>
        </w:rPr>
        <w:t xml:space="preserve"> The group of experts includes respected </w:t>
      </w:r>
      <w:r w:rsidRPr="00404C5A">
        <w:rPr>
          <w:rFonts w:ascii="Times New Roman" w:hAnsi="Times New Roman" w:cs="Times New Roman"/>
          <w:color w:val="000000"/>
        </w:rPr>
        <w:t>professionals in the field of climate change economics.</w:t>
      </w:r>
      <w:r w:rsidRPr="00404C5A">
        <w:rPr>
          <w:rFonts w:ascii="Times New Roman" w:hAnsi="Times New Roman" w:cs="Times New Roman"/>
        </w:rPr>
        <w:t xml:space="preserve"> </w:t>
      </w:r>
      <w:r w:rsidRPr="00404C5A">
        <w:rPr>
          <w:rFonts w:ascii="Times New Roman" w:hAnsi="Times New Roman" w:cs="Times New Roman"/>
          <w:color w:val="000000"/>
        </w:rPr>
        <w:t>GAO. ‘</w:t>
      </w:r>
      <w:r w:rsidRPr="00404C5A">
        <w:rPr>
          <w:rFonts w:ascii="Times New Roman" w:hAnsi="Times New Roman" w:cs="Times New Roman"/>
          <w:i/>
          <w:color w:val="000000"/>
        </w:rPr>
        <w:t>Expert Opinion on the Economics of Policy Options to Address Climate Change</w:t>
      </w:r>
      <w:r w:rsidRPr="00404C5A">
        <w:rPr>
          <w:rFonts w:ascii="Times New Roman" w:hAnsi="Times New Roman" w:cs="Times New Roman"/>
          <w:color w:val="000000"/>
        </w:rPr>
        <w:t>.’ United States Government Accountability Office. Washington DC 2008.</w:t>
      </w:r>
    </w:p>
  </w:endnote>
  <w:endnote w:id="30">
    <w:p w14:paraId="5A623C94" w14:textId="4CDE4CA1"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Guglyuvatyy, </w:t>
      </w:r>
      <w:r>
        <w:rPr>
          <w:rFonts w:ascii="Times New Roman" w:hAnsi="Times New Roman" w:cs="Times New Roman"/>
          <w:sz w:val="22"/>
          <w:szCs w:val="22"/>
        </w:rPr>
        <w:t xml:space="preserve">Evgeny (2011), </w:t>
      </w:r>
      <w:r w:rsidRPr="00404C5A">
        <w:rPr>
          <w:rFonts w:ascii="Times New Roman" w:hAnsi="Times New Roman" w:cs="Times New Roman"/>
          <w:i/>
          <w:sz w:val="22"/>
          <w:szCs w:val="22"/>
        </w:rPr>
        <w:t xml:space="preserve">Assessing </w:t>
      </w:r>
      <w:r w:rsidR="005272B4" w:rsidRPr="00404C5A">
        <w:rPr>
          <w:rFonts w:ascii="Times New Roman" w:hAnsi="Times New Roman" w:cs="Times New Roman"/>
          <w:i/>
          <w:sz w:val="22"/>
          <w:szCs w:val="22"/>
        </w:rPr>
        <w:t xml:space="preserve">Carbon Tax </w:t>
      </w:r>
      <w:r w:rsidR="005272B4">
        <w:rPr>
          <w:rFonts w:ascii="Times New Roman" w:hAnsi="Times New Roman" w:cs="Times New Roman"/>
          <w:i/>
          <w:sz w:val="22"/>
          <w:szCs w:val="22"/>
        </w:rPr>
        <w:t>a</w:t>
      </w:r>
      <w:r w:rsidR="005272B4" w:rsidRPr="00404C5A">
        <w:rPr>
          <w:rFonts w:ascii="Times New Roman" w:hAnsi="Times New Roman" w:cs="Times New Roman"/>
          <w:i/>
          <w:sz w:val="22"/>
          <w:szCs w:val="22"/>
        </w:rPr>
        <w:t xml:space="preserve">nd Emissions Trading </w:t>
      </w:r>
      <w:r w:rsidR="005272B4">
        <w:rPr>
          <w:rFonts w:ascii="Times New Roman" w:hAnsi="Times New Roman" w:cs="Times New Roman"/>
          <w:i/>
          <w:sz w:val="22"/>
          <w:szCs w:val="22"/>
        </w:rPr>
        <w:t>a</w:t>
      </w:r>
      <w:r w:rsidR="005272B4" w:rsidRPr="00404C5A">
        <w:rPr>
          <w:rFonts w:ascii="Times New Roman" w:hAnsi="Times New Roman" w:cs="Times New Roman"/>
          <w:i/>
          <w:sz w:val="22"/>
          <w:szCs w:val="22"/>
        </w:rPr>
        <w:t xml:space="preserve">s Policy Options </w:t>
      </w:r>
      <w:r w:rsidR="005272B4">
        <w:rPr>
          <w:rFonts w:ascii="Times New Roman" w:hAnsi="Times New Roman" w:cs="Times New Roman"/>
          <w:i/>
          <w:sz w:val="22"/>
          <w:szCs w:val="22"/>
        </w:rPr>
        <w:t>f</w:t>
      </w:r>
      <w:r w:rsidR="005272B4" w:rsidRPr="00404C5A">
        <w:rPr>
          <w:rFonts w:ascii="Times New Roman" w:hAnsi="Times New Roman" w:cs="Times New Roman"/>
          <w:i/>
          <w:sz w:val="22"/>
          <w:szCs w:val="22"/>
        </w:rPr>
        <w:t>or Climate Change Mit</w:t>
      </w:r>
      <w:r w:rsidRPr="00404C5A">
        <w:rPr>
          <w:rFonts w:ascii="Times New Roman" w:hAnsi="Times New Roman" w:cs="Times New Roman"/>
          <w:i/>
          <w:sz w:val="22"/>
          <w:szCs w:val="22"/>
        </w:rPr>
        <w:t>igation in Australia</w:t>
      </w:r>
      <w:r>
        <w:rPr>
          <w:rFonts w:ascii="Times New Roman" w:hAnsi="Times New Roman" w:cs="Times New Roman"/>
          <w:sz w:val="22"/>
          <w:szCs w:val="22"/>
        </w:rPr>
        <w:t xml:space="preserve">. </w:t>
      </w:r>
      <w:proofErr w:type="gramStart"/>
      <w:r w:rsidRPr="00404C5A">
        <w:rPr>
          <w:rFonts w:ascii="Times New Roman" w:hAnsi="Times New Roman" w:cs="Times New Roman"/>
          <w:sz w:val="22"/>
          <w:szCs w:val="22"/>
        </w:rPr>
        <w:t>PhD Thesis</w:t>
      </w:r>
      <w:r>
        <w:rPr>
          <w:rFonts w:ascii="Times New Roman" w:hAnsi="Times New Roman" w:cs="Times New Roman"/>
          <w:sz w:val="22"/>
          <w:szCs w:val="22"/>
        </w:rPr>
        <w:t>,</w:t>
      </w:r>
      <w:r w:rsidRPr="00404C5A">
        <w:rPr>
          <w:rFonts w:ascii="Times New Roman" w:hAnsi="Times New Roman" w:cs="Times New Roman"/>
          <w:sz w:val="22"/>
          <w:szCs w:val="22"/>
        </w:rPr>
        <w:t xml:space="preserve"> The Univ</w:t>
      </w:r>
      <w:r>
        <w:rPr>
          <w:rFonts w:ascii="Times New Roman" w:hAnsi="Times New Roman" w:cs="Times New Roman"/>
          <w:sz w:val="22"/>
          <w:szCs w:val="22"/>
        </w:rPr>
        <w:t>ersity of New South Wales</w:t>
      </w:r>
      <w:r w:rsidR="005272B4">
        <w:rPr>
          <w:rFonts w:ascii="Times New Roman" w:hAnsi="Times New Roman" w:cs="Times New Roman"/>
          <w:sz w:val="22"/>
          <w:szCs w:val="22"/>
        </w:rPr>
        <w:t>,</w:t>
      </w:r>
      <w:r w:rsidRPr="00404C5A">
        <w:rPr>
          <w:rFonts w:ascii="Times New Roman" w:hAnsi="Times New Roman" w:cs="Times New Roman"/>
          <w:sz w:val="22"/>
          <w:szCs w:val="22"/>
        </w:rPr>
        <w:t xml:space="preserve"> unsworks.unsw.edu.au/</w:t>
      </w:r>
      <w:proofErr w:type="spellStart"/>
      <w:r w:rsidRPr="00404C5A">
        <w:rPr>
          <w:rFonts w:ascii="Times New Roman" w:hAnsi="Times New Roman" w:cs="Times New Roman"/>
          <w:sz w:val="22"/>
          <w:szCs w:val="22"/>
        </w:rPr>
        <w:t>fapi</w:t>
      </w:r>
      <w:proofErr w:type="spellEnd"/>
      <w:r w:rsidRPr="00404C5A">
        <w:rPr>
          <w:rFonts w:ascii="Times New Roman" w:hAnsi="Times New Roman" w:cs="Times New Roman"/>
          <w:sz w:val="22"/>
          <w:szCs w:val="22"/>
        </w:rPr>
        <w:t>/</w:t>
      </w:r>
      <w:proofErr w:type="spellStart"/>
      <w:r w:rsidRPr="00404C5A">
        <w:rPr>
          <w:rFonts w:ascii="Times New Roman" w:hAnsi="Times New Roman" w:cs="Times New Roman"/>
          <w:sz w:val="22"/>
          <w:szCs w:val="22"/>
        </w:rPr>
        <w:t>datastream</w:t>
      </w:r>
      <w:proofErr w:type="spellEnd"/>
      <w:r w:rsidRPr="00404C5A">
        <w:rPr>
          <w:rFonts w:ascii="Times New Roman" w:hAnsi="Times New Roman" w:cs="Times New Roman"/>
          <w:sz w:val="22"/>
          <w:szCs w:val="22"/>
        </w:rPr>
        <w:t xml:space="preserve">/unsworks:9300/SOURCE02; </w:t>
      </w:r>
      <w:proofErr w:type="spellStart"/>
      <w:r w:rsidRPr="00404C5A">
        <w:rPr>
          <w:rFonts w:ascii="Times New Roman" w:hAnsi="Times New Roman" w:cs="Times New Roman"/>
          <w:sz w:val="22"/>
          <w:szCs w:val="22"/>
        </w:rPr>
        <w:t>Mariola</w:t>
      </w:r>
      <w:proofErr w:type="spellEnd"/>
      <w:r w:rsidRPr="00404C5A">
        <w:rPr>
          <w:rFonts w:ascii="Times New Roman" w:hAnsi="Times New Roman" w:cs="Times New Roman"/>
          <w:sz w:val="22"/>
          <w:szCs w:val="22"/>
        </w:rPr>
        <w:t>, M</w:t>
      </w:r>
      <w:r>
        <w:rPr>
          <w:rFonts w:ascii="Times New Roman" w:hAnsi="Times New Roman" w:cs="Times New Roman"/>
          <w:sz w:val="22"/>
          <w:szCs w:val="22"/>
        </w:rPr>
        <w:t>.</w:t>
      </w:r>
      <w:r w:rsidRPr="00404C5A">
        <w:rPr>
          <w:rFonts w:ascii="Times New Roman" w:hAnsi="Times New Roman" w:cs="Times New Roman"/>
          <w:sz w:val="22"/>
          <w:szCs w:val="22"/>
        </w:rPr>
        <w:t>J</w:t>
      </w:r>
      <w:r>
        <w:rPr>
          <w:rFonts w:ascii="Times New Roman" w:hAnsi="Times New Roman" w:cs="Times New Roman"/>
          <w:sz w:val="22"/>
          <w:szCs w:val="22"/>
        </w:rPr>
        <w:t>. (2009),</w:t>
      </w:r>
      <w:r w:rsidRPr="00404C5A">
        <w:rPr>
          <w:rFonts w:ascii="Times New Roman" w:hAnsi="Times New Roman" w:cs="Times New Roman"/>
          <w:sz w:val="22"/>
          <w:szCs w:val="22"/>
        </w:rPr>
        <w:t xml:space="preserve"> ‘Are Markets the Solution to Water Pollution?</w:t>
      </w:r>
      <w:proofErr w:type="gramEnd"/>
      <w:r w:rsidRPr="00404C5A">
        <w:rPr>
          <w:rFonts w:ascii="Times New Roman" w:hAnsi="Times New Roman" w:cs="Times New Roman"/>
          <w:sz w:val="22"/>
          <w:szCs w:val="22"/>
        </w:rPr>
        <w:t xml:space="preserve"> A Sociological Investigation of Water Quality Trading’, The Ohio State University, </w:t>
      </w:r>
      <w:r w:rsidRPr="001B6F83">
        <w:t>http://etd.ohiolink.edu/view.cgi?acc_num=osu1250015222</w:t>
      </w:r>
      <w:r w:rsidRPr="00404C5A">
        <w:rPr>
          <w:rFonts w:ascii="Times New Roman" w:hAnsi="Times New Roman" w:cs="Times New Roman"/>
          <w:sz w:val="22"/>
          <w:szCs w:val="22"/>
        </w:rPr>
        <w:t xml:space="preserve"> at 5 May 2013.</w:t>
      </w:r>
    </w:p>
  </w:endnote>
  <w:endnote w:id="31">
    <w:p w14:paraId="05BAD7E1" w14:textId="6726D339"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Hong, L</w:t>
      </w:r>
      <w:r>
        <w:rPr>
          <w:rFonts w:ascii="Times New Roman" w:hAnsi="Times New Roman" w:cs="Times New Roman"/>
          <w:sz w:val="22"/>
          <w:szCs w:val="22"/>
        </w:rPr>
        <w:t>.</w:t>
      </w:r>
      <w:r w:rsidRPr="00404C5A">
        <w:rPr>
          <w:rFonts w:ascii="Times New Roman" w:hAnsi="Times New Roman" w:cs="Times New Roman"/>
          <w:sz w:val="22"/>
          <w:szCs w:val="22"/>
        </w:rPr>
        <w:t>C</w:t>
      </w:r>
      <w:r>
        <w:rPr>
          <w:rFonts w:ascii="Times New Roman" w:hAnsi="Times New Roman" w:cs="Times New Roman"/>
          <w:sz w:val="22"/>
          <w:szCs w:val="22"/>
        </w:rPr>
        <w:t>.,</w:t>
      </w:r>
      <w:r w:rsidRPr="00404C5A">
        <w:rPr>
          <w:rFonts w:ascii="Times New Roman" w:hAnsi="Times New Roman" w:cs="Times New Roman"/>
          <w:sz w:val="22"/>
          <w:szCs w:val="22"/>
        </w:rPr>
        <w:t xml:space="preserve"> D</w:t>
      </w:r>
      <w:r>
        <w:rPr>
          <w:rFonts w:ascii="Times New Roman" w:hAnsi="Times New Roman" w:cs="Times New Roman"/>
          <w:sz w:val="22"/>
          <w:szCs w:val="22"/>
        </w:rPr>
        <w:t>.</w:t>
      </w:r>
      <w:r w:rsidRPr="00404C5A">
        <w:rPr>
          <w:rFonts w:ascii="Times New Roman" w:hAnsi="Times New Roman" w:cs="Times New Roman"/>
          <w:sz w:val="22"/>
          <w:szCs w:val="22"/>
        </w:rPr>
        <w:t xml:space="preserve"> Lakshmayya and T</w:t>
      </w:r>
      <w:r>
        <w:rPr>
          <w:rFonts w:ascii="Times New Roman" w:hAnsi="Times New Roman" w:cs="Times New Roman"/>
          <w:sz w:val="22"/>
          <w:szCs w:val="22"/>
        </w:rPr>
        <w:t>.</w:t>
      </w:r>
      <w:r w:rsidRPr="00404C5A">
        <w:rPr>
          <w:rFonts w:ascii="Times New Roman" w:hAnsi="Times New Roman" w:cs="Times New Roman"/>
          <w:sz w:val="22"/>
          <w:szCs w:val="22"/>
        </w:rPr>
        <w:t>L</w:t>
      </w:r>
      <w:r>
        <w:rPr>
          <w:rFonts w:ascii="Times New Roman" w:hAnsi="Times New Roman" w:cs="Times New Roman"/>
          <w:sz w:val="22"/>
          <w:szCs w:val="22"/>
        </w:rPr>
        <w:t>.</w:t>
      </w:r>
      <w:r w:rsidRPr="00404C5A">
        <w:rPr>
          <w:rFonts w:ascii="Times New Roman" w:hAnsi="Times New Roman" w:cs="Times New Roman"/>
          <w:sz w:val="22"/>
          <w:szCs w:val="22"/>
        </w:rPr>
        <w:t xml:space="preserve"> Cheng </w:t>
      </w:r>
      <w:r>
        <w:rPr>
          <w:rFonts w:ascii="Times New Roman" w:hAnsi="Times New Roman" w:cs="Times New Roman"/>
          <w:sz w:val="22"/>
          <w:szCs w:val="22"/>
        </w:rPr>
        <w:t xml:space="preserve">(2012), </w:t>
      </w:r>
      <w:r w:rsidRPr="00404C5A">
        <w:rPr>
          <w:rFonts w:ascii="Times New Roman" w:hAnsi="Times New Roman" w:cs="Times New Roman"/>
          <w:sz w:val="22"/>
          <w:szCs w:val="22"/>
        </w:rPr>
        <w:t xml:space="preserve">‘Subsidies: Boon or </w:t>
      </w:r>
      <w:r w:rsidR="005272B4" w:rsidRPr="00404C5A">
        <w:rPr>
          <w:rFonts w:ascii="Times New Roman" w:hAnsi="Times New Roman" w:cs="Times New Roman"/>
          <w:sz w:val="22"/>
          <w:szCs w:val="22"/>
        </w:rPr>
        <w:t xml:space="preserve">Bane </w:t>
      </w:r>
      <w:r w:rsidR="005272B4">
        <w:rPr>
          <w:rFonts w:ascii="Times New Roman" w:hAnsi="Times New Roman" w:cs="Times New Roman"/>
          <w:sz w:val="22"/>
          <w:szCs w:val="22"/>
        </w:rPr>
        <w:t>i</w:t>
      </w:r>
      <w:r w:rsidR="005272B4" w:rsidRPr="00404C5A">
        <w:rPr>
          <w:rFonts w:ascii="Times New Roman" w:hAnsi="Times New Roman" w:cs="Times New Roman"/>
          <w:sz w:val="22"/>
          <w:szCs w:val="22"/>
        </w:rPr>
        <w:t xml:space="preserve">n Promoting Proper Implementation </w:t>
      </w:r>
      <w:r w:rsidR="005272B4">
        <w:rPr>
          <w:rFonts w:ascii="Times New Roman" w:hAnsi="Times New Roman" w:cs="Times New Roman"/>
          <w:sz w:val="22"/>
          <w:szCs w:val="22"/>
        </w:rPr>
        <w:t>o</w:t>
      </w:r>
      <w:r w:rsidR="005272B4" w:rsidRPr="00404C5A">
        <w:rPr>
          <w:rFonts w:ascii="Times New Roman" w:hAnsi="Times New Roman" w:cs="Times New Roman"/>
          <w:sz w:val="22"/>
          <w:szCs w:val="22"/>
        </w:rPr>
        <w:t>f Good Environmental</w:t>
      </w:r>
      <w:r w:rsidR="005272B4">
        <w:rPr>
          <w:rFonts w:ascii="Times New Roman" w:hAnsi="Times New Roman" w:cs="Times New Roman"/>
          <w:sz w:val="22"/>
          <w:szCs w:val="22"/>
        </w:rPr>
        <w:t xml:space="preserve"> Public P</w:t>
      </w:r>
      <w:r>
        <w:rPr>
          <w:rFonts w:ascii="Times New Roman" w:hAnsi="Times New Roman" w:cs="Times New Roman"/>
          <w:sz w:val="22"/>
          <w:szCs w:val="22"/>
        </w:rPr>
        <w:t xml:space="preserve">olicy’, Research </w:t>
      </w:r>
      <w:r w:rsidR="00CF6D48">
        <w:rPr>
          <w:rFonts w:ascii="Times New Roman" w:hAnsi="Times New Roman" w:cs="Times New Roman"/>
          <w:sz w:val="22"/>
          <w:szCs w:val="22"/>
        </w:rPr>
        <w:t>Paper</w:t>
      </w:r>
      <w:r w:rsidRPr="00404C5A">
        <w:rPr>
          <w:rFonts w:ascii="Times New Roman" w:hAnsi="Times New Roman" w:cs="Times New Roman"/>
          <w:sz w:val="22"/>
          <w:szCs w:val="22"/>
        </w:rPr>
        <w:t xml:space="preserve">. </w:t>
      </w:r>
      <w:r w:rsidRPr="001B6F83">
        <w:t>http://library.wou.edu.my/vertical/vf2012-10.pdf</w:t>
      </w:r>
      <w:r w:rsidRPr="00404C5A">
        <w:rPr>
          <w:rFonts w:ascii="Times New Roman" w:hAnsi="Times New Roman" w:cs="Times New Roman"/>
          <w:sz w:val="22"/>
          <w:szCs w:val="22"/>
        </w:rPr>
        <w:t xml:space="preserve"> at 5 May 2013.</w:t>
      </w:r>
    </w:p>
  </w:endnote>
  <w:endnote w:id="32">
    <w:p w14:paraId="6BF88B9B" w14:textId="4AF79F2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Guglyuvatyy, </w:t>
      </w:r>
      <w:r>
        <w:rPr>
          <w:rFonts w:ascii="Times New Roman" w:hAnsi="Times New Roman" w:cs="Times New Roman"/>
          <w:sz w:val="22"/>
          <w:szCs w:val="22"/>
        </w:rPr>
        <w:t>a</w:t>
      </w:r>
      <w:r w:rsidRPr="00404C5A">
        <w:rPr>
          <w:rFonts w:ascii="Times New Roman" w:hAnsi="Times New Roman" w:cs="Times New Roman"/>
          <w:sz w:val="22"/>
          <w:szCs w:val="22"/>
        </w:rPr>
        <w:t>bove n</w:t>
      </w:r>
      <w:r w:rsidR="005272B4">
        <w:rPr>
          <w:rFonts w:ascii="Times New Roman" w:hAnsi="Times New Roman" w:cs="Times New Roman"/>
          <w:sz w:val="22"/>
          <w:szCs w:val="22"/>
        </w:rPr>
        <w:t>.</w:t>
      </w:r>
      <w:r w:rsidRPr="00404C5A">
        <w:rPr>
          <w:rFonts w:ascii="Times New Roman" w:hAnsi="Times New Roman" w:cs="Times New Roman"/>
          <w:sz w:val="22"/>
          <w:szCs w:val="22"/>
        </w:rPr>
        <w:t xml:space="preserve"> 28.</w:t>
      </w:r>
    </w:p>
  </w:endnote>
  <w:endnote w:id="33">
    <w:p w14:paraId="3910B457" w14:textId="58A0D47E" w:rsidR="008B6C58" w:rsidRPr="00404C5A" w:rsidRDefault="008B6C58" w:rsidP="00404C5A">
      <w:pPr>
        <w:pStyle w:val="EndnoteText"/>
        <w:spacing w:line="480" w:lineRule="auto"/>
        <w:ind w:left="142" w:hanging="142"/>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Wilder, M. </w:t>
      </w:r>
      <w:r w:rsidRPr="00404C5A">
        <w:rPr>
          <w:rFonts w:ascii="Times New Roman" w:hAnsi="Times New Roman" w:cs="Times New Roman"/>
          <w:sz w:val="22"/>
          <w:szCs w:val="22"/>
        </w:rPr>
        <w:t>and L</w:t>
      </w:r>
      <w:r>
        <w:rPr>
          <w:rFonts w:ascii="Times New Roman" w:hAnsi="Times New Roman" w:cs="Times New Roman"/>
          <w:sz w:val="22"/>
          <w:szCs w:val="22"/>
        </w:rPr>
        <w:t>.</w:t>
      </w:r>
      <w:r w:rsidRPr="00404C5A">
        <w:rPr>
          <w:rFonts w:ascii="Times New Roman" w:hAnsi="Times New Roman" w:cs="Times New Roman"/>
          <w:sz w:val="22"/>
          <w:szCs w:val="22"/>
        </w:rPr>
        <w:t xml:space="preserve"> Fitz-Gerald </w:t>
      </w:r>
      <w:r>
        <w:rPr>
          <w:rFonts w:ascii="Times New Roman" w:hAnsi="Times New Roman" w:cs="Times New Roman"/>
          <w:sz w:val="22"/>
          <w:szCs w:val="22"/>
        </w:rPr>
        <w:t xml:space="preserve">(2009), </w:t>
      </w:r>
      <w:r w:rsidRPr="00404C5A">
        <w:rPr>
          <w:rFonts w:ascii="Times New Roman" w:hAnsi="Times New Roman" w:cs="Times New Roman"/>
          <w:sz w:val="22"/>
          <w:szCs w:val="22"/>
        </w:rPr>
        <w:t xml:space="preserve">‘Review of </w:t>
      </w:r>
      <w:r w:rsidR="005272B4" w:rsidRPr="00404C5A">
        <w:rPr>
          <w:rFonts w:ascii="Times New Roman" w:hAnsi="Times New Roman" w:cs="Times New Roman"/>
          <w:sz w:val="22"/>
          <w:szCs w:val="22"/>
        </w:rPr>
        <w:t xml:space="preserve">Policy </w:t>
      </w:r>
      <w:r w:rsidR="005272B4">
        <w:rPr>
          <w:rFonts w:ascii="Times New Roman" w:hAnsi="Times New Roman" w:cs="Times New Roman"/>
          <w:sz w:val="22"/>
          <w:szCs w:val="22"/>
        </w:rPr>
        <w:t>a</w:t>
      </w:r>
      <w:r w:rsidR="005272B4" w:rsidRPr="00404C5A">
        <w:rPr>
          <w:rFonts w:ascii="Times New Roman" w:hAnsi="Times New Roman" w:cs="Times New Roman"/>
          <w:sz w:val="22"/>
          <w:szCs w:val="22"/>
        </w:rPr>
        <w:t xml:space="preserve">nd Regulatory Emissions Trading Frameworks </w:t>
      </w:r>
      <w:r w:rsidRPr="00404C5A">
        <w:rPr>
          <w:rFonts w:ascii="Times New Roman" w:hAnsi="Times New Roman" w:cs="Times New Roman"/>
          <w:sz w:val="22"/>
          <w:szCs w:val="22"/>
        </w:rPr>
        <w:t xml:space="preserve">in Australia’, </w:t>
      </w:r>
      <w:r w:rsidRPr="00404C5A">
        <w:rPr>
          <w:rFonts w:ascii="Times New Roman" w:hAnsi="Times New Roman" w:cs="Times New Roman"/>
          <w:i/>
          <w:sz w:val="22"/>
          <w:szCs w:val="22"/>
        </w:rPr>
        <w:t>Australian Resources and Energy Law Journal</w:t>
      </w:r>
      <w:r w:rsidRPr="00404C5A">
        <w:rPr>
          <w:rFonts w:ascii="Times New Roman" w:hAnsi="Times New Roman" w:cs="Times New Roman"/>
          <w:sz w:val="22"/>
          <w:szCs w:val="22"/>
        </w:rPr>
        <w:t>, 27, 1</w:t>
      </w:r>
      <w:r w:rsidR="005272B4">
        <w:rPr>
          <w:rFonts w:ascii="Times New Roman" w:hAnsi="Times New Roman" w:cs="Times New Roman"/>
          <w:sz w:val="22"/>
          <w:szCs w:val="22"/>
        </w:rPr>
        <w:t>‒</w:t>
      </w:r>
      <w:r w:rsidRPr="00404C5A">
        <w:rPr>
          <w:rFonts w:ascii="Times New Roman" w:hAnsi="Times New Roman" w:cs="Times New Roman"/>
          <w:sz w:val="22"/>
          <w:szCs w:val="22"/>
        </w:rPr>
        <w:t>22.</w:t>
      </w:r>
    </w:p>
  </w:endnote>
  <w:endnote w:id="34">
    <w:p w14:paraId="50E35156" w14:textId="77777777" w:rsidR="008B6C58" w:rsidRPr="00404C5A" w:rsidRDefault="008B6C58" w:rsidP="00404C5A">
      <w:pPr>
        <w:pStyle w:val="Footnote"/>
        <w:spacing w:after="0" w:line="480" w:lineRule="auto"/>
        <w:ind w:left="0" w:firstLine="0"/>
        <w:rPr>
          <w:sz w:val="22"/>
          <w:szCs w:val="22"/>
        </w:rPr>
      </w:pPr>
      <w:r w:rsidRPr="00404C5A">
        <w:rPr>
          <w:rStyle w:val="EndnoteReference"/>
          <w:sz w:val="22"/>
          <w:szCs w:val="22"/>
        </w:rPr>
        <w:endnoteRef/>
      </w:r>
      <w:r w:rsidRPr="00404C5A">
        <w:rPr>
          <w:sz w:val="22"/>
          <w:szCs w:val="22"/>
        </w:rPr>
        <w:t xml:space="preserve"> Ibid. Note, however, that in 2005, the Australian State and Territories issued a discussion paper concerning a national emissions trading scheme which would cover the power generation sector.</w:t>
      </w:r>
    </w:p>
  </w:endnote>
  <w:endnote w:id="35">
    <w:p w14:paraId="3BB42104" w14:textId="2D04CBAD"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Garnaut, </w:t>
      </w:r>
      <w:r>
        <w:rPr>
          <w:rFonts w:ascii="Times New Roman" w:hAnsi="Times New Roman" w:cs="Times New Roman"/>
          <w:sz w:val="22"/>
          <w:szCs w:val="22"/>
        </w:rPr>
        <w:t xml:space="preserve">Ross (2008), </w:t>
      </w:r>
      <w:r w:rsidRPr="00404C5A">
        <w:rPr>
          <w:rFonts w:ascii="Times New Roman" w:hAnsi="Times New Roman" w:cs="Times New Roman"/>
          <w:i/>
          <w:sz w:val="22"/>
          <w:szCs w:val="22"/>
        </w:rPr>
        <w:t>The Garnaut Climate Change Review, Final Report</w:t>
      </w:r>
      <w:r>
        <w:rPr>
          <w:rFonts w:ascii="Times New Roman" w:hAnsi="Times New Roman" w:cs="Times New Roman"/>
          <w:sz w:val="22"/>
          <w:szCs w:val="22"/>
        </w:rPr>
        <w:t xml:space="preserve">, </w:t>
      </w:r>
      <w:r w:rsidR="005272B4">
        <w:rPr>
          <w:rFonts w:ascii="Times New Roman" w:hAnsi="Times New Roman" w:cs="Times New Roman"/>
          <w:sz w:val="22"/>
          <w:szCs w:val="22"/>
        </w:rPr>
        <w:t xml:space="preserve">Cambridge: </w:t>
      </w:r>
      <w:r>
        <w:rPr>
          <w:rFonts w:ascii="Times New Roman" w:hAnsi="Times New Roman" w:cs="Times New Roman"/>
          <w:sz w:val="22"/>
          <w:szCs w:val="22"/>
        </w:rPr>
        <w:t>Cambridge University Press.</w:t>
      </w:r>
    </w:p>
  </w:endnote>
  <w:endnote w:id="36">
    <w:p w14:paraId="086368F4" w14:textId="4A5D1250" w:rsidR="008B6C58" w:rsidRPr="00404C5A" w:rsidRDefault="008B6C58" w:rsidP="00404C5A">
      <w:pPr>
        <w:pStyle w:val="EndnoteText"/>
        <w:spacing w:line="480" w:lineRule="auto"/>
        <w:ind w:left="142" w:hanging="142"/>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proofErr w:type="gramStart"/>
      <w:r w:rsidRPr="00404C5A">
        <w:rPr>
          <w:rFonts w:ascii="Times New Roman" w:hAnsi="Times New Roman" w:cs="Times New Roman"/>
          <w:sz w:val="22"/>
          <w:szCs w:val="22"/>
        </w:rPr>
        <w:t>Multi-Party Climate Change Committee</w:t>
      </w:r>
      <w:r w:rsidR="005272B4">
        <w:rPr>
          <w:rFonts w:ascii="Times New Roman" w:hAnsi="Times New Roman" w:cs="Times New Roman"/>
          <w:sz w:val="22"/>
          <w:szCs w:val="22"/>
        </w:rPr>
        <w:t>,</w:t>
      </w:r>
      <w:r w:rsidRPr="00404C5A">
        <w:rPr>
          <w:rFonts w:ascii="Times New Roman" w:hAnsi="Times New Roman" w:cs="Times New Roman"/>
          <w:sz w:val="22"/>
          <w:szCs w:val="22"/>
        </w:rPr>
        <w:t xml:space="preserve"> </w:t>
      </w:r>
      <w:r w:rsidRPr="00920E52">
        <w:rPr>
          <w:rFonts w:ascii="Times New Roman" w:hAnsi="Times New Roman" w:cs="Times New Roman"/>
          <w:sz w:val="22"/>
          <w:szCs w:val="22"/>
        </w:rPr>
        <w:t>http://www.climatechange.gov.au/government/initiatives/mpccc.aspx</w:t>
      </w:r>
      <w:r>
        <w:rPr>
          <w:rFonts w:ascii="Times New Roman" w:hAnsi="Times New Roman" w:cs="Times New Roman"/>
          <w:sz w:val="22"/>
          <w:szCs w:val="22"/>
        </w:rPr>
        <w:t xml:space="preserve"> at May 2013.</w:t>
      </w:r>
      <w:proofErr w:type="gramEnd"/>
    </w:p>
  </w:endnote>
  <w:endnote w:id="37">
    <w:p w14:paraId="68BE0B97" w14:textId="77777777" w:rsidR="008B6C58" w:rsidRPr="00404C5A" w:rsidRDefault="008B6C58" w:rsidP="00404C5A">
      <w:pPr>
        <w:pStyle w:val="Textbody"/>
        <w:spacing w:after="0" w:line="480" w:lineRule="auto"/>
        <w:rPr>
          <w:sz w:val="22"/>
          <w:szCs w:val="22"/>
        </w:rPr>
      </w:pPr>
      <w:r w:rsidRPr="00404C5A">
        <w:rPr>
          <w:rStyle w:val="EndnoteReference"/>
          <w:sz w:val="22"/>
          <w:szCs w:val="22"/>
        </w:rPr>
        <w:endnoteRef/>
      </w:r>
      <w:r w:rsidRPr="00404C5A">
        <w:rPr>
          <w:sz w:val="22"/>
          <w:szCs w:val="22"/>
        </w:rPr>
        <w:t xml:space="preserve"> A carbon pricing scheme is often called a ‘tax’ because during the fixed price period, the liable parties are obliged to purchase fixed price carbon units which is similar to paying tax. However, they cannot trade the units on the market, as under an emissions trading scheme.</w:t>
      </w:r>
    </w:p>
  </w:endnote>
  <w:endnote w:id="38">
    <w:p w14:paraId="5DCF8D79" w14:textId="7D972784" w:rsidR="008B6C58" w:rsidRPr="00404C5A" w:rsidRDefault="008B6C58" w:rsidP="00404C5A">
      <w:pPr>
        <w:pStyle w:val="Footnote"/>
        <w:spacing w:after="0" w:line="480" w:lineRule="auto"/>
        <w:ind w:left="0" w:firstLine="0"/>
        <w:rPr>
          <w:sz w:val="22"/>
          <w:szCs w:val="22"/>
        </w:rPr>
      </w:pPr>
      <w:r w:rsidRPr="00404C5A">
        <w:rPr>
          <w:rStyle w:val="EndnoteReference"/>
          <w:sz w:val="22"/>
          <w:szCs w:val="22"/>
        </w:rPr>
        <w:endnoteRef/>
      </w:r>
      <w:r w:rsidRPr="00404C5A">
        <w:rPr>
          <w:sz w:val="22"/>
          <w:szCs w:val="22"/>
        </w:rPr>
        <w:t xml:space="preserve"> </w:t>
      </w:r>
      <w:proofErr w:type="gramStart"/>
      <w:r w:rsidRPr="00404C5A">
        <w:rPr>
          <w:sz w:val="22"/>
          <w:szCs w:val="22"/>
        </w:rPr>
        <w:t>Multi-Party Climate Change Committee</w:t>
      </w:r>
      <w:r w:rsidR="005272B4">
        <w:rPr>
          <w:sz w:val="22"/>
          <w:szCs w:val="22"/>
        </w:rPr>
        <w:t xml:space="preserve">, </w:t>
      </w:r>
      <w:r w:rsidRPr="00404C5A">
        <w:rPr>
          <w:sz w:val="22"/>
          <w:szCs w:val="22"/>
        </w:rPr>
        <w:t>http://www.climatechange.gov.au/~/media/Files/minister/combet/2011/media/february/mr20110224.pdf</w:t>
      </w:r>
      <w:r>
        <w:rPr>
          <w:sz w:val="22"/>
          <w:szCs w:val="22"/>
        </w:rPr>
        <w:t xml:space="preserve"> at May 2013.</w:t>
      </w:r>
      <w:proofErr w:type="gramEnd"/>
    </w:p>
  </w:endnote>
  <w:endnote w:id="39">
    <w:p w14:paraId="7E735131" w14:textId="60288E5E"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It is important to note that the principles are not stated in any order of priority. See Multi-Party Climate Change Committee</w:t>
      </w:r>
      <w:r w:rsidR="005272B4">
        <w:rPr>
          <w:rFonts w:ascii="Times New Roman" w:hAnsi="Times New Roman" w:cs="Times New Roman"/>
          <w:sz w:val="22"/>
          <w:szCs w:val="22"/>
        </w:rPr>
        <w:t xml:space="preserve">, </w:t>
      </w:r>
      <w:r w:rsidRPr="00404C5A">
        <w:rPr>
          <w:rFonts w:ascii="Times New Roman" w:hAnsi="Times New Roman" w:cs="Times New Roman"/>
          <w:sz w:val="22"/>
          <w:szCs w:val="22"/>
        </w:rPr>
        <w:t>http://www.climatechange.gov.au/~/media/Files/minister/combet/20</w:t>
      </w:r>
      <w:r>
        <w:rPr>
          <w:rFonts w:ascii="Times New Roman" w:hAnsi="Times New Roman" w:cs="Times New Roman"/>
          <w:sz w:val="22"/>
          <w:szCs w:val="22"/>
        </w:rPr>
        <w:t>11/media/february/mr20110224.pdf at May 2013.</w:t>
      </w:r>
    </w:p>
  </w:endnote>
  <w:endnote w:id="40">
    <w:p w14:paraId="28FEB6C5" w14:textId="094996C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Multi-P</w:t>
      </w:r>
      <w:r>
        <w:rPr>
          <w:rFonts w:ascii="Times New Roman" w:hAnsi="Times New Roman" w:cs="Times New Roman"/>
          <w:sz w:val="22"/>
          <w:szCs w:val="22"/>
        </w:rPr>
        <w:t>arty Climate Change Committee, a</w:t>
      </w:r>
      <w:r w:rsidRPr="00404C5A">
        <w:rPr>
          <w:rFonts w:ascii="Times New Roman" w:hAnsi="Times New Roman" w:cs="Times New Roman"/>
          <w:sz w:val="22"/>
          <w:szCs w:val="22"/>
        </w:rPr>
        <w:t>bove n</w:t>
      </w:r>
      <w:r w:rsidR="005272B4">
        <w:rPr>
          <w:rFonts w:ascii="Times New Roman" w:hAnsi="Times New Roman" w:cs="Times New Roman"/>
          <w:sz w:val="22"/>
          <w:szCs w:val="22"/>
        </w:rPr>
        <w:t>.</w:t>
      </w:r>
      <w:r w:rsidRPr="00404C5A">
        <w:rPr>
          <w:rFonts w:ascii="Times New Roman" w:hAnsi="Times New Roman" w:cs="Times New Roman"/>
          <w:sz w:val="22"/>
          <w:szCs w:val="22"/>
        </w:rPr>
        <w:t xml:space="preserve"> 36.</w:t>
      </w:r>
    </w:p>
  </w:endnote>
  <w:endnote w:id="41">
    <w:p w14:paraId="4EB661AE" w14:textId="4FB78711"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For details see: </w:t>
      </w:r>
      <w:r w:rsidR="005272B4">
        <w:rPr>
          <w:rFonts w:ascii="Times New Roman" w:hAnsi="Times New Roman" w:cs="Times New Roman"/>
          <w:sz w:val="22"/>
          <w:szCs w:val="22"/>
        </w:rPr>
        <w:t>A</w:t>
      </w:r>
      <w:r>
        <w:rPr>
          <w:rFonts w:ascii="Times New Roman" w:hAnsi="Times New Roman" w:cs="Times New Roman"/>
          <w:sz w:val="22"/>
          <w:szCs w:val="22"/>
        </w:rPr>
        <w:t>CPRS</w:t>
      </w:r>
      <w:r w:rsidRPr="00404C5A">
        <w:rPr>
          <w:rFonts w:ascii="Times New Roman" w:hAnsi="Times New Roman" w:cs="Times New Roman"/>
          <w:sz w:val="22"/>
          <w:szCs w:val="22"/>
        </w:rPr>
        <w:t xml:space="preserve">, </w:t>
      </w:r>
      <w:r>
        <w:rPr>
          <w:rFonts w:ascii="Times New Roman" w:hAnsi="Times New Roman" w:cs="Times New Roman"/>
          <w:sz w:val="22"/>
          <w:szCs w:val="22"/>
        </w:rPr>
        <w:t>a</w:t>
      </w:r>
      <w:r w:rsidRPr="00404C5A">
        <w:rPr>
          <w:rFonts w:ascii="Times New Roman" w:hAnsi="Times New Roman" w:cs="Times New Roman"/>
          <w:sz w:val="22"/>
          <w:szCs w:val="22"/>
        </w:rPr>
        <w:t>bove n</w:t>
      </w:r>
      <w:r w:rsidR="005272B4">
        <w:rPr>
          <w:rFonts w:ascii="Times New Roman" w:hAnsi="Times New Roman" w:cs="Times New Roman"/>
          <w:sz w:val="22"/>
          <w:szCs w:val="22"/>
        </w:rPr>
        <w:t>.</w:t>
      </w:r>
      <w:r w:rsidRPr="00404C5A">
        <w:rPr>
          <w:rFonts w:ascii="Times New Roman" w:hAnsi="Times New Roman" w:cs="Times New Roman"/>
          <w:sz w:val="22"/>
          <w:szCs w:val="22"/>
        </w:rPr>
        <w:t xml:space="preserve"> 33.</w:t>
      </w:r>
    </w:p>
  </w:endnote>
  <w:endnote w:id="42">
    <w:p w14:paraId="45CE404E" w14:textId="52058270" w:rsidR="008B6C58" w:rsidRPr="00404C5A" w:rsidRDefault="008B6C58" w:rsidP="00404C5A">
      <w:pPr>
        <w:pStyle w:val="Footnote"/>
        <w:spacing w:after="0" w:line="480" w:lineRule="auto"/>
        <w:ind w:left="0" w:firstLine="0"/>
        <w:rPr>
          <w:sz w:val="22"/>
          <w:szCs w:val="22"/>
        </w:rPr>
      </w:pPr>
      <w:r w:rsidRPr="00404C5A">
        <w:rPr>
          <w:rStyle w:val="EndnoteReference"/>
          <w:sz w:val="22"/>
          <w:szCs w:val="22"/>
        </w:rPr>
        <w:endnoteRef/>
      </w:r>
      <w:r w:rsidRPr="00404C5A">
        <w:rPr>
          <w:sz w:val="22"/>
          <w:szCs w:val="22"/>
        </w:rPr>
        <w:t xml:space="preserve"> Clean Energy Future</w:t>
      </w:r>
      <w:r w:rsidR="005272B4">
        <w:rPr>
          <w:sz w:val="22"/>
          <w:szCs w:val="22"/>
        </w:rPr>
        <w:t xml:space="preserve">, </w:t>
      </w:r>
      <w:r w:rsidRPr="00404C5A">
        <w:rPr>
          <w:sz w:val="22"/>
          <w:szCs w:val="22"/>
        </w:rPr>
        <w:t>http://www.cleanenergyfuture.gov.au/wp-content/uploads/2011/06/09-FS-Household-Assistance-Tax-Reform-110708-1234hrs.pdf</w:t>
      </w:r>
      <w:r>
        <w:rPr>
          <w:sz w:val="22"/>
          <w:szCs w:val="22"/>
        </w:rPr>
        <w:t xml:space="preserve"> at December 2014.</w:t>
      </w:r>
    </w:p>
  </w:endnote>
  <w:endnote w:id="43">
    <w:p w14:paraId="1485BFFD" w14:textId="7D041764"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See</w:t>
      </w:r>
      <w:r w:rsidR="00D84B98">
        <w:rPr>
          <w:rFonts w:ascii="Times New Roman" w:hAnsi="Times New Roman" w:cs="Times New Roman"/>
          <w:sz w:val="22"/>
          <w:szCs w:val="22"/>
        </w:rPr>
        <w:t xml:space="preserve"> for example, </w:t>
      </w:r>
      <w:r w:rsidRPr="00404C5A">
        <w:rPr>
          <w:rFonts w:ascii="Times New Roman" w:hAnsi="Times New Roman" w:cs="Times New Roman"/>
          <w:sz w:val="22"/>
          <w:szCs w:val="22"/>
        </w:rPr>
        <w:t xml:space="preserve">Guglyuvatyy, </w:t>
      </w:r>
      <w:r>
        <w:rPr>
          <w:rFonts w:ascii="Times New Roman" w:hAnsi="Times New Roman" w:cs="Times New Roman"/>
          <w:sz w:val="22"/>
          <w:szCs w:val="22"/>
        </w:rPr>
        <w:t xml:space="preserve">Evgeny (2012), </w:t>
      </w:r>
      <w:r w:rsidRPr="00404C5A">
        <w:rPr>
          <w:rFonts w:ascii="Times New Roman" w:hAnsi="Times New Roman" w:cs="Times New Roman"/>
          <w:sz w:val="22"/>
          <w:szCs w:val="22"/>
        </w:rPr>
        <w:t xml:space="preserve">‘Australia’s Carbon Policy – a Retreat from Core Principles?’ </w:t>
      </w:r>
      <w:r w:rsidRPr="00404C5A">
        <w:rPr>
          <w:rFonts w:ascii="Times New Roman" w:hAnsi="Times New Roman" w:cs="Times New Roman"/>
          <w:i/>
          <w:sz w:val="22"/>
          <w:szCs w:val="22"/>
        </w:rPr>
        <w:t>eJournal of Tax Research</w:t>
      </w:r>
      <w:r w:rsidRPr="001B6F83">
        <w:rPr>
          <w:rFonts w:ascii="Times New Roman" w:hAnsi="Times New Roman" w:cs="Times New Roman"/>
          <w:sz w:val="22"/>
          <w:szCs w:val="22"/>
        </w:rPr>
        <w:t xml:space="preserve">, </w:t>
      </w:r>
      <w:r w:rsidRPr="00404C5A">
        <w:rPr>
          <w:rFonts w:ascii="Times New Roman" w:hAnsi="Times New Roman" w:cs="Times New Roman"/>
          <w:sz w:val="22"/>
          <w:szCs w:val="22"/>
        </w:rPr>
        <w:t>10(3), 552</w:t>
      </w:r>
      <w:r w:rsidR="005272B4">
        <w:rPr>
          <w:rFonts w:ascii="Times New Roman" w:hAnsi="Times New Roman" w:cs="Times New Roman"/>
          <w:sz w:val="22"/>
          <w:szCs w:val="22"/>
        </w:rPr>
        <w:t>‒</w:t>
      </w:r>
      <w:r w:rsidRPr="00404C5A">
        <w:rPr>
          <w:rFonts w:ascii="Times New Roman" w:hAnsi="Times New Roman" w:cs="Times New Roman"/>
          <w:sz w:val="22"/>
          <w:szCs w:val="22"/>
        </w:rPr>
        <w:t>572.</w:t>
      </w:r>
    </w:p>
  </w:endnote>
  <w:endnote w:id="44">
    <w:p w14:paraId="6A23039B" w14:textId="7C2661DC"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Clean Energy Agreement</w:t>
      </w:r>
      <w:r w:rsidR="005272B4">
        <w:rPr>
          <w:rFonts w:ascii="Times New Roman" w:hAnsi="Times New Roman" w:cs="Times New Roman"/>
          <w:sz w:val="22"/>
          <w:szCs w:val="22"/>
        </w:rPr>
        <w:t xml:space="preserve">, </w:t>
      </w:r>
      <w:r w:rsidRPr="00404C5A">
        <w:rPr>
          <w:rFonts w:ascii="Times New Roman" w:hAnsi="Times New Roman" w:cs="Times New Roman"/>
          <w:sz w:val="22"/>
          <w:szCs w:val="22"/>
        </w:rPr>
        <w:t xml:space="preserve">http://www.climatechange.gov.au/government/initiatives/mpccc/resources/clean-energy-agreement.aspx </w:t>
      </w:r>
      <w:r w:rsidRPr="00920E52">
        <w:rPr>
          <w:rFonts w:ascii="Times New Roman" w:hAnsi="Times New Roman" w:cs="Times New Roman"/>
          <w:sz w:val="22"/>
          <w:szCs w:val="22"/>
        </w:rPr>
        <w:t>at December 2014</w:t>
      </w:r>
      <w:r>
        <w:rPr>
          <w:rFonts w:ascii="Times New Roman" w:hAnsi="Times New Roman" w:cs="Times New Roman"/>
          <w:sz w:val="22"/>
          <w:szCs w:val="22"/>
        </w:rPr>
        <w:t>.</w:t>
      </w:r>
    </w:p>
  </w:endnote>
  <w:endnote w:id="45">
    <w:p w14:paraId="5C4E4213" w14:textId="7B17AC98"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On 28 August 2012, the Minister for Climate Change and Energy Efficiency announced that the price floor would no longer be implemented as part of a package agreed with the European Commission to link the European Union Emissions Trading System with Australia’s emissions trading scheme. See, Price floor for Australia's carbon pricing mechanism http://www.climatechange.gov.au/government/submissions/closed-consultations/price-floor-carbon-pricing.aspx </w:t>
      </w:r>
      <w:r w:rsidRPr="00920E52">
        <w:rPr>
          <w:rFonts w:ascii="Times New Roman" w:hAnsi="Times New Roman" w:cs="Times New Roman"/>
          <w:sz w:val="22"/>
          <w:szCs w:val="22"/>
        </w:rPr>
        <w:t>at December 2014</w:t>
      </w:r>
      <w:r w:rsidR="0078482D">
        <w:rPr>
          <w:rFonts w:ascii="Times New Roman" w:hAnsi="Times New Roman" w:cs="Times New Roman"/>
          <w:sz w:val="22"/>
          <w:szCs w:val="22"/>
        </w:rPr>
        <w:t>.</w:t>
      </w:r>
    </w:p>
  </w:endnote>
  <w:endnote w:id="46">
    <w:p w14:paraId="4149BAE7" w14:textId="1AA45370"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proofErr w:type="gramStart"/>
      <w:r w:rsidRPr="00404C5A">
        <w:rPr>
          <w:rFonts w:ascii="Times New Roman" w:hAnsi="Times New Roman" w:cs="Times New Roman"/>
          <w:sz w:val="22"/>
          <w:szCs w:val="22"/>
        </w:rPr>
        <w:t xml:space="preserve">Guglyuvatyy, </w:t>
      </w:r>
      <w:r>
        <w:rPr>
          <w:rFonts w:ascii="Times New Roman" w:hAnsi="Times New Roman" w:cs="Times New Roman"/>
          <w:sz w:val="22"/>
          <w:szCs w:val="22"/>
        </w:rPr>
        <w:t xml:space="preserve">Evgeny (2010), </w:t>
      </w:r>
      <w:r w:rsidRPr="00404C5A">
        <w:rPr>
          <w:rFonts w:ascii="Times New Roman" w:hAnsi="Times New Roman" w:cs="Times New Roman"/>
          <w:sz w:val="22"/>
          <w:szCs w:val="22"/>
        </w:rPr>
        <w:t xml:space="preserve">‘Identifying Criteria for Climate Change Policy Evaluation in Australia’, </w:t>
      </w:r>
      <w:r w:rsidRPr="001B6F83">
        <w:rPr>
          <w:rFonts w:ascii="Times New Roman" w:hAnsi="Times New Roman" w:cs="Times New Roman"/>
          <w:i/>
          <w:sz w:val="22"/>
          <w:szCs w:val="22"/>
        </w:rPr>
        <w:t>Macquarie Journal of Business Law</w:t>
      </w:r>
      <w:r w:rsidRPr="00404C5A">
        <w:rPr>
          <w:rFonts w:ascii="Times New Roman" w:hAnsi="Times New Roman" w:cs="Times New Roman"/>
          <w:sz w:val="22"/>
          <w:szCs w:val="22"/>
        </w:rPr>
        <w:t>, 7</w:t>
      </w:r>
      <w:r>
        <w:rPr>
          <w:rFonts w:ascii="Times New Roman" w:hAnsi="Times New Roman" w:cs="Times New Roman"/>
          <w:sz w:val="22"/>
          <w:szCs w:val="22"/>
        </w:rPr>
        <w:t>,</w:t>
      </w:r>
      <w:r w:rsidRPr="00404C5A">
        <w:rPr>
          <w:rFonts w:ascii="Times New Roman" w:hAnsi="Times New Roman" w:cs="Times New Roman"/>
          <w:sz w:val="22"/>
          <w:szCs w:val="22"/>
        </w:rPr>
        <w:t xml:space="preserve"> 98</w:t>
      </w:r>
      <w:r w:rsidR="005272B4">
        <w:rPr>
          <w:rFonts w:ascii="Times New Roman" w:hAnsi="Times New Roman" w:cs="Times New Roman"/>
          <w:sz w:val="22"/>
          <w:szCs w:val="22"/>
        </w:rPr>
        <w:t>‒</w:t>
      </w:r>
      <w:r w:rsidRPr="00404C5A">
        <w:rPr>
          <w:rFonts w:ascii="Times New Roman" w:hAnsi="Times New Roman" w:cs="Times New Roman"/>
          <w:sz w:val="22"/>
          <w:szCs w:val="22"/>
        </w:rPr>
        <w:t>130.</w:t>
      </w:r>
      <w:proofErr w:type="gramEnd"/>
    </w:p>
  </w:endnote>
  <w:endnote w:id="47">
    <w:p w14:paraId="44940E41" w14:textId="1938E2C4"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r w:rsidRPr="00404C5A">
        <w:rPr>
          <w:rFonts w:ascii="Times New Roman" w:hAnsi="Times New Roman" w:cs="Times New Roman"/>
          <w:sz w:val="22"/>
          <w:szCs w:val="22"/>
          <w:lang w:eastAsia="en-AU"/>
        </w:rPr>
        <w:t>The weights may be obtained directly from the decision</w:t>
      </w:r>
      <w:r w:rsidR="005272B4">
        <w:rPr>
          <w:rFonts w:ascii="Times New Roman" w:hAnsi="Times New Roman" w:cs="Times New Roman"/>
          <w:sz w:val="22"/>
          <w:szCs w:val="22"/>
          <w:lang w:eastAsia="en-AU"/>
        </w:rPr>
        <w:t>-</w:t>
      </w:r>
      <w:r w:rsidRPr="00404C5A">
        <w:rPr>
          <w:rFonts w:ascii="Times New Roman" w:hAnsi="Times New Roman" w:cs="Times New Roman"/>
          <w:sz w:val="22"/>
          <w:szCs w:val="22"/>
          <w:lang w:eastAsia="en-AU"/>
        </w:rPr>
        <w:t>maker, stakeholders or may be developed by applying appropriate methods. Nonetheless, it is very difficult to obtain objective quantitative weights, as knowledge and the confidence are typically rare. Criteria weighting is sensitive to the expressed preferences of decision</w:t>
      </w:r>
      <w:r w:rsidR="00F112F0">
        <w:rPr>
          <w:rFonts w:ascii="Times New Roman" w:hAnsi="Times New Roman" w:cs="Times New Roman"/>
          <w:sz w:val="22"/>
          <w:szCs w:val="22"/>
          <w:lang w:eastAsia="en-AU"/>
        </w:rPr>
        <w:t>-</w:t>
      </w:r>
      <w:r w:rsidRPr="00404C5A">
        <w:rPr>
          <w:rFonts w:ascii="Times New Roman" w:hAnsi="Times New Roman" w:cs="Times New Roman"/>
          <w:sz w:val="22"/>
          <w:szCs w:val="22"/>
          <w:lang w:eastAsia="en-AU"/>
        </w:rPr>
        <w:t>makers or stakeholders which adds an additional subjectivity to the outcome. Considering this it is necessary to limit the degree of subjectivity in weighting process for this purpose some policy evaluation procedures involve experts. Employing experts instead of decision</w:t>
      </w:r>
      <w:r w:rsidR="00F112F0">
        <w:rPr>
          <w:rFonts w:ascii="Times New Roman" w:hAnsi="Times New Roman" w:cs="Times New Roman"/>
          <w:sz w:val="22"/>
          <w:szCs w:val="22"/>
          <w:lang w:eastAsia="en-AU"/>
        </w:rPr>
        <w:t>-</w:t>
      </w:r>
      <w:r w:rsidRPr="00404C5A">
        <w:rPr>
          <w:rFonts w:ascii="Times New Roman" w:hAnsi="Times New Roman" w:cs="Times New Roman"/>
          <w:sz w:val="22"/>
          <w:szCs w:val="22"/>
          <w:lang w:eastAsia="en-AU"/>
        </w:rPr>
        <w:t>makers or stakeholders is expected to bring an element of unprejudiced and objective assessment</w:t>
      </w:r>
      <w:r>
        <w:rPr>
          <w:rFonts w:ascii="Times New Roman" w:hAnsi="Times New Roman" w:cs="Times New Roman"/>
          <w:sz w:val="22"/>
          <w:szCs w:val="22"/>
          <w:lang w:eastAsia="en-AU"/>
        </w:rPr>
        <w:t xml:space="preserve"> of the required information. </w:t>
      </w:r>
      <w:proofErr w:type="gramStart"/>
      <w:r w:rsidRPr="00404C5A">
        <w:rPr>
          <w:rFonts w:ascii="Times New Roman" w:hAnsi="Times New Roman" w:cs="Times New Roman"/>
          <w:sz w:val="22"/>
          <w:szCs w:val="22"/>
        </w:rPr>
        <w:t>Gough</w:t>
      </w:r>
      <w:r>
        <w:rPr>
          <w:rFonts w:ascii="Times New Roman" w:hAnsi="Times New Roman" w:cs="Times New Roman"/>
          <w:sz w:val="22"/>
          <w:szCs w:val="22"/>
        </w:rPr>
        <w:t>, C.</w:t>
      </w:r>
      <w:r w:rsidRPr="00404C5A">
        <w:rPr>
          <w:rFonts w:ascii="Times New Roman" w:hAnsi="Times New Roman" w:cs="Times New Roman"/>
          <w:sz w:val="22"/>
          <w:szCs w:val="22"/>
        </w:rPr>
        <w:t xml:space="preserve"> and S</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Shackley</w:t>
      </w:r>
      <w:proofErr w:type="spellEnd"/>
      <w:r w:rsidRPr="00404C5A">
        <w:rPr>
          <w:rFonts w:ascii="Times New Roman" w:hAnsi="Times New Roman" w:cs="Times New Roman"/>
          <w:sz w:val="22"/>
          <w:szCs w:val="22"/>
        </w:rPr>
        <w:t xml:space="preserve"> </w:t>
      </w:r>
      <w:r>
        <w:rPr>
          <w:rFonts w:ascii="Times New Roman" w:hAnsi="Times New Roman" w:cs="Times New Roman"/>
          <w:sz w:val="22"/>
          <w:szCs w:val="22"/>
        </w:rPr>
        <w:t xml:space="preserve">(2006), </w:t>
      </w:r>
      <w:r w:rsidRPr="00404C5A">
        <w:rPr>
          <w:rFonts w:ascii="Times New Roman" w:hAnsi="Times New Roman" w:cs="Times New Roman"/>
          <w:sz w:val="22"/>
          <w:szCs w:val="22"/>
        </w:rPr>
        <w:t xml:space="preserve">‘Towards a </w:t>
      </w:r>
      <w:r w:rsidR="00F112F0">
        <w:rPr>
          <w:rFonts w:ascii="Times New Roman" w:hAnsi="Times New Roman" w:cs="Times New Roman"/>
          <w:sz w:val="22"/>
          <w:szCs w:val="22"/>
        </w:rPr>
        <w:t>M</w:t>
      </w:r>
      <w:r w:rsidRPr="00404C5A">
        <w:rPr>
          <w:rFonts w:ascii="Times New Roman" w:hAnsi="Times New Roman" w:cs="Times New Roman"/>
          <w:sz w:val="22"/>
          <w:szCs w:val="22"/>
        </w:rPr>
        <w:t xml:space="preserve">ulti-criteria </w:t>
      </w:r>
      <w:r w:rsidR="00F112F0">
        <w:rPr>
          <w:rFonts w:ascii="Times New Roman" w:hAnsi="Times New Roman" w:cs="Times New Roman"/>
          <w:sz w:val="22"/>
          <w:szCs w:val="22"/>
        </w:rPr>
        <w:t>M</w:t>
      </w:r>
      <w:r w:rsidRPr="00404C5A">
        <w:rPr>
          <w:rFonts w:ascii="Times New Roman" w:hAnsi="Times New Roman" w:cs="Times New Roman"/>
          <w:sz w:val="22"/>
          <w:szCs w:val="22"/>
        </w:rPr>
        <w:t xml:space="preserve">ethodology for </w:t>
      </w:r>
      <w:r w:rsidR="00F112F0">
        <w:rPr>
          <w:rFonts w:ascii="Times New Roman" w:hAnsi="Times New Roman" w:cs="Times New Roman"/>
          <w:sz w:val="22"/>
          <w:szCs w:val="22"/>
        </w:rPr>
        <w:t>A</w:t>
      </w:r>
      <w:r w:rsidRPr="00404C5A">
        <w:rPr>
          <w:rFonts w:ascii="Times New Roman" w:hAnsi="Times New Roman" w:cs="Times New Roman"/>
          <w:sz w:val="22"/>
          <w:szCs w:val="22"/>
        </w:rPr>
        <w:t xml:space="preserve">ssessment of </w:t>
      </w:r>
      <w:r w:rsidR="00F112F0" w:rsidRPr="00404C5A">
        <w:rPr>
          <w:rFonts w:ascii="Times New Roman" w:hAnsi="Times New Roman" w:cs="Times New Roman"/>
          <w:sz w:val="22"/>
          <w:szCs w:val="22"/>
        </w:rPr>
        <w:t>Geological Carbon Storage Options’</w:t>
      </w:r>
      <w:r w:rsidRPr="00404C5A">
        <w:rPr>
          <w:rFonts w:ascii="Times New Roman" w:hAnsi="Times New Roman" w:cs="Times New Roman"/>
          <w:sz w:val="22"/>
          <w:szCs w:val="22"/>
        </w:rPr>
        <w:t xml:space="preserve">, </w:t>
      </w:r>
      <w:r w:rsidRPr="00404C5A">
        <w:rPr>
          <w:rFonts w:ascii="Times New Roman" w:hAnsi="Times New Roman" w:cs="Times New Roman"/>
          <w:i/>
          <w:iCs/>
          <w:sz w:val="22"/>
          <w:szCs w:val="22"/>
        </w:rPr>
        <w:t>Climatic Change</w:t>
      </w:r>
      <w:r w:rsidRPr="001B6F83">
        <w:rPr>
          <w:rFonts w:ascii="Times New Roman" w:hAnsi="Times New Roman" w:cs="Times New Roman"/>
          <w:iCs/>
          <w:sz w:val="22"/>
          <w:szCs w:val="22"/>
        </w:rPr>
        <w:t>,</w:t>
      </w:r>
      <w:r w:rsidRPr="00F112F0">
        <w:rPr>
          <w:rFonts w:ascii="Times New Roman" w:hAnsi="Times New Roman" w:cs="Times New Roman"/>
          <w:sz w:val="22"/>
          <w:szCs w:val="22"/>
        </w:rPr>
        <w:t xml:space="preserve"> </w:t>
      </w:r>
      <w:r w:rsidRPr="00404C5A">
        <w:rPr>
          <w:rFonts w:ascii="Times New Roman" w:hAnsi="Times New Roman" w:cs="Times New Roman"/>
          <w:sz w:val="22"/>
          <w:szCs w:val="22"/>
        </w:rPr>
        <w:t>74</w:t>
      </w:r>
      <w:r w:rsidRPr="00404C5A">
        <w:rPr>
          <w:rFonts w:ascii="Times New Roman" w:hAnsi="Times New Roman" w:cs="Times New Roman"/>
          <w:b/>
          <w:bCs/>
          <w:sz w:val="22"/>
          <w:szCs w:val="22"/>
        </w:rPr>
        <w:t>,</w:t>
      </w:r>
      <w:r w:rsidRPr="00404C5A">
        <w:rPr>
          <w:rFonts w:ascii="Times New Roman" w:hAnsi="Times New Roman" w:cs="Times New Roman"/>
          <w:sz w:val="22"/>
          <w:szCs w:val="22"/>
        </w:rPr>
        <w:t xml:space="preserve"> 141</w:t>
      </w:r>
      <w:r w:rsidR="00F112F0">
        <w:rPr>
          <w:rFonts w:ascii="Times New Roman" w:hAnsi="Times New Roman" w:cs="Times New Roman"/>
          <w:sz w:val="22"/>
          <w:szCs w:val="22"/>
        </w:rPr>
        <w:t>‒</w:t>
      </w:r>
      <w:r w:rsidRPr="00404C5A">
        <w:rPr>
          <w:rFonts w:ascii="Times New Roman" w:hAnsi="Times New Roman" w:cs="Times New Roman"/>
          <w:sz w:val="22"/>
          <w:szCs w:val="22"/>
        </w:rPr>
        <w:t>174.</w:t>
      </w:r>
      <w:proofErr w:type="gramEnd"/>
    </w:p>
  </w:endnote>
  <w:endnote w:id="48">
    <w:p w14:paraId="7EF3A163" w14:textId="785FDAD2" w:rsidR="008B6C58" w:rsidRPr="00576D14" w:rsidRDefault="008B6C58" w:rsidP="00576D14">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See </w:t>
      </w:r>
      <w:r w:rsidR="001B6F83">
        <w:rPr>
          <w:rFonts w:ascii="Times New Roman" w:hAnsi="Times New Roman" w:cs="Times New Roman"/>
          <w:sz w:val="22"/>
          <w:szCs w:val="22"/>
        </w:rPr>
        <w:t>for example,</w:t>
      </w:r>
      <w:r>
        <w:rPr>
          <w:rFonts w:ascii="Times New Roman" w:hAnsi="Times New Roman" w:cs="Times New Roman"/>
          <w:sz w:val="22"/>
          <w:szCs w:val="22"/>
        </w:rPr>
        <w:t xml:space="preserve"> </w:t>
      </w:r>
      <w:r w:rsidRPr="00404C5A">
        <w:rPr>
          <w:rFonts w:ascii="Times New Roman" w:hAnsi="Times New Roman" w:cs="Times New Roman"/>
          <w:sz w:val="22"/>
          <w:szCs w:val="22"/>
        </w:rPr>
        <w:t>Smith</w:t>
      </w:r>
      <w:r>
        <w:rPr>
          <w:rFonts w:ascii="Times New Roman" w:hAnsi="Times New Roman" w:cs="Times New Roman"/>
          <w:sz w:val="22"/>
          <w:szCs w:val="22"/>
        </w:rPr>
        <w:t>, S.</w:t>
      </w:r>
      <w:r w:rsidRPr="00404C5A">
        <w:rPr>
          <w:rFonts w:ascii="Times New Roman" w:hAnsi="Times New Roman" w:cs="Times New Roman"/>
          <w:sz w:val="22"/>
          <w:szCs w:val="22"/>
        </w:rPr>
        <w:t xml:space="preserve"> and H</w:t>
      </w:r>
      <w:r>
        <w:rPr>
          <w:rFonts w:ascii="Times New Roman" w:hAnsi="Times New Roman" w:cs="Times New Roman"/>
          <w:sz w:val="22"/>
          <w:szCs w:val="22"/>
        </w:rPr>
        <w:t>.</w:t>
      </w:r>
      <w:r w:rsidRPr="00404C5A">
        <w:rPr>
          <w:rFonts w:ascii="Times New Roman" w:hAnsi="Times New Roman" w:cs="Times New Roman"/>
          <w:sz w:val="22"/>
          <w:szCs w:val="22"/>
        </w:rPr>
        <w:t>B</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Vos</w:t>
      </w:r>
      <w:proofErr w:type="spellEnd"/>
      <w:r>
        <w:rPr>
          <w:rFonts w:ascii="Times New Roman" w:hAnsi="Times New Roman" w:cs="Times New Roman"/>
          <w:sz w:val="22"/>
          <w:szCs w:val="22"/>
        </w:rPr>
        <w:t xml:space="preserve"> (1997),</w:t>
      </w:r>
      <w:r w:rsidRPr="00404C5A">
        <w:rPr>
          <w:rFonts w:ascii="Times New Roman" w:hAnsi="Times New Roman" w:cs="Times New Roman"/>
          <w:sz w:val="22"/>
          <w:szCs w:val="22"/>
        </w:rPr>
        <w:t xml:space="preserve"> </w:t>
      </w:r>
      <w:r w:rsidRPr="00404C5A">
        <w:rPr>
          <w:rFonts w:ascii="Times New Roman" w:hAnsi="Times New Roman" w:cs="Times New Roman"/>
          <w:i/>
          <w:iCs/>
          <w:sz w:val="22"/>
          <w:szCs w:val="22"/>
        </w:rPr>
        <w:t>Evaluating Economic Instruments for Environmental Policy</w:t>
      </w:r>
      <w:r w:rsidRPr="001B6F83">
        <w:rPr>
          <w:rFonts w:ascii="Times New Roman" w:hAnsi="Times New Roman" w:cs="Times New Roman"/>
          <w:iCs/>
          <w:sz w:val="22"/>
          <w:szCs w:val="22"/>
        </w:rPr>
        <w:t xml:space="preserve">, </w:t>
      </w:r>
      <w:r w:rsidRPr="00404C5A">
        <w:rPr>
          <w:rFonts w:ascii="Times New Roman" w:hAnsi="Times New Roman" w:cs="Times New Roman"/>
          <w:sz w:val="22"/>
          <w:szCs w:val="22"/>
        </w:rPr>
        <w:t>Pa</w:t>
      </w:r>
      <w:r>
        <w:rPr>
          <w:rFonts w:ascii="Times New Roman" w:hAnsi="Times New Roman" w:cs="Times New Roman"/>
          <w:sz w:val="22"/>
          <w:szCs w:val="22"/>
        </w:rPr>
        <w:t>ris</w:t>
      </w:r>
      <w:r w:rsidR="00F112F0">
        <w:rPr>
          <w:rFonts w:ascii="Times New Roman" w:hAnsi="Times New Roman" w:cs="Times New Roman"/>
          <w:sz w:val="22"/>
          <w:szCs w:val="22"/>
        </w:rPr>
        <w:t>:</w:t>
      </w:r>
      <w:r>
        <w:rPr>
          <w:rFonts w:ascii="Times New Roman" w:hAnsi="Times New Roman" w:cs="Times New Roman"/>
          <w:sz w:val="22"/>
          <w:szCs w:val="22"/>
        </w:rPr>
        <w:t xml:space="preserve"> OECD, Business </w:t>
      </w:r>
      <w:r w:rsidR="00F112F0">
        <w:rPr>
          <w:rFonts w:ascii="Times New Roman" w:hAnsi="Times New Roman" w:cs="Times New Roman"/>
          <w:sz w:val="22"/>
          <w:szCs w:val="22"/>
        </w:rPr>
        <w:t xml:space="preserve">and </w:t>
      </w:r>
      <w:r>
        <w:rPr>
          <w:rFonts w:ascii="Times New Roman" w:hAnsi="Times New Roman" w:cs="Times New Roman"/>
          <w:sz w:val="22"/>
          <w:szCs w:val="22"/>
        </w:rPr>
        <w:t>Economics</w:t>
      </w:r>
      <w:r w:rsidRPr="00404C5A">
        <w:rPr>
          <w:rFonts w:ascii="Times New Roman" w:hAnsi="Times New Roman" w:cs="Times New Roman"/>
          <w:sz w:val="22"/>
          <w:szCs w:val="22"/>
        </w:rPr>
        <w:t xml:space="preserve">; Dovers, </w:t>
      </w:r>
      <w:r>
        <w:rPr>
          <w:rFonts w:ascii="Times New Roman" w:hAnsi="Times New Roman" w:cs="Times New Roman"/>
          <w:sz w:val="22"/>
          <w:szCs w:val="22"/>
        </w:rPr>
        <w:t xml:space="preserve">S. (2005), </w:t>
      </w:r>
      <w:r w:rsidRPr="00404C5A">
        <w:rPr>
          <w:rFonts w:ascii="Times New Roman" w:hAnsi="Times New Roman" w:cs="Times New Roman"/>
          <w:i/>
          <w:sz w:val="22"/>
          <w:szCs w:val="22"/>
        </w:rPr>
        <w:t xml:space="preserve">Environment and Sustainability Policy: Creation, </w:t>
      </w:r>
      <w:r w:rsidRPr="00576D14">
        <w:rPr>
          <w:rFonts w:ascii="Times New Roman" w:hAnsi="Times New Roman" w:cs="Times New Roman"/>
          <w:i/>
          <w:sz w:val="22"/>
          <w:szCs w:val="22"/>
        </w:rPr>
        <w:t>Implementation, Evaluation</w:t>
      </w:r>
      <w:r w:rsidRPr="00576D14">
        <w:rPr>
          <w:rFonts w:ascii="Times New Roman" w:hAnsi="Times New Roman" w:cs="Times New Roman"/>
          <w:sz w:val="22"/>
          <w:szCs w:val="22"/>
        </w:rPr>
        <w:t>, Sydney</w:t>
      </w:r>
      <w:r w:rsidR="00F112F0">
        <w:rPr>
          <w:rFonts w:ascii="Times New Roman" w:hAnsi="Times New Roman" w:cs="Times New Roman"/>
          <w:sz w:val="22"/>
          <w:szCs w:val="22"/>
        </w:rPr>
        <w:t>:</w:t>
      </w:r>
      <w:r w:rsidRPr="00576D14">
        <w:rPr>
          <w:rFonts w:ascii="Times New Roman" w:hAnsi="Times New Roman" w:cs="Times New Roman"/>
          <w:sz w:val="22"/>
          <w:szCs w:val="22"/>
        </w:rPr>
        <w:t xml:space="preserve"> The </w:t>
      </w:r>
      <w:r>
        <w:rPr>
          <w:rFonts w:ascii="Times New Roman" w:hAnsi="Times New Roman" w:cs="Times New Roman"/>
          <w:sz w:val="22"/>
          <w:szCs w:val="22"/>
        </w:rPr>
        <w:t>Federation Press</w:t>
      </w:r>
      <w:r w:rsidRPr="00576D14">
        <w:rPr>
          <w:rFonts w:ascii="Times New Roman" w:hAnsi="Times New Roman" w:cs="Times New Roman"/>
          <w:sz w:val="22"/>
          <w:szCs w:val="22"/>
        </w:rPr>
        <w:t xml:space="preserve">; Mickwitz, </w:t>
      </w:r>
      <w:r>
        <w:rPr>
          <w:rFonts w:ascii="Times New Roman" w:hAnsi="Times New Roman" w:cs="Times New Roman"/>
          <w:sz w:val="22"/>
          <w:szCs w:val="22"/>
        </w:rPr>
        <w:t>a</w:t>
      </w:r>
      <w:r w:rsidRPr="00576D14">
        <w:rPr>
          <w:rFonts w:ascii="Times New Roman" w:hAnsi="Times New Roman" w:cs="Times New Roman"/>
          <w:sz w:val="22"/>
          <w:szCs w:val="22"/>
        </w:rPr>
        <w:t>bove n</w:t>
      </w:r>
      <w:r w:rsidR="00F112F0">
        <w:rPr>
          <w:rFonts w:ascii="Times New Roman" w:hAnsi="Times New Roman" w:cs="Times New Roman"/>
          <w:sz w:val="22"/>
          <w:szCs w:val="22"/>
        </w:rPr>
        <w:t>.</w:t>
      </w:r>
      <w:r w:rsidRPr="00576D14">
        <w:rPr>
          <w:rFonts w:ascii="Times New Roman" w:hAnsi="Times New Roman" w:cs="Times New Roman"/>
          <w:sz w:val="22"/>
          <w:szCs w:val="22"/>
        </w:rPr>
        <w:t xml:space="preserve"> 1.</w:t>
      </w:r>
    </w:p>
  </w:endnote>
  <w:endnote w:id="49">
    <w:p w14:paraId="638341A2" w14:textId="5305703B" w:rsidR="008B6C58" w:rsidRPr="00404C5A" w:rsidRDefault="008B6C58" w:rsidP="00576D14">
      <w:pPr>
        <w:pStyle w:val="EndnoteText"/>
        <w:spacing w:line="480" w:lineRule="auto"/>
        <w:rPr>
          <w:rFonts w:ascii="Times New Roman" w:hAnsi="Times New Roman" w:cs="Times New Roman"/>
          <w:sz w:val="22"/>
          <w:szCs w:val="22"/>
        </w:rPr>
      </w:pPr>
      <w:r w:rsidRPr="00576D14">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576D14">
        <w:rPr>
          <w:rFonts w:ascii="Times New Roman" w:hAnsi="Times New Roman" w:cs="Times New Roman"/>
          <w:sz w:val="22"/>
          <w:szCs w:val="22"/>
        </w:rPr>
        <w:t>Carifio</w:t>
      </w:r>
      <w:r>
        <w:rPr>
          <w:rFonts w:ascii="Times New Roman" w:hAnsi="Times New Roman" w:cs="Times New Roman"/>
          <w:sz w:val="22"/>
          <w:szCs w:val="22"/>
        </w:rPr>
        <w:t>, J.</w:t>
      </w:r>
      <w:r w:rsidRPr="00576D14">
        <w:rPr>
          <w:rFonts w:ascii="Times New Roman" w:hAnsi="Times New Roman" w:cs="Times New Roman"/>
          <w:sz w:val="22"/>
          <w:szCs w:val="22"/>
        </w:rPr>
        <w:t xml:space="preserve"> and J</w:t>
      </w:r>
      <w:r>
        <w:rPr>
          <w:rFonts w:ascii="Times New Roman" w:hAnsi="Times New Roman" w:cs="Times New Roman"/>
          <w:sz w:val="22"/>
          <w:szCs w:val="22"/>
        </w:rPr>
        <w:t>.</w:t>
      </w:r>
      <w:r w:rsidRPr="00576D14">
        <w:rPr>
          <w:rFonts w:ascii="Times New Roman" w:hAnsi="Times New Roman" w:cs="Times New Roman"/>
          <w:sz w:val="22"/>
          <w:szCs w:val="22"/>
        </w:rPr>
        <w:t>P</w:t>
      </w:r>
      <w:r>
        <w:rPr>
          <w:rFonts w:ascii="Times New Roman" w:hAnsi="Times New Roman" w:cs="Times New Roman"/>
          <w:sz w:val="22"/>
          <w:szCs w:val="22"/>
        </w:rPr>
        <w:t>.</w:t>
      </w:r>
      <w:r w:rsidRPr="00576D14">
        <w:rPr>
          <w:rFonts w:ascii="Times New Roman" w:hAnsi="Times New Roman" w:cs="Times New Roman"/>
          <w:sz w:val="22"/>
          <w:szCs w:val="22"/>
        </w:rPr>
        <w:t xml:space="preserve"> Rocco </w:t>
      </w:r>
      <w:r>
        <w:rPr>
          <w:rFonts w:ascii="Times New Roman" w:hAnsi="Times New Roman" w:cs="Times New Roman"/>
          <w:sz w:val="22"/>
          <w:szCs w:val="22"/>
        </w:rPr>
        <w:t xml:space="preserve">(2007), </w:t>
      </w:r>
      <w:r w:rsidRPr="00576D14">
        <w:rPr>
          <w:rFonts w:ascii="Times New Roman" w:hAnsi="Times New Roman" w:cs="Times New Roman"/>
          <w:sz w:val="22"/>
          <w:szCs w:val="22"/>
        </w:rPr>
        <w:t xml:space="preserve">‘Ten Common Misunderstandings, Misconceptions, Persistent Myths and Urban Legends about Likert Scales and Likert Response Formats and their Antidotes’, </w:t>
      </w:r>
      <w:r w:rsidRPr="00576D14">
        <w:rPr>
          <w:rFonts w:ascii="Times New Roman" w:hAnsi="Times New Roman" w:cs="Times New Roman"/>
          <w:i/>
          <w:sz w:val="22"/>
          <w:szCs w:val="22"/>
        </w:rPr>
        <w:t>Journal of Social</w:t>
      </w:r>
      <w:r w:rsidRPr="00404C5A">
        <w:rPr>
          <w:rFonts w:ascii="Times New Roman" w:hAnsi="Times New Roman" w:cs="Times New Roman"/>
          <w:i/>
          <w:sz w:val="22"/>
          <w:szCs w:val="22"/>
        </w:rPr>
        <w:t xml:space="preserve"> Sciences</w:t>
      </w:r>
      <w:r w:rsidRPr="001B6F83">
        <w:rPr>
          <w:rFonts w:ascii="Times New Roman" w:hAnsi="Times New Roman" w:cs="Times New Roman"/>
          <w:sz w:val="22"/>
          <w:szCs w:val="22"/>
        </w:rPr>
        <w:t>,</w:t>
      </w:r>
      <w:r w:rsidR="00F112F0" w:rsidRPr="001B6F83">
        <w:rPr>
          <w:rFonts w:ascii="Times New Roman" w:hAnsi="Times New Roman" w:cs="Times New Roman"/>
          <w:sz w:val="22"/>
          <w:szCs w:val="22"/>
        </w:rPr>
        <w:t xml:space="preserve"> </w:t>
      </w:r>
      <w:r w:rsidRPr="00404C5A">
        <w:rPr>
          <w:rFonts w:ascii="Times New Roman" w:hAnsi="Times New Roman" w:cs="Times New Roman"/>
          <w:sz w:val="22"/>
          <w:szCs w:val="22"/>
        </w:rPr>
        <w:t>3</w:t>
      </w:r>
      <w:r w:rsidR="00F112F0">
        <w:rPr>
          <w:rFonts w:ascii="Times New Roman" w:hAnsi="Times New Roman" w:cs="Times New Roman"/>
          <w:sz w:val="22"/>
          <w:szCs w:val="22"/>
        </w:rPr>
        <w:t xml:space="preserve"> </w:t>
      </w:r>
      <w:r w:rsidRPr="00404C5A">
        <w:rPr>
          <w:rFonts w:ascii="Times New Roman" w:hAnsi="Times New Roman" w:cs="Times New Roman"/>
          <w:sz w:val="22"/>
          <w:szCs w:val="22"/>
        </w:rPr>
        <w:t>(3), 106</w:t>
      </w:r>
      <w:r w:rsidR="00F112F0">
        <w:rPr>
          <w:rFonts w:ascii="Times New Roman" w:hAnsi="Times New Roman" w:cs="Times New Roman"/>
          <w:sz w:val="22"/>
          <w:szCs w:val="22"/>
        </w:rPr>
        <w:t>‒</w:t>
      </w:r>
      <w:r w:rsidRPr="00404C5A">
        <w:rPr>
          <w:rFonts w:ascii="Times New Roman" w:hAnsi="Times New Roman" w:cs="Times New Roman"/>
          <w:sz w:val="22"/>
          <w:szCs w:val="22"/>
        </w:rPr>
        <w:t>116.</w:t>
      </w:r>
    </w:p>
  </w:endnote>
  <w:endnote w:id="50">
    <w:p w14:paraId="3D79C8A1" w14:textId="12AF79C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This scale of measurement lists data in rank order but without fixed differences among the entries. The ordinal scale is </w:t>
      </w:r>
      <w:r w:rsidR="00F112F0" w:rsidRPr="00404C5A">
        <w:rPr>
          <w:rFonts w:ascii="Times New Roman" w:hAnsi="Times New Roman" w:cs="Times New Roman"/>
          <w:sz w:val="22"/>
          <w:szCs w:val="22"/>
        </w:rPr>
        <w:t>utili</w:t>
      </w:r>
      <w:r w:rsidR="00F112F0">
        <w:rPr>
          <w:rFonts w:ascii="Times New Roman" w:hAnsi="Times New Roman" w:cs="Times New Roman"/>
          <w:sz w:val="22"/>
          <w:szCs w:val="22"/>
        </w:rPr>
        <w:t>z</w:t>
      </w:r>
      <w:r w:rsidR="00F112F0" w:rsidRPr="00404C5A">
        <w:rPr>
          <w:rFonts w:ascii="Times New Roman" w:hAnsi="Times New Roman" w:cs="Times New Roman"/>
          <w:sz w:val="22"/>
          <w:szCs w:val="22"/>
        </w:rPr>
        <w:t xml:space="preserve">ed </w:t>
      </w:r>
      <w:r w:rsidRPr="00404C5A">
        <w:rPr>
          <w:rFonts w:ascii="Times New Roman" w:hAnsi="Times New Roman" w:cs="Times New Roman"/>
          <w:sz w:val="22"/>
          <w:szCs w:val="22"/>
        </w:rPr>
        <w:t xml:space="preserve">to weigh the importance of criteria, with values from 1 to 5, where </w:t>
      </w:r>
      <w:r w:rsidRPr="00404C5A">
        <w:rPr>
          <w:rFonts w:ascii="Times New Roman" w:hAnsi="Times New Roman" w:cs="Times New Roman"/>
          <w:color w:val="000000"/>
          <w:sz w:val="22"/>
          <w:szCs w:val="22"/>
        </w:rPr>
        <w:t>1 = not at all important; 2 = somewhat important; 3 = moderately important; 4 = quite important; and 5 = extremely important</w:t>
      </w:r>
      <w:r w:rsidRPr="00404C5A">
        <w:rPr>
          <w:rFonts w:ascii="Times New Roman" w:hAnsi="Times New Roman" w:cs="Times New Roman"/>
          <w:sz w:val="22"/>
          <w:szCs w:val="22"/>
        </w:rPr>
        <w:t>.</w:t>
      </w:r>
    </w:p>
  </w:endnote>
  <w:endnote w:id="51">
    <w:p w14:paraId="0412AE18" w14:textId="4983DD15"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Australian Government Department of the Environment http://www.environment.gov.au/clean-air</w:t>
      </w:r>
      <w:r>
        <w:rPr>
          <w:rFonts w:ascii="Times New Roman" w:hAnsi="Times New Roman" w:cs="Times New Roman"/>
          <w:sz w:val="22"/>
          <w:szCs w:val="22"/>
        </w:rPr>
        <w:t xml:space="preserve"> at December 2014.</w:t>
      </w:r>
    </w:p>
  </w:endnote>
  <w:endnote w:id="52">
    <w:p w14:paraId="5BAD8DE2" w14:textId="44D8FC82"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Australian Government Department of Environment, </w:t>
      </w:r>
      <w:r w:rsidR="00F112F0" w:rsidRPr="001B6F83">
        <w:t>http://climatechange.gov.au/reducing-carbon/news-article/repeal-carbon-tax-and-introduction-direct-action-plan</w:t>
      </w:r>
      <w:r w:rsidR="00F112F0">
        <w:rPr>
          <w:rFonts w:ascii="Times New Roman" w:hAnsi="Times New Roman" w:cs="Times New Roman"/>
          <w:sz w:val="22"/>
          <w:szCs w:val="22"/>
        </w:rPr>
        <w:t xml:space="preserve"> at</w:t>
      </w:r>
      <w:r>
        <w:rPr>
          <w:rFonts w:ascii="Times New Roman" w:hAnsi="Times New Roman" w:cs="Times New Roman"/>
          <w:sz w:val="22"/>
          <w:szCs w:val="22"/>
        </w:rPr>
        <w:t xml:space="preserve"> December 2014.</w:t>
      </w:r>
    </w:p>
  </w:endnote>
  <w:endnote w:id="53">
    <w:p w14:paraId="2C28F5AA" w14:textId="26577D3A"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r>
        <w:rPr>
          <w:rFonts w:ascii="Times New Roman" w:hAnsi="Times New Roman" w:cs="Times New Roman"/>
          <w:sz w:val="22"/>
          <w:szCs w:val="22"/>
        </w:rPr>
        <w:t>Above n. 49</w:t>
      </w:r>
      <w:r w:rsidR="00F112F0">
        <w:rPr>
          <w:rFonts w:ascii="Times New Roman" w:hAnsi="Times New Roman" w:cs="Times New Roman"/>
          <w:sz w:val="22"/>
          <w:szCs w:val="22"/>
        </w:rPr>
        <w:t>.</w:t>
      </w:r>
    </w:p>
  </w:endnote>
  <w:endnote w:id="54">
    <w:p w14:paraId="3A653713" w14:textId="056BD664"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Above n. </w:t>
      </w:r>
      <w:r>
        <w:rPr>
          <w:rFonts w:ascii="Times New Roman" w:hAnsi="Times New Roman" w:cs="Times New Roman"/>
          <w:sz w:val="22"/>
          <w:szCs w:val="22"/>
        </w:rPr>
        <w:t>49</w:t>
      </w:r>
      <w:r w:rsidR="00F112F0">
        <w:rPr>
          <w:rFonts w:ascii="Times New Roman" w:hAnsi="Times New Roman" w:cs="Times New Roman"/>
          <w:sz w:val="22"/>
          <w:szCs w:val="22"/>
        </w:rPr>
        <w:t>.</w:t>
      </w:r>
    </w:p>
  </w:endnote>
  <w:endnote w:id="55">
    <w:p w14:paraId="57FEB635" w14:textId="150C7646"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Above n. </w:t>
      </w:r>
      <w:r>
        <w:rPr>
          <w:rFonts w:ascii="Times New Roman" w:hAnsi="Times New Roman" w:cs="Times New Roman"/>
          <w:sz w:val="22"/>
          <w:szCs w:val="22"/>
        </w:rPr>
        <w:t>49</w:t>
      </w:r>
      <w:r w:rsidR="00F112F0">
        <w:rPr>
          <w:rFonts w:ascii="Times New Roman" w:hAnsi="Times New Roman" w:cs="Times New Roman"/>
          <w:sz w:val="22"/>
          <w:szCs w:val="22"/>
        </w:rPr>
        <w:t>.</w:t>
      </w:r>
    </w:p>
  </w:endnote>
  <w:endnote w:id="56">
    <w:p w14:paraId="61A0F514" w14:textId="1A221AE6"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Above n. </w:t>
      </w:r>
      <w:r>
        <w:rPr>
          <w:rFonts w:ascii="Times New Roman" w:hAnsi="Times New Roman" w:cs="Times New Roman"/>
          <w:sz w:val="22"/>
          <w:szCs w:val="22"/>
        </w:rPr>
        <w:t>49</w:t>
      </w:r>
      <w:r w:rsidR="00F112F0">
        <w:rPr>
          <w:rFonts w:ascii="Times New Roman" w:hAnsi="Times New Roman" w:cs="Times New Roman"/>
          <w:sz w:val="22"/>
          <w:szCs w:val="22"/>
        </w:rPr>
        <w:t>.</w:t>
      </w:r>
    </w:p>
  </w:endnote>
  <w:endnote w:id="57">
    <w:p w14:paraId="76E6FAB2" w14:textId="3B5DA401"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See for example, Australian Government Department of Environment, Emissions Reduction Fund, public submission of Professor David Karoly, Professor Ross Garnaut, WWF-Australia and others, http://www.environment.gov.au/climate-change/emissions-reduction-fund/green-paper</w:t>
      </w:r>
      <w:r>
        <w:rPr>
          <w:rFonts w:ascii="Times New Roman" w:hAnsi="Times New Roman" w:cs="Times New Roman"/>
          <w:sz w:val="22"/>
          <w:szCs w:val="22"/>
        </w:rPr>
        <w:t xml:space="preserve"> </w:t>
      </w:r>
      <w:r w:rsidR="00F112F0">
        <w:rPr>
          <w:rFonts w:ascii="Times New Roman" w:hAnsi="Times New Roman" w:cs="Times New Roman"/>
          <w:sz w:val="22"/>
          <w:szCs w:val="22"/>
        </w:rPr>
        <w:t xml:space="preserve">at </w:t>
      </w:r>
      <w:r>
        <w:rPr>
          <w:rFonts w:ascii="Times New Roman" w:hAnsi="Times New Roman" w:cs="Times New Roman"/>
          <w:sz w:val="22"/>
          <w:szCs w:val="22"/>
        </w:rPr>
        <w:t>December 2014.</w:t>
      </w:r>
    </w:p>
  </w:endnote>
  <w:endnote w:id="58">
    <w:p w14:paraId="162C773A" w14:textId="1269895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The Australian Senate, Environment and Communications References Committee </w:t>
      </w:r>
      <w:r>
        <w:rPr>
          <w:rFonts w:ascii="Times New Roman" w:hAnsi="Times New Roman" w:cs="Times New Roman"/>
          <w:sz w:val="22"/>
          <w:szCs w:val="22"/>
        </w:rPr>
        <w:t>(</w:t>
      </w:r>
      <w:r w:rsidRPr="00404C5A">
        <w:rPr>
          <w:rFonts w:ascii="Times New Roman" w:hAnsi="Times New Roman" w:cs="Times New Roman"/>
          <w:sz w:val="22"/>
          <w:szCs w:val="22"/>
        </w:rPr>
        <w:t>2014</w:t>
      </w:r>
      <w:r>
        <w:rPr>
          <w:rFonts w:ascii="Times New Roman" w:hAnsi="Times New Roman" w:cs="Times New Roman"/>
          <w:sz w:val="22"/>
          <w:szCs w:val="22"/>
        </w:rPr>
        <w:t>),</w:t>
      </w:r>
      <w:r w:rsidRPr="00404C5A">
        <w:rPr>
          <w:rFonts w:ascii="Times New Roman" w:hAnsi="Times New Roman" w:cs="Times New Roman"/>
          <w:sz w:val="22"/>
          <w:szCs w:val="22"/>
        </w:rPr>
        <w:t xml:space="preserve"> ‘Direct Action: Paying pollu</w:t>
      </w:r>
      <w:r>
        <w:rPr>
          <w:rFonts w:ascii="Times New Roman" w:hAnsi="Times New Roman" w:cs="Times New Roman"/>
          <w:sz w:val="22"/>
          <w:szCs w:val="22"/>
        </w:rPr>
        <w:t xml:space="preserve">ters to halt global warming?’ </w:t>
      </w:r>
      <w:r w:rsidRPr="00404C5A">
        <w:rPr>
          <w:rFonts w:ascii="Times New Roman" w:hAnsi="Times New Roman" w:cs="Times New Roman"/>
          <w:sz w:val="22"/>
          <w:szCs w:val="22"/>
        </w:rPr>
        <w:t>98.</w:t>
      </w:r>
    </w:p>
  </w:endnote>
  <w:endnote w:id="59">
    <w:p w14:paraId="42E6A996" w14:textId="7777777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r>
        <w:rPr>
          <w:rFonts w:ascii="Times New Roman" w:hAnsi="Times New Roman" w:cs="Times New Roman"/>
          <w:sz w:val="22"/>
          <w:szCs w:val="22"/>
        </w:rPr>
        <w:t>Ibid.</w:t>
      </w:r>
    </w:p>
  </w:endnote>
  <w:endnote w:id="60">
    <w:p w14:paraId="2604BE34" w14:textId="7777777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Climate Change Authority (Abolition) Bill 2013 [No. 2]</w:t>
      </w:r>
      <w:r>
        <w:rPr>
          <w:rFonts w:ascii="Times New Roman" w:hAnsi="Times New Roman" w:cs="Times New Roman"/>
          <w:sz w:val="22"/>
          <w:szCs w:val="22"/>
        </w:rPr>
        <w:t>.</w:t>
      </w:r>
    </w:p>
  </w:endnote>
  <w:endnote w:id="61">
    <w:p w14:paraId="1F019B26" w14:textId="628D3CA5"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Sackman,</w:t>
      </w:r>
      <w:r>
        <w:rPr>
          <w:rFonts w:ascii="Times New Roman" w:hAnsi="Times New Roman" w:cs="Times New Roman"/>
          <w:sz w:val="22"/>
          <w:szCs w:val="22"/>
        </w:rPr>
        <w:t xml:space="preserve"> H. (1975), </w:t>
      </w:r>
      <w:r w:rsidRPr="001B6F83">
        <w:rPr>
          <w:rFonts w:ascii="Times New Roman" w:hAnsi="Times New Roman" w:cs="Times New Roman"/>
          <w:i/>
          <w:sz w:val="22"/>
          <w:szCs w:val="22"/>
        </w:rPr>
        <w:t>Delphi Critique: Expert Opinion, Forecasting, and Group Process</w:t>
      </w:r>
      <w:r>
        <w:rPr>
          <w:rFonts w:ascii="Times New Roman" w:hAnsi="Times New Roman" w:cs="Times New Roman"/>
          <w:sz w:val="22"/>
          <w:szCs w:val="22"/>
        </w:rPr>
        <w:t>, Lexington</w:t>
      </w:r>
      <w:r w:rsidR="00F112F0">
        <w:rPr>
          <w:rFonts w:ascii="Times New Roman" w:hAnsi="Times New Roman" w:cs="Times New Roman"/>
          <w:sz w:val="22"/>
          <w:szCs w:val="22"/>
        </w:rPr>
        <w:t>, MA:</w:t>
      </w:r>
      <w:r>
        <w:rPr>
          <w:rFonts w:ascii="Times New Roman" w:hAnsi="Times New Roman" w:cs="Times New Roman"/>
          <w:sz w:val="22"/>
          <w:szCs w:val="22"/>
        </w:rPr>
        <w:t xml:space="preserve"> Lexington Books</w:t>
      </w:r>
      <w:r w:rsidRPr="00404C5A">
        <w:rPr>
          <w:rFonts w:ascii="Times New Roman" w:hAnsi="Times New Roman" w:cs="Times New Roman"/>
          <w:sz w:val="22"/>
          <w:szCs w:val="22"/>
        </w:rPr>
        <w:t>.</w:t>
      </w:r>
    </w:p>
  </w:endnote>
  <w:endnote w:id="62">
    <w:p w14:paraId="1BA9B482" w14:textId="1DFEA6DD"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 xml:space="preserve">Miller and </w:t>
      </w:r>
      <w:r>
        <w:rPr>
          <w:rFonts w:ascii="Times New Roman" w:hAnsi="Times New Roman" w:cs="Times New Roman"/>
          <w:sz w:val="22"/>
          <w:szCs w:val="22"/>
        </w:rPr>
        <w:t>Cuff, a</w:t>
      </w:r>
      <w:r w:rsidRPr="00404C5A">
        <w:rPr>
          <w:rFonts w:ascii="Times New Roman" w:hAnsi="Times New Roman" w:cs="Times New Roman"/>
          <w:sz w:val="22"/>
          <w:szCs w:val="22"/>
        </w:rPr>
        <w:t>bove n</w:t>
      </w:r>
      <w:r w:rsidR="00F112F0">
        <w:rPr>
          <w:rFonts w:ascii="Times New Roman" w:hAnsi="Times New Roman" w:cs="Times New Roman"/>
          <w:sz w:val="22"/>
          <w:szCs w:val="22"/>
        </w:rPr>
        <w:t>.</w:t>
      </w:r>
      <w:r w:rsidRPr="00404C5A">
        <w:rPr>
          <w:rFonts w:ascii="Times New Roman" w:hAnsi="Times New Roman" w:cs="Times New Roman"/>
          <w:sz w:val="22"/>
          <w:szCs w:val="22"/>
        </w:rPr>
        <w:t xml:space="preserve"> 24.</w:t>
      </w:r>
    </w:p>
  </w:endnote>
  <w:endnote w:id="63">
    <w:p w14:paraId="587E9F70" w14:textId="5B746FD2"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Pr>
          <w:rFonts w:ascii="Times New Roman" w:hAnsi="Times New Roman" w:cs="Times New Roman"/>
          <w:sz w:val="22"/>
          <w:szCs w:val="22"/>
        </w:rPr>
        <w:t xml:space="preserve"> </w:t>
      </w:r>
      <w:r w:rsidRPr="00404C5A">
        <w:rPr>
          <w:rFonts w:ascii="Times New Roman" w:hAnsi="Times New Roman" w:cs="Times New Roman"/>
          <w:sz w:val="22"/>
          <w:szCs w:val="22"/>
        </w:rPr>
        <w:t>Basu</w:t>
      </w:r>
      <w:r>
        <w:rPr>
          <w:rFonts w:ascii="Times New Roman" w:hAnsi="Times New Roman" w:cs="Times New Roman"/>
          <w:sz w:val="22"/>
          <w:szCs w:val="22"/>
        </w:rPr>
        <w:t>, S.</w:t>
      </w:r>
      <w:r w:rsidRPr="00404C5A">
        <w:rPr>
          <w:rFonts w:ascii="Times New Roman" w:hAnsi="Times New Roman" w:cs="Times New Roman"/>
          <w:sz w:val="22"/>
          <w:szCs w:val="22"/>
        </w:rPr>
        <w:t xml:space="preserve"> and R</w:t>
      </w:r>
      <w:r>
        <w:rPr>
          <w:rFonts w:ascii="Times New Roman" w:hAnsi="Times New Roman" w:cs="Times New Roman"/>
          <w:sz w:val="22"/>
          <w:szCs w:val="22"/>
        </w:rPr>
        <w:t>.</w:t>
      </w:r>
      <w:r w:rsidRPr="00404C5A">
        <w:rPr>
          <w:rFonts w:ascii="Times New Roman" w:hAnsi="Times New Roman" w:cs="Times New Roman"/>
          <w:sz w:val="22"/>
          <w:szCs w:val="22"/>
        </w:rPr>
        <w:t>G</w:t>
      </w:r>
      <w:r>
        <w:rPr>
          <w:rFonts w:ascii="Times New Roman" w:hAnsi="Times New Roman" w:cs="Times New Roman"/>
          <w:sz w:val="22"/>
          <w:szCs w:val="22"/>
        </w:rPr>
        <w:t>.</w:t>
      </w:r>
      <w:r w:rsidRPr="00404C5A">
        <w:rPr>
          <w:rFonts w:ascii="Times New Roman" w:hAnsi="Times New Roman" w:cs="Times New Roman"/>
          <w:sz w:val="22"/>
          <w:szCs w:val="22"/>
        </w:rPr>
        <w:t xml:space="preserve"> Schroeder </w:t>
      </w:r>
      <w:r>
        <w:rPr>
          <w:rFonts w:ascii="Times New Roman" w:hAnsi="Times New Roman" w:cs="Times New Roman"/>
          <w:sz w:val="22"/>
          <w:szCs w:val="22"/>
        </w:rPr>
        <w:t xml:space="preserve">(1977), </w:t>
      </w:r>
      <w:r w:rsidRPr="00404C5A">
        <w:rPr>
          <w:rFonts w:ascii="Times New Roman" w:hAnsi="Times New Roman" w:cs="Times New Roman"/>
          <w:sz w:val="22"/>
          <w:szCs w:val="22"/>
        </w:rPr>
        <w:t xml:space="preserve">‘Incorporating Judgments in Sales Forecasts: Application of the Delphi Method at American Hoist and Derrick’, </w:t>
      </w:r>
      <w:r w:rsidRPr="00404C5A">
        <w:rPr>
          <w:rFonts w:ascii="Times New Roman" w:hAnsi="Times New Roman" w:cs="Times New Roman"/>
          <w:i/>
          <w:sz w:val="22"/>
          <w:szCs w:val="22"/>
        </w:rPr>
        <w:t>Interfaces</w:t>
      </w:r>
      <w:r>
        <w:rPr>
          <w:rFonts w:ascii="Times New Roman" w:hAnsi="Times New Roman" w:cs="Times New Roman"/>
          <w:sz w:val="22"/>
          <w:szCs w:val="22"/>
        </w:rPr>
        <w:t xml:space="preserve">, </w:t>
      </w:r>
      <w:r w:rsidRPr="00404C5A">
        <w:rPr>
          <w:rFonts w:ascii="Times New Roman" w:hAnsi="Times New Roman" w:cs="Times New Roman"/>
          <w:sz w:val="22"/>
          <w:szCs w:val="22"/>
        </w:rPr>
        <w:t>7, 18</w:t>
      </w:r>
      <w:r w:rsidR="00F112F0">
        <w:rPr>
          <w:rFonts w:ascii="Times New Roman" w:hAnsi="Times New Roman" w:cs="Times New Roman"/>
          <w:sz w:val="22"/>
          <w:szCs w:val="22"/>
        </w:rPr>
        <w:t>‒</w:t>
      </w:r>
      <w:r w:rsidRPr="00404C5A">
        <w:rPr>
          <w:rFonts w:ascii="Times New Roman" w:hAnsi="Times New Roman" w:cs="Times New Roman"/>
          <w:sz w:val="22"/>
          <w:szCs w:val="22"/>
        </w:rPr>
        <w:t>27.</w:t>
      </w:r>
    </w:p>
  </w:endnote>
  <w:endnote w:id="64">
    <w:p w14:paraId="0CB77F15" w14:textId="059B9481"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w:t>
      </w:r>
      <w:r w:rsidRPr="00404C5A">
        <w:rPr>
          <w:rFonts w:ascii="Times New Roman" w:hAnsi="Times New Roman" w:cs="Times New Roman"/>
          <w:color w:val="000000"/>
          <w:sz w:val="22"/>
          <w:szCs w:val="22"/>
        </w:rPr>
        <w:t>Gatewood</w:t>
      </w:r>
      <w:r>
        <w:rPr>
          <w:rFonts w:ascii="Times New Roman" w:hAnsi="Times New Roman" w:cs="Times New Roman"/>
          <w:color w:val="000000"/>
          <w:sz w:val="22"/>
          <w:szCs w:val="22"/>
        </w:rPr>
        <w:t xml:space="preserve">, </w:t>
      </w:r>
      <w:r w:rsidRPr="00404C5A">
        <w:rPr>
          <w:rFonts w:ascii="Times New Roman" w:hAnsi="Times New Roman" w:cs="Times New Roman"/>
          <w:sz w:val="22"/>
          <w:szCs w:val="22"/>
        </w:rPr>
        <w:t>R</w:t>
      </w:r>
      <w:r w:rsidR="00F112F0">
        <w:rPr>
          <w:rFonts w:ascii="Times New Roman" w:hAnsi="Times New Roman" w:cs="Times New Roman"/>
          <w:sz w:val="22"/>
          <w:szCs w:val="22"/>
        </w:rPr>
        <w:t>.</w:t>
      </w:r>
      <w:r w:rsidRPr="00404C5A">
        <w:rPr>
          <w:rFonts w:ascii="Times New Roman" w:hAnsi="Times New Roman" w:cs="Times New Roman"/>
          <w:sz w:val="22"/>
          <w:szCs w:val="22"/>
        </w:rPr>
        <w:t>D</w:t>
      </w:r>
      <w:r>
        <w:rPr>
          <w:rFonts w:ascii="Times New Roman" w:hAnsi="Times New Roman" w:cs="Times New Roman"/>
          <w:sz w:val="22"/>
          <w:szCs w:val="22"/>
        </w:rPr>
        <w:t>.</w:t>
      </w:r>
      <w:r w:rsidRPr="00404C5A">
        <w:rPr>
          <w:rFonts w:ascii="Times New Roman" w:hAnsi="Times New Roman" w:cs="Times New Roman"/>
          <w:color w:val="000000"/>
          <w:sz w:val="22"/>
          <w:szCs w:val="22"/>
        </w:rPr>
        <w:t xml:space="preserve"> and E</w:t>
      </w:r>
      <w:r>
        <w:rPr>
          <w:rFonts w:ascii="Times New Roman" w:hAnsi="Times New Roman" w:cs="Times New Roman"/>
          <w:color w:val="000000"/>
          <w:sz w:val="22"/>
          <w:szCs w:val="22"/>
        </w:rPr>
        <w:t>.</w:t>
      </w:r>
      <w:r w:rsidRPr="00404C5A">
        <w:rPr>
          <w:rFonts w:ascii="Times New Roman" w:hAnsi="Times New Roman" w:cs="Times New Roman"/>
          <w:color w:val="000000"/>
          <w:sz w:val="22"/>
          <w:szCs w:val="22"/>
        </w:rPr>
        <w:t>J</w:t>
      </w:r>
      <w:r>
        <w:rPr>
          <w:rFonts w:ascii="Times New Roman" w:hAnsi="Times New Roman" w:cs="Times New Roman"/>
          <w:color w:val="000000"/>
          <w:sz w:val="22"/>
          <w:szCs w:val="22"/>
        </w:rPr>
        <w:t>.</w:t>
      </w:r>
      <w:r w:rsidRPr="00404C5A">
        <w:rPr>
          <w:rFonts w:ascii="Times New Roman" w:hAnsi="Times New Roman" w:cs="Times New Roman"/>
          <w:color w:val="000000"/>
          <w:sz w:val="22"/>
          <w:szCs w:val="22"/>
        </w:rPr>
        <w:t xml:space="preserve"> Gatewood</w:t>
      </w:r>
      <w:r w:rsidR="00F112F0">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(1983), </w:t>
      </w:r>
      <w:r w:rsidRPr="00404C5A">
        <w:rPr>
          <w:rFonts w:ascii="Times New Roman" w:hAnsi="Times New Roman" w:cs="Times New Roman"/>
          <w:color w:val="000000"/>
          <w:sz w:val="22"/>
          <w:szCs w:val="22"/>
        </w:rPr>
        <w:t xml:space="preserve">‘The </w:t>
      </w:r>
      <w:r w:rsidR="00F112F0" w:rsidRPr="00404C5A">
        <w:rPr>
          <w:rFonts w:ascii="Times New Roman" w:hAnsi="Times New Roman" w:cs="Times New Roman"/>
          <w:color w:val="000000"/>
          <w:sz w:val="22"/>
          <w:szCs w:val="22"/>
        </w:rPr>
        <w:t xml:space="preserve">Use </w:t>
      </w:r>
      <w:r w:rsidR="00F112F0">
        <w:rPr>
          <w:rFonts w:ascii="Times New Roman" w:hAnsi="Times New Roman" w:cs="Times New Roman"/>
          <w:color w:val="000000"/>
          <w:sz w:val="22"/>
          <w:szCs w:val="22"/>
        </w:rPr>
        <w:t>o</w:t>
      </w:r>
      <w:r w:rsidR="00F112F0" w:rsidRPr="00404C5A">
        <w:rPr>
          <w:rFonts w:ascii="Times New Roman" w:hAnsi="Times New Roman" w:cs="Times New Roman"/>
          <w:color w:val="000000"/>
          <w:sz w:val="22"/>
          <w:szCs w:val="22"/>
        </w:rPr>
        <w:t xml:space="preserve">f Expert Data </w:t>
      </w:r>
      <w:r w:rsidR="00F112F0">
        <w:rPr>
          <w:rFonts w:ascii="Times New Roman" w:hAnsi="Times New Roman" w:cs="Times New Roman"/>
          <w:color w:val="000000"/>
          <w:sz w:val="22"/>
          <w:szCs w:val="22"/>
        </w:rPr>
        <w:t>i</w:t>
      </w:r>
      <w:r w:rsidR="00F112F0" w:rsidRPr="00404C5A">
        <w:rPr>
          <w:rFonts w:ascii="Times New Roman" w:hAnsi="Times New Roman" w:cs="Times New Roman"/>
          <w:color w:val="000000"/>
          <w:sz w:val="22"/>
          <w:szCs w:val="22"/>
        </w:rPr>
        <w:t xml:space="preserve">n Human Resource Planning: Guidelines </w:t>
      </w:r>
      <w:r w:rsidR="00F112F0">
        <w:rPr>
          <w:rFonts w:ascii="Times New Roman" w:hAnsi="Times New Roman" w:cs="Times New Roman"/>
          <w:color w:val="000000"/>
          <w:sz w:val="22"/>
          <w:szCs w:val="22"/>
        </w:rPr>
        <w:t>f</w:t>
      </w:r>
      <w:r w:rsidR="00F112F0" w:rsidRPr="00404C5A">
        <w:rPr>
          <w:rFonts w:ascii="Times New Roman" w:hAnsi="Times New Roman" w:cs="Times New Roman"/>
          <w:color w:val="000000"/>
          <w:sz w:val="22"/>
          <w:szCs w:val="22"/>
        </w:rPr>
        <w:t>rom Strategic Forec</w:t>
      </w:r>
      <w:r w:rsidRPr="00404C5A">
        <w:rPr>
          <w:rFonts w:ascii="Times New Roman" w:hAnsi="Times New Roman" w:cs="Times New Roman"/>
          <w:color w:val="000000"/>
          <w:sz w:val="22"/>
          <w:szCs w:val="22"/>
        </w:rPr>
        <w:t xml:space="preserve">asting’, </w:t>
      </w:r>
      <w:r w:rsidRPr="00404C5A">
        <w:rPr>
          <w:rFonts w:ascii="Times New Roman" w:hAnsi="Times New Roman" w:cs="Times New Roman"/>
          <w:i/>
          <w:color w:val="000000"/>
          <w:sz w:val="22"/>
          <w:szCs w:val="22"/>
        </w:rPr>
        <w:t>Human Resource Planning</w:t>
      </w:r>
      <w:r w:rsidRPr="001B6F83">
        <w:rPr>
          <w:rFonts w:ascii="Times New Roman" w:hAnsi="Times New Roman" w:cs="Times New Roman"/>
          <w:color w:val="000000"/>
          <w:sz w:val="22"/>
          <w:szCs w:val="22"/>
        </w:rPr>
        <w:t xml:space="preserve">, </w:t>
      </w:r>
      <w:r w:rsidRPr="00404C5A">
        <w:rPr>
          <w:rFonts w:ascii="Times New Roman" w:hAnsi="Times New Roman" w:cs="Times New Roman"/>
          <w:color w:val="000000"/>
          <w:sz w:val="22"/>
          <w:szCs w:val="22"/>
        </w:rPr>
        <w:t>5</w:t>
      </w:r>
      <w:r w:rsidR="0078482D">
        <w:rPr>
          <w:rFonts w:ascii="Times New Roman" w:hAnsi="Times New Roman" w:cs="Times New Roman"/>
          <w:color w:val="000000"/>
          <w:sz w:val="22"/>
          <w:szCs w:val="22"/>
        </w:rPr>
        <w:t xml:space="preserve"> </w:t>
      </w:r>
      <w:r w:rsidRPr="00404C5A">
        <w:rPr>
          <w:rFonts w:ascii="Times New Roman" w:hAnsi="Times New Roman" w:cs="Times New Roman"/>
          <w:color w:val="000000"/>
          <w:sz w:val="22"/>
          <w:szCs w:val="22"/>
        </w:rPr>
        <w:t>(1), 83</w:t>
      </w:r>
      <w:r w:rsidR="00F112F0">
        <w:rPr>
          <w:rFonts w:ascii="Times New Roman" w:hAnsi="Times New Roman" w:cs="Times New Roman"/>
          <w:color w:val="000000"/>
          <w:sz w:val="22"/>
          <w:szCs w:val="22"/>
        </w:rPr>
        <w:t>‒</w:t>
      </w:r>
      <w:r w:rsidRPr="00404C5A">
        <w:rPr>
          <w:rFonts w:ascii="Times New Roman" w:hAnsi="Times New Roman" w:cs="Times New Roman"/>
          <w:color w:val="000000"/>
          <w:sz w:val="22"/>
          <w:szCs w:val="22"/>
        </w:rPr>
        <w:t>94.</w:t>
      </w:r>
    </w:p>
  </w:endnote>
  <w:endnote w:id="65">
    <w:p w14:paraId="7692F19D" w14:textId="279D33B7"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Goodman, C</w:t>
      </w:r>
      <w:r>
        <w:rPr>
          <w:rFonts w:ascii="Times New Roman" w:hAnsi="Times New Roman" w:cs="Times New Roman"/>
          <w:sz w:val="22"/>
          <w:szCs w:val="22"/>
        </w:rPr>
        <w:t>.</w:t>
      </w:r>
      <w:r w:rsidRPr="00404C5A">
        <w:rPr>
          <w:rFonts w:ascii="Times New Roman" w:hAnsi="Times New Roman" w:cs="Times New Roman"/>
          <w:sz w:val="22"/>
          <w:szCs w:val="22"/>
        </w:rPr>
        <w:t>M</w:t>
      </w:r>
      <w:r>
        <w:rPr>
          <w:rFonts w:ascii="Times New Roman" w:hAnsi="Times New Roman" w:cs="Times New Roman"/>
          <w:sz w:val="22"/>
          <w:szCs w:val="22"/>
        </w:rPr>
        <w:t xml:space="preserve">. (1987), </w:t>
      </w:r>
      <w:r w:rsidRPr="00404C5A">
        <w:rPr>
          <w:rFonts w:ascii="Times New Roman" w:hAnsi="Times New Roman" w:cs="Times New Roman"/>
          <w:sz w:val="22"/>
          <w:szCs w:val="22"/>
        </w:rPr>
        <w:t xml:space="preserve">‘The Delphi </w:t>
      </w:r>
      <w:r w:rsidR="00F112F0" w:rsidRPr="00404C5A">
        <w:rPr>
          <w:rFonts w:ascii="Times New Roman" w:hAnsi="Times New Roman" w:cs="Times New Roman"/>
          <w:sz w:val="22"/>
          <w:szCs w:val="22"/>
        </w:rPr>
        <w:t>Technique: A Critique’</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Journal of Advanced Nursing</w:t>
      </w:r>
      <w:r w:rsidRPr="00404C5A">
        <w:rPr>
          <w:rFonts w:ascii="Times New Roman" w:hAnsi="Times New Roman" w:cs="Times New Roman"/>
          <w:sz w:val="22"/>
          <w:szCs w:val="22"/>
        </w:rPr>
        <w:t xml:space="preserve">, </w:t>
      </w:r>
      <w:r>
        <w:rPr>
          <w:rFonts w:ascii="Times New Roman" w:hAnsi="Times New Roman" w:cs="Times New Roman"/>
          <w:sz w:val="22"/>
          <w:szCs w:val="22"/>
        </w:rPr>
        <w:t>12, 729</w:t>
      </w:r>
      <w:r w:rsidR="00F112F0">
        <w:rPr>
          <w:rFonts w:ascii="Times New Roman" w:hAnsi="Times New Roman" w:cs="Times New Roman"/>
          <w:sz w:val="22"/>
          <w:szCs w:val="22"/>
        </w:rPr>
        <w:t>‒</w:t>
      </w:r>
      <w:r>
        <w:rPr>
          <w:rFonts w:ascii="Times New Roman" w:hAnsi="Times New Roman" w:cs="Times New Roman"/>
          <w:sz w:val="22"/>
          <w:szCs w:val="22"/>
        </w:rPr>
        <w:t xml:space="preserve">734; </w:t>
      </w:r>
      <w:r w:rsidRPr="00404C5A">
        <w:rPr>
          <w:rFonts w:ascii="Times New Roman" w:hAnsi="Times New Roman" w:cs="Times New Roman"/>
          <w:sz w:val="22"/>
          <w:szCs w:val="22"/>
        </w:rPr>
        <w:t xml:space="preserve">Snyder-Halpern, </w:t>
      </w:r>
      <w:r>
        <w:rPr>
          <w:rFonts w:ascii="Times New Roman" w:hAnsi="Times New Roman" w:cs="Times New Roman"/>
          <w:sz w:val="22"/>
          <w:szCs w:val="22"/>
        </w:rPr>
        <w:t xml:space="preserve">R. (2002), </w:t>
      </w:r>
      <w:r w:rsidRPr="00404C5A">
        <w:rPr>
          <w:rFonts w:ascii="Times New Roman" w:hAnsi="Times New Roman" w:cs="Times New Roman"/>
          <w:sz w:val="22"/>
          <w:szCs w:val="22"/>
        </w:rPr>
        <w:t xml:space="preserve">‘Indicators of </w:t>
      </w:r>
      <w:r w:rsidR="00F112F0" w:rsidRPr="00404C5A">
        <w:rPr>
          <w:rFonts w:ascii="Times New Roman" w:hAnsi="Times New Roman" w:cs="Times New Roman"/>
          <w:sz w:val="22"/>
          <w:szCs w:val="22"/>
        </w:rPr>
        <w:t xml:space="preserve">Organizational Readiness </w:t>
      </w:r>
      <w:r w:rsidR="00F112F0">
        <w:rPr>
          <w:rFonts w:ascii="Times New Roman" w:hAnsi="Times New Roman" w:cs="Times New Roman"/>
          <w:sz w:val="22"/>
          <w:szCs w:val="22"/>
        </w:rPr>
        <w:t>f</w:t>
      </w:r>
      <w:r w:rsidR="00F112F0" w:rsidRPr="00404C5A">
        <w:rPr>
          <w:rFonts w:ascii="Times New Roman" w:hAnsi="Times New Roman" w:cs="Times New Roman"/>
          <w:sz w:val="22"/>
          <w:szCs w:val="22"/>
        </w:rPr>
        <w:t xml:space="preserve">or Clinical Information Technology/Systems Innovation: A </w:t>
      </w:r>
      <w:r w:rsidRPr="00404C5A">
        <w:rPr>
          <w:rFonts w:ascii="Times New Roman" w:hAnsi="Times New Roman" w:cs="Times New Roman"/>
          <w:sz w:val="22"/>
          <w:szCs w:val="22"/>
        </w:rPr>
        <w:t xml:space="preserve">Delphi </w:t>
      </w:r>
      <w:r w:rsidR="00F112F0" w:rsidRPr="00404C5A">
        <w:rPr>
          <w:rFonts w:ascii="Times New Roman" w:hAnsi="Times New Roman" w:cs="Times New Roman"/>
          <w:sz w:val="22"/>
          <w:szCs w:val="22"/>
        </w:rPr>
        <w:t>St</w:t>
      </w:r>
      <w:r w:rsidRPr="00404C5A">
        <w:rPr>
          <w:rFonts w:ascii="Times New Roman" w:hAnsi="Times New Roman" w:cs="Times New Roman"/>
          <w:sz w:val="22"/>
          <w:szCs w:val="22"/>
        </w:rPr>
        <w:t xml:space="preserve">udy’, </w:t>
      </w:r>
      <w:r w:rsidRPr="001B6F83">
        <w:rPr>
          <w:rFonts w:ascii="Times New Roman" w:hAnsi="Times New Roman" w:cs="Times New Roman"/>
          <w:i/>
          <w:sz w:val="22"/>
          <w:szCs w:val="22"/>
        </w:rPr>
        <w:t xml:space="preserve">International </w:t>
      </w:r>
      <w:r w:rsidRPr="00404C5A">
        <w:rPr>
          <w:rFonts w:ascii="Times New Roman" w:hAnsi="Times New Roman" w:cs="Times New Roman"/>
          <w:i/>
          <w:sz w:val="22"/>
          <w:szCs w:val="22"/>
        </w:rPr>
        <w:t>Journal of Medical Informatics</w:t>
      </w:r>
      <w:r w:rsidRPr="001B6F83">
        <w:rPr>
          <w:rFonts w:ascii="Times New Roman" w:hAnsi="Times New Roman" w:cs="Times New Roman"/>
          <w:sz w:val="22"/>
          <w:szCs w:val="22"/>
        </w:rPr>
        <w:t>,</w:t>
      </w:r>
      <w:r w:rsidRPr="00404C5A">
        <w:rPr>
          <w:rFonts w:ascii="Times New Roman" w:hAnsi="Times New Roman" w:cs="Times New Roman"/>
          <w:sz w:val="22"/>
          <w:szCs w:val="22"/>
        </w:rPr>
        <w:t xml:space="preserve"> 63, 179</w:t>
      </w:r>
      <w:r w:rsidR="00F112F0">
        <w:rPr>
          <w:rFonts w:ascii="Times New Roman" w:hAnsi="Times New Roman" w:cs="Times New Roman"/>
          <w:sz w:val="22"/>
          <w:szCs w:val="22"/>
        </w:rPr>
        <w:t>‒</w:t>
      </w:r>
      <w:r w:rsidRPr="00404C5A">
        <w:rPr>
          <w:rFonts w:ascii="Times New Roman" w:hAnsi="Times New Roman" w:cs="Times New Roman"/>
          <w:sz w:val="22"/>
          <w:szCs w:val="22"/>
        </w:rPr>
        <w:t>204.</w:t>
      </w:r>
    </w:p>
  </w:endnote>
  <w:endnote w:id="66">
    <w:p w14:paraId="7E4BFB95" w14:textId="2E8DD7E6" w:rsidR="008B6C58" w:rsidRPr="00404C5A" w:rsidRDefault="008B6C58" w:rsidP="00404C5A">
      <w:pPr>
        <w:pStyle w:val="EndnoteText"/>
        <w:spacing w:line="480" w:lineRule="auto"/>
        <w:rPr>
          <w:rFonts w:ascii="Times New Roman" w:hAnsi="Times New Roman" w:cs="Times New Roman"/>
          <w:sz w:val="22"/>
          <w:szCs w:val="22"/>
        </w:rPr>
      </w:pPr>
      <w:r w:rsidRPr="00404C5A">
        <w:rPr>
          <w:rStyle w:val="EndnoteReference"/>
          <w:rFonts w:ascii="Times New Roman" w:hAnsi="Times New Roman" w:cs="Times New Roman"/>
          <w:sz w:val="22"/>
          <w:szCs w:val="22"/>
        </w:rPr>
        <w:endnoteRef/>
      </w:r>
      <w:r w:rsidRPr="00404C5A">
        <w:rPr>
          <w:rFonts w:ascii="Times New Roman" w:hAnsi="Times New Roman" w:cs="Times New Roman"/>
          <w:sz w:val="22"/>
          <w:szCs w:val="22"/>
        </w:rPr>
        <w:t xml:space="preserve"> Linstone</w:t>
      </w:r>
      <w:r>
        <w:rPr>
          <w:rFonts w:ascii="Times New Roman" w:hAnsi="Times New Roman" w:cs="Times New Roman"/>
          <w:sz w:val="22"/>
          <w:szCs w:val="22"/>
        </w:rPr>
        <w:t xml:space="preserve">, </w:t>
      </w:r>
      <w:r w:rsidRPr="00404C5A">
        <w:rPr>
          <w:rFonts w:ascii="Times New Roman" w:hAnsi="Times New Roman" w:cs="Times New Roman"/>
          <w:sz w:val="22"/>
          <w:szCs w:val="22"/>
        </w:rPr>
        <w:t>H</w:t>
      </w:r>
      <w:r>
        <w:rPr>
          <w:rFonts w:ascii="Times New Roman" w:hAnsi="Times New Roman" w:cs="Times New Roman"/>
          <w:sz w:val="22"/>
          <w:szCs w:val="22"/>
        </w:rPr>
        <w:t>.</w:t>
      </w:r>
      <w:r w:rsidRPr="00404C5A">
        <w:rPr>
          <w:rFonts w:ascii="Times New Roman" w:hAnsi="Times New Roman" w:cs="Times New Roman"/>
          <w:sz w:val="22"/>
          <w:szCs w:val="22"/>
        </w:rPr>
        <w:t>A</w:t>
      </w:r>
      <w:r>
        <w:rPr>
          <w:rFonts w:ascii="Times New Roman" w:hAnsi="Times New Roman" w:cs="Times New Roman"/>
          <w:sz w:val="22"/>
          <w:szCs w:val="22"/>
        </w:rPr>
        <w:t>.</w:t>
      </w:r>
      <w:r w:rsidRPr="00404C5A">
        <w:rPr>
          <w:rFonts w:ascii="Times New Roman" w:hAnsi="Times New Roman" w:cs="Times New Roman"/>
          <w:sz w:val="22"/>
          <w:szCs w:val="22"/>
        </w:rPr>
        <w:t xml:space="preserve"> and M</w:t>
      </w:r>
      <w:r>
        <w:rPr>
          <w:rFonts w:ascii="Times New Roman" w:hAnsi="Times New Roman" w:cs="Times New Roman"/>
          <w:sz w:val="22"/>
          <w:szCs w:val="22"/>
        </w:rPr>
        <w:t>.</w:t>
      </w:r>
      <w:r w:rsidRPr="00404C5A">
        <w:rPr>
          <w:rFonts w:ascii="Times New Roman" w:hAnsi="Times New Roman" w:cs="Times New Roman"/>
          <w:sz w:val="22"/>
          <w:szCs w:val="22"/>
        </w:rPr>
        <w:t xml:space="preserve"> </w:t>
      </w:r>
      <w:proofErr w:type="spellStart"/>
      <w:r w:rsidRPr="00404C5A">
        <w:rPr>
          <w:rFonts w:ascii="Times New Roman" w:hAnsi="Times New Roman" w:cs="Times New Roman"/>
          <w:sz w:val="22"/>
          <w:szCs w:val="22"/>
        </w:rPr>
        <w:t>Turoff</w:t>
      </w:r>
      <w:proofErr w:type="spellEnd"/>
      <w:r>
        <w:rPr>
          <w:rFonts w:ascii="Times New Roman" w:hAnsi="Times New Roman" w:cs="Times New Roman"/>
          <w:sz w:val="22"/>
          <w:szCs w:val="22"/>
        </w:rPr>
        <w:t xml:space="preserve"> (1975),</w:t>
      </w:r>
      <w:r w:rsidRPr="00404C5A">
        <w:rPr>
          <w:rFonts w:ascii="Times New Roman" w:hAnsi="Times New Roman" w:cs="Times New Roman"/>
          <w:sz w:val="22"/>
          <w:szCs w:val="22"/>
        </w:rPr>
        <w:t xml:space="preserve"> </w:t>
      </w:r>
      <w:r w:rsidRPr="00404C5A">
        <w:rPr>
          <w:rFonts w:ascii="Times New Roman" w:hAnsi="Times New Roman" w:cs="Times New Roman"/>
          <w:i/>
          <w:sz w:val="22"/>
          <w:szCs w:val="22"/>
        </w:rPr>
        <w:t>The Delphi Method Techniques and Applications</w:t>
      </w:r>
      <w:r>
        <w:rPr>
          <w:rFonts w:ascii="Times New Roman" w:hAnsi="Times New Roman" w:cs="Times New Roman"/>
          <w:sz w:val="22"/>
          <w:szCs w:val="22"/>
        </w:rPr>
        <w:t>, Reading: Addison-Wesley</w:t>
      </w:r>
      <w:r w:rsidRPr="00404C5A">
        <w:rPr>
          <w:rFonts w:ascii="Times New Roman" w:hAnsi="Times New Roman" w:cs="Times New Roman"/>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D1B0C" w14:textId="77777777" w:rsidR="008B6C58" w:rsidRDefault="008B6C58">
    <w:pPr>
      <w:pStyle w:val="Footer"/>
      <w:jc w:val="right"/>
    </w:pPr>
  </w:p>
  <w:p w14:paraId="78B37C77" w14:textId="77777777" w:rsidR="008B6C58" w:rsidRDefault="008B6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F1FCC" w14:textId="77777777" w:rsidR="00262900" w:rsidRDefault="00262900" w:rsidP="00F26419">
      <w:pPr>
        <w:spacing w:after="0" w:line="240" w:lineRule="auto"/>
      </w:pPr>
      <w:r>
        <w:separator/>
      </w:r>
    </w:p>
  </w:footnote>
  <w:footnote w:type="continuationSeparator" w:id="0">
    <w:p w14:paraId="14FDDB98" w14:textId="77777777" w:rsidR="00262900" w:rsidRDefault="00262900" w:rsidP="00F26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5D255" w14:textId="541A0597" w:rsidR="008B6C58" w:rsidRDefault="008B6C58">
    <w:pPr>
      <w:pStyle w:val="Header"/>
      <w:jc w:val="right"/>
    </w:pPr>
  </w:p>
  <w:p w14:paraId="1FA30330" w14:textId="77777777" w:rsidR="008B6C58" w:rsidRDefault="008B6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BAE"/>
    <w:multiLevelType w:val="hybridMultilevel"/>
    <w:tmpl w:val="93E675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1C04D6"/>
    <w:multiLevelType w:val="hybridMultilevel"/>
    <w:tmpl w:val="E6641D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FE2CAE"/>
    <w:multiLevelType w:val="hybridMultilevel"/>
    <w:tmpl w:val="47C01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162C43"/>
    <w:multiLevelType w:val="hybridMultilevel"/>
    <w:tmpl w:val="461AB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E57733"/>
    <w:multiLevelType w:val="hybridMultilevel"/>
    <w:tmpl w:val="91C4A18A"/>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5C84CCA"/>
    <w:multiLevelType w:val="hybridMultilevel"/>
    <w:tmpl w:val="8BFE39E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F03214"/>
    <w:multiLevelType w:val="hybridMultilevel"/>
    <w:tmpl w:val="58725E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194F58"/>
    <w:multiLevelType w:val="hybridMultilevel"/>
    <w:tmpl w:val="FD02E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0B10D8"/>
    <w:multiLevelType w:val="hybridMultilevel"/>
    <w:tmpl w:val="E82EB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EA2C0C"/>
    <w:multiLevelType w:val="hybridMultilevel"/>
    <w:tmpl w:val="EAFEA0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E4E279D"/>
    <w:multiLevelType w:val="hybridMultilevel"/>
    <w:tmpl w:val="81C02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6B20F12"/>
    <w:multiLevelType w:val="hybridMultilevel"/>
    <w:tmpl w:val="4CEECBF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3AB3ECC"/>
    <w:multiLevelType w:val="hybridMultilevel"/>
    <w:tmpl w:val="91420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F67BA0"/>
    <w:multiLevelType w:val="hybridMultilevel"/>
    <w:tmpl w:val="ED1E38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9237898"/>
    <w:multiLevelType w:val="hybridMultilevel"/>
    <w:tmpl w:val="2A80B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CF103F"/>
    <w:multiLevelType w:val="hybridMultilevel"/>
    <w:tmpl w:val="F35802AC"/>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1020B93"/>
    <w:multiLevelType w:val="hybridMultilevel"/>
    <w:tmpl w:val="8A101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8306F4"/>
    <w:multiLevelType w:val="hybridMultilevel"/>
    <w:tmpl w:val="DA9E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D47F1A"/>
    <w:multiLevelType w:val="hybridMultilevel"/>
    <w:tmpl w:val="4CEECBF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B7E4512"/>
    <w:multiLevelType w:val="hybridMultilevel"/>
    <w:tmpl w:val="164CC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E14F3A"/>
    <w:multiLevelType w:val="hybridMultilevel"/>
    <w:tmpl w:val="461AB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C30918"/>
    <w:multiLevelType w:val="hybridMultilevel"/>
    <w:tmpl w:val="9B8A7CE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AE42E4"/>
    <w:multiLevelType w:val="hybridMultilevel"/>
    <w:tmpl w:val="2D9E88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CF82A00"/>
    <w:multiLevelType w:val="hybridMultilevel"/>
    <w:tmpl w:val="027CAE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EF50AA6"/>
    <w:multiLevelType w:val="hybridMultilevel"/>
    <w:tmpl w:val="461AB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170B3F"/>
    <w:multiLevelType w:val="hybridMultilevel"/>
    <w:tmpl w:val="59C6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E87CD4"/>
    <w:multiLevelType w:val="hybridMultilevel"/>
    <w:tmpl w:val="FD02E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3A4317D"/>
    <w:multiLevelType w:val="multilevel"/>
    <w:tmpl w:val="0C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7496733F"/>
    <w:multiLevelType w:val="hybridMultilevel"/>
    <w:tmpl w:val="1EE6C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5DE178D"/>
    <w:multiLevelType w:val="hybridMultilevel"/>
    <w:tmpl w:val="590A6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70E3176"/>
    <w:multiLevelType w:val="hybridMultilevel"/>
    <w:tmpl w:val="461AB9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B245DEC"/>
    <w:multiLevelType w:val="hybridMultilevel"/>
    <w:tmpl w:val="FED4AB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B4278B3"/>
    <w:multiLevelType w:val="multilevel"/>
    <w:tmpl w:val="4BCAD86A"/>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7E025940"/>
    <w:multiLevelType w:val="multilevel"/>
    <w:tmpl w:val="8F08C544"/>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3"/>
  </w:num>
  <w:num w:numId="3">
    <w:abstractNumId w:val="20"/>
  </w:num>
  <w:num w:numId="4">
    <w:abstractNumId w:val="30"/>
  </w:num>
  <w:num w:numId="5">
    <w:abstractNumId w:val="24"/>
  </w:num>
  <w:num w:numId="6">
    <w:abstractNumId w:val="25"/>
  </w:num>
  <w:num w:numId="7">
    <w:abstractNumId w:val="10"/>
  </w:num>
  <w:num w:numId="8">
    <w:abstractNumId w:val="6"/>
  </w:num>
  <w:num w:numId="9">
    <w:abstractNumId w:val="2"/>
  </w:num>
  <w:num w:numId="10">
    <w:abstractNumId w:val="17"/>
  </w:num>
  <w:num w:numId="11">
    <w:abstractNumId w:val="0"/>
  </w:num>
  <w:num w:numId="12">
    <w:abstractNumId w:val="33"/>
  </w:num>
  <w:num w:numId="13">
    <w:abstractNumId w:val="33"/>
  </w:num>
  <w:num w:numId="14">
    <w:abstractNumId w:val="1"/>
  </w:num>
  <w:num w:numId="15">
    <w:abstractNumId w:val="26"/>
  </w:num>
  <w:num w:numId="16">
    <w:abstractNumId w:val="7"/>
  </w:num>
  <w:num w:numId="17">
    <w:abstractNumId w:val="28"/>
  </w:num>
  <w:num w:numId="18">
    <w:abstractNumId w:val="29"/>
  </w:num>
  <w:num w:numId="19">
    <w:abstractNumId w:val="16"/>
  </w:num>
  <w:num w:numId="20">
    <w:abstractNumId w:val="13"/>
  </w:num>
  <w:num w:numId="21">
    <w:abstractNumId w:val="31"/>
  </w:num>
  <w:num w:numId="22">
    <w:abstractNumId w:val="32"/>
  </w:num>
  <w:num w:numId="23">
    <w:abstractNumId w:val="19"/>
  </w:num>
  <w:num w:numId="24">
    <w:abstractNumId w:val="8"/>
  </w:num>
  <w:num w:numId="25">
    <w:abstractNumId w:val="9"/>
  </w:num>
  <w:num w:numId="26">
    <w:abstractNumId w:val="23"/>
  </w:num>
  <w:num w:numId="27">
    <w:abstractNumId w:val="4"/>
  </w:num>
  <w:num w:numId="28">
    <w:abstractNumId w:val="5"/>
  </w:num>
  <w:num w:numId="29">
    <w:abstractNumId w:val="15"/>
  </w:num>
  <w:num w:numId="30">
    <w:abstractNumId w:val="21"/>
  </w:num>
  <w:num w:numId="31">
    <w:abstractNumId w:val="27"/>
  </w:num>
  <w:num w:numId="32">
    <w:abstractNumId w:val="22"/>
  </w:num>
  <w:num w:numId="33">
    <w:abstractNumId w:val="11"/>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25"/>
    <w:rsid w:val="00002FB8"/>
    <w:rsid w:val="00004302"/>
    <w:rsid w:val="000077D0"/>
    <w:rsid w:val="0000789E"/>
    <w:rsid w:val="000079BF"/>
    <w:rsid w:val="00012898"/>
    <w:rsid w:val="00012ED8"/>
    <w:rsid w:val="00014B23"/>
    <w:rsid w:val="00015BA8"/>
    <w:rsid w:val="00015F78"/>
    <w:rsid w:val="00017A3F"/>
    <w:rsid w:val="00017EF6"/>
    <w:rsid w:val="00022785"/>
    <w:rsid w:val="0002335A"/>
    <w:rsid w:val="00023C23"/>
    <w:rsid w:val="0002586A"/>
    <w:rsid w:val="00026145"/>
    <w:rsid w:val="0003378A"/>
    <w:rsid w:val="00033959"/>
    <w:rsid w:val="000371A7"/>
    <w:rsid w:val="000371E1"/>
    <w:rsid w:val="00037554"/>
    <w:rsid w:val="00037B62"/>
    <w:rsid w:val="000415CB"/>
    <w:rsid w:val="00042DC2"/>
    <w:rsid w:val="00044D63"/>
    <w:rsid w:val="00045CC2"/>
    <w:rsid w:val="00046CC5"/>
    <w:rsid w:val="000472A4"/>
    <w:rsid w:val="00050ED8"/>
    <w:rsid w:val="00051776"/>
    <w:rsid w:val="0005248D"/>
    <w:rsid w:val="00054831"/>
    <w:rsid w:val="00054DB1"/>
    <w:rsid w:val="000561C1"/>
    <w:rsid w:val="00056931"/>
    <w:rsid w:val="000577DB"/>
    <w:rsid w:val="00061C5E"/>
    <w:rsid w:val="00062B03"/>
    <w:rsid w:val="00065B41"/>
    <w:rsid w:val="00066347"/>
    <w:rsid w:val="00066732"/>
    <w:rsid w:val="000674EB"/>
    <w:rsid w:val="00067936"/>
    <w:rsid w:val="00073C04"/>
    <w:rsid w:val="00076190"/>
    <w:rsid w:val="00076DBF"/>
    <w:rsid w:val="00082480"/>
    <w:rsid w:val="0008286F"/>
    <w:rsid w:val="000867CC"/>
    <w:rsid w:val="00086DD5"/>
    <w:rsid w:val="00086FDF"/>
    <w:rsid w:val="00087140"/>
    <w:rsid w:val="000913F9"/>
    <w:rsid w:val="000925EE"/>
    <w:rsid w:val="000934C8"/>
    <w:rsid w:val="00094644"/>
    <w:rsid w:val="00094A74"/>
    <w:rsid w:val="00097AD7"/>
    <w:rsid w:val="000A08A7"/>
    <w:rsid w:val="000A0BC0"/>
    <w:rsid w:val="000A0BEF"/>
    <w:rsid w:val="000A1654"/>
    <w:rsid w:val="000A1D15"/>
    <w:rsid w:val="000A2B49"/>
    <w:rsid w:val="000A7C5A"/>
    <w:rsid w:val="000B7532"/>
    <w:rsid w:val="000C0C3F"/>
    <w:rsid w:val="000C2488"/>
    <w:rsid w:val="000C2623"/>
    <w:rsid w:val="000C6A3D"/>
    <w:rsid w:val="000D216B"/>
    <w:rsid w:val="000D2E8F"/>
    <w:rsid w:val="000D38D0"/>
    <w:rsid w:val="000D4882"/>
    <w:rsid w:val="000D7CBB"/>
    <w:rsid w:val="000E00B3"/>
    <w:rsid w:val="000E55A3"/>
    <w:rsid w:val="000F0866"/>
    <w:rsid w:val="000F0A22"/>
    <w:rsid w:val="000F0DBF"/>
    <w:rsid w:val="000F0E2B"/>
    <w:rsid w:val="000F1491"/>
    <w:rsid w:val="000F77BB"/>
    <w:rsid w:val="00100F20"/>
    <w:rsid w:val="00102969"/>
    <w:rsid w:val="001048F7"/>
    <w:rsid w:val="001049FC"/>
    <w:rsid w:val="001058BA"/>
    <w:rsid w:val="00105CF6"/>
    <w:rsid w:val="0011050D"/>
    <w:rsid w:val="00111F85"/>
    <w:rsid w:val="00112509"/>
    <w:rsid w:val="00114E76"/>
    <w:rsid w:val="00115678"/>
    <w:rsid w:val="00117124"/>
    <w:rsid w:val="00120EE3"/>
    <w:rsid w:val="00121DAF"/>
    <w:rsid w:val="00122443"/>
    <w:rsid w:val="001258B5"/>
    <w:rsid w:val="00125F63"/>
    <w:rsid w:val="00127A0C"/>
    <w:rsid w:val="001312CF"/>
    <w:rsid w:val="00131FD3"/>
    <w:rsid w:val="00134652"/>
    <w:rsid w:val="00134B4D"/>
    <w:rsid w:val="00135ACA"/>
    <w:rsid w:val="0013629C"/>
    <w:rsid w:val="001409B8"/>
    <w:rsid w:val="001461FE"/>
    <w:rsid w:val="00154CC4"/>
    <w:rsid w:val="00154DF4"/>
    <w:rsid w:val="00155FA9"/>
    <w:rsid w:val="00156F2C"/>
    <w:rsid w:val="00160D0C"/>
    <w:rsid w:val="00162620"/>
    <w:rsid w:val="00162789"/>
    <w:rsid w:val="00164732"/>
    <w:rsid w:val="00164D54"/>
    <w:rsid w:val="001652F8"/>
    <w:rsid w:val="00166BF9"/>
    <w:rsid w:val="00167ED9"/>
    <w:rsid w:val="00170860"/>
    <w:rsid w:val="00175582"/>
    <w:rsid w:val="00175742"/>
    <w:rsid w:val="00175F7D"/>
    <w:rsid w:val="00180DF1"/>
    <w:rsid w:val="00190B40"/>
    <w:rsid w:val="00191E2C"/>
    <w:rsid w:val="0019517A"/>
    <w:rsid w:val="001964A9"/>
    <w:rsid w:val="001A2301"/>
    <w:rsid w:val="001A5093"/>
    <w:rsid w:val="001A7109"/>
    <w:rsid w:val="001B08AE"/>
    <w:rsid w:val="001B12AE"/>
    <w:rsid w:val="001B4040"/>
    <w:rsid w:val="001B5A10"/>
    <w:rsid w:val="001B69B4"/>
    <w:rsid w:val="001B6F83"/>
    <w:rsid w:val="001B780A"/>
    <w:rsid w:val="001C133A"/>
    <w:rsid w:val="001C2517"/>
    <w:rsid w:val="001C5226"/>
    <w:rsid w:val="001C6AEA"/>
    <w:rsid w:val="001D0904"/>
    <w:rsid w:val="001E0287"/>
    <w:rsid w:val="001E07CE"/>
    <w:rsid w:val="001E1205"/>
    <w:rsid w:val="001E2053"/>
    <w:rsid w:val="001E4DA4"/>
    <w:rsid w:val="001E517D"/>
    <w:rsid w:val="001E56F5"/>
    <w:rsid w:val="001F1B9A"/>
    <w:rsid w:val="001F50D5"/>
    <w:rsid w:val="001F5230"/>
    <w:rsid w:val="001F6F39"/>
    <w:rsid w:val="00202931"/>
    <w:rsid w:val="00203BA1"/>
    <w:rsid w:val="00205F36"/>
    <w:rsid w:val="00207021"/>
    <w:rsid w:val="0020767F"/>
    <w:rsid w:val="0021000A"/>
    <w:rsid w:val="002133B0"/>
    <w:rsid w:val="002162FD"/>
    <w:rsid w:val="0021637F"/>
    <w:rsid w:val="00216471"/>
    <w:rsid w:val="00220D52"/>
    <w:rsid w:val="00221AB5"/>
    <w:rsid w:val="002241AE"/>
    <w:rsid w:val="00224EB3"/>
    <w:rsid w:val="002270C6"/>
    <w:rsid w:val="002305AB"/>
    <w:rsid w:val="00230F89"/>
    <w:rsid w:val="002317BF"/>
    <w:rsid w:val="0023217D"/>
    <w:rsid w:val="00232572"/>
    <w:rsid w:val="002332A3"/>
    <w:rsid w:val="0023336B"/>
    <w:rsid w:val="002406E3"/>
    <w:rsid w:val="002412AC"/>
    <w:rsid w:val="00241C5F"/>
    <w:rsid w:val="00241E9A"/>
    <w:rsid w:val="00246ADF"/>
    <w:rsid w:val="00247B70"/>
    <w:rsid w:val="00251F5D"/>
    <w:rsid w:val="002549EA"/>
    <w:rsid w:val="00256E88"/>
    <w:rsid w:val="00260973"/>
    <w:rsid w:val="00260E44"/>
    <w:rsid w:val="00262900"/>
    <w:rsid w:val="00264318"/>
    <w:rsid w:val="0026442D"/>
    <w:rsid w:val="00264A2F"/>
    <w:rsid w:val="002656B0"/>
    <w:rsid w:val="002676FD"/>
    <w:rsid w:val="002702EB"/>
    <w:rsid w:val="00273CB5"/>
    <w:rsid w:val="00275057"/>
    <w:rsid w:val="00276150"/>
    <w:rsid w:val="00276F0F"/>
    <w:rsid w:val="00277426"/>
    <w:rsid w:val="0028049D"/>
    <w:rsid w:val="00280F73"/>
    <w:rsid w:val="002813CB"/>
    <w:rsid w:val="002815C2"/>
    <w:rsid w:val="00281DE8"/>
    <w:rsid w:val="00283358"/>
    <w:rsid w:val="00284042"/>
    <w:rsid w:val="002840D6"/>
    <w:rsid w:val="0028495A"/>
    <w:rsid w:val="00286669"/>
    <w:rsid w:val="00287B75"/>
    <w:rsid w:val="002905A8"/>
    <w:rsid w:val="0029086E"/>
    <w:rsid w:val="0029099D"/>
    <w:rsid w:val="00294B3A"/>
    <w:rsid w:val="00294CC8"/>
    <w:rsid w:val="00294DFF"/>
    <w:rsid w:val="00295688"/>
    <w:rsid w:val="00295A11"/>
    <w:rsid w:val="00295B05"/>
    <w:rsid w:val="002B1436"/>
    <w:rsid w:val="002B26C1"/>
    <w:rsid w:val="002B29F4"/>
    <w:rsid w:val="002B2BDC"/>
    <w:rsid w:val="002B3680"/>
    <w:rsid w:val="002B6DCC"/>
    <w:rsid w:val="002C3BE9"/>
    <w:rsid w:val="002C5226"/>
    <w:rsid w:val="002C641E"/>
    <w:rsid w:val="002D08C5"/>
    <w:rsid w:val="002D2FEA"/>
    <w:rsid w:val="002D343B"/>
    <w:rsid w:val="002D3611"/>
    <w:rsid w:val="002D49CB"/>
    <w:rsid w:val="002D6AF9"/>
    <w:rsid w:val="002D7248"/>
    <w:rsid w:val="002D7AE0"/>
    <w:rsid w:val="002E1C3D"/>
    <w:rsid w:val="002E4AE7"/>
    <w:rsid w:val="002E5E45"/>
    <w:rsid w:val="002E6A79"/>
    <w:rsid w:val="002E7078"/>
    <w:rsid w:val="002F0E38"/>
    <w:rsid w:val="002F3B8A"/>
    <w:rsid w:val="002F46B5"/>
    <w:rsid w:val="002F48EE"/>
    <w:rsid w:val="002F5D2B"/>
    <w:rsid w:val="002F6251"/>
    <w:rsid w:val="00301D96"/>
    <w:rsid w:val="00303F29"/>
    <w:rsid w:val="0030485C"/>
    <w:rsid w:val="00304A55"/>
    <w:rsid w:val="00306121"/>
    <w:rsid w:val="00306D04"/>
    <w:rsid w:val="003102FF"/>
    <w:rsid w:val="003109DB"/>
    <w:rsid w:val="00310D7D"/>
    <w:rsid w:val="00310ED3"/>
    <w:rsid w:val="003114EA"/>
    <w:rsid w:val="00311F79"/>
    <w:rsid w:val="00312CE1"/>
    <w:rsid w:val="0031519F"/>
    <w:rsid w:val="0031592D"/>
    <w:rsid w:val="003161EC"/>
    <w:rsid w:val="00320781"/>
    <w:rsid w:val="00324FD8"/>
    <w:rsid w:val="00325375"/>
    <w:rsid w:val="0032656E"/>
    <w:rsid w:val="003271B3"/>
    <w:rsid w:val="00327B6F"/>
    <w:rsid w:val="00330668"/>
    <w:rsid w:val="00340635"/>
    <w:rsid w:val="00343C6A"/>
    <w:rsid w:val="00343DD0"/>
    <w:rsid w:val="00350720"/>
    <w:rsid w:val="003516A3"/>
    <w:rsid w:val="00353413"/>
    <w:rsid w:val="003548A5"/>
    <w:rsid w:val="0035511A"/>
    <w:rsid w:val="003578B5"/>
    <w:rsid w:val="00362614"/>
    <w:rsid w:val="00364225"/>
    <w:rsid w:val="003665D9"/>
    <w:rsid w:val="003679D4"/>
    <w:rsid w:val="00372376"/>
    <w:rsid w:val="0037311F"/>
    <w:rsid w:val="003778FC"/>
    <w:rsid w:val="0038022A"/>
    <w:rsid w:val="003814CC"/>
    <w:rsid w:val="003827D7"/>
    <w:rsid w:val="00390A1B"/>
    <w:rsid w:val="00391003"/>
    <w:rsid w:val="003950EC"/>
    <w:rsid w:val="003951B5"/>
    <w:rsid w:val="003A25B1"/>
    <w:rsid w:val="003A4DBF"/>
    <w:rsid w:val="003A4E38"/>
    <w:rsid w:val="003B1461"/>
    <w:rsid w:val="003B46D8"/>
    <w:rsid w:val="003B77F3"/>
    <w:rsid w:val="003B7A2F"/>
    <w:rsid w:val="003C1654"/>
    <w:rsid w:val="003C2EC6"/>
    <w:rsid w:val="003C5514"/>
    <w:rsid w:val="003C62BA"/>
    <w:rsid w:val="003C63E5"/>
    <w:rsid w:val="003D0CBF"/>
    <w:rsid w:val="003D101F"/>
    <w:rsid w:val="003D4E72"/>
    <w:rsid w:val="003D7250"/>
    <w:rsid w:val="003D7886"/>
    <w:rsid w:val="003E15C9"/>
    <w:rsid w:val="003E40A5"/>
    <w:rsid w:val="003E4B12"/>
    <w:rsid w:val="003E55E0"/>
    <w:rsid w:val="003E6DEB"/>
    <w:rsid w:val="003E7B66"/>
    <w:rsid w:val="003F0550"/>
    <w:rsid w:val="003F1182"/>
    <w:rsid w:val="003F36BF"/>
    <w:rsid w:val="003F7CB1"/>
    <w:rsid w:val="004021E0"/>
    <w:rsid w:val="00403657"/>
    <w:rsid w:val="00404C5A"/>
    <w:rsid w:val="00404E13"/>
    <w:rsid w:val="004057F4"/>
    <w:rsid w:val="00405CCF"/>
    <w:rsid w:val="004060B7"/>
    <w:rsid w:val="0040649A"/>
    <w:rsid w:val="00412E16"/>
    <w:rsid w:val="00414574"/>
    <w:rsid w:val="00414CE8"/>
    <w:rsid w:val="00415C2E"/>
    <w:rsid w:val="00416007"/>
    <w:rsid w:val="00416A15"/>
    <w:rsid w:val="0042155A"/>
    <w:rsid w:val="00422281"/>
    <w:rsid w:val="00423DC9"/>
    <w:rsid w:val="00431544"/>
    <w:rsid w:val="004319FF"/>
    <w:rsid w:val="00434D94"/>
    <w:rsid w:val="00436078"/>
    <w:rsid w:val="00442217"/>
    <w:rsid w:val="00442361"/>
    <w:rsid w:val="0044280D"/>
    <w:rsid w:val="00444FE3"/>
    <w:rsid w:val="00447725"/>
    <w:rsid w:val="00450B2E"/>
    <w:rsid w:val="00451E84"/>
    <w:rsid w:val="004539C0"/>
    <w:rsid w:val="00460445"/>
    <w:rsid w:val="00460616"/>
    <w:rsid w:val="004606FE"/>
    <w:rsid w:val="0046165A"/>
    <w:rsid w:val="00461FC7"/>
    <w:rsid w:val="004620DE"/>
    <w:rsid w:val="004630F6"/>
    <w:rsid w:val="0046348B"/>
    <w:rsid w:val="00463B03"/>
    <w:rsid w:val="00464B6A"/>
    <w:rsid w:val="00466DB2"/>
    <w:rsid w:val="00467CEE"/>
    <w:rsid w:val="004713FC"/>
    <w:rsid w:val="004725CD"/>
    <w:rsid w:val="0047336C"/>
    <w:rsid w:val="00473DFD"/>
    <w:rsid w:val="00474E8B"/>
    <w:rsid w:val="004769FB"/>
    <w:rsid w:val="00482D94"/>
    <w:rsid w:val="00483FE2"/>
    <w:rsid w:val="00484CBA"/>
    <w:rsid w:val="00493C85"/>
    <w:rsid w:val="00494CF8"/>
    <w:rsid w:val="00494E2D"/>
    <w:rsid w:val="0049503B"/>
    <w:rsid w:val="004A31A4"/>
    <w:rsid w:val="004A3482"/>
    <w:rsid w:val="004A3AC5"/>
    <w:rsid w:val="004A4181"/>
    <w:rsid w:val="004A5010"/>
    <w:rsid w:val="004A6421"/>
    <w:rsid w:val="004A64B6"/>
    <w:rsid w:val="004A7529"/>
    <w:rsid w:val="004B2712"/>
    <w:rsid w:val="004B3A68"/>
    <w:rsid w:val="004B4F28"/>
    <w:rsid w:val="004B7E73"/>
    <w:rsid w:val="004C0C84"/>
    <w:rsid w:val="004C25F5"/>
    <w:rsid w:val="004C398D"/>
    <w:rsid w:val="004D3D3B"/>
    <w:rsid w:val="004D51F7"/>
    <w:rsid w:val="004D5C19"/>
    <w:rsid w:val="004D70C9"/>
    <w:rsid w:val="004D7E9B"/>
    <w:rsid w:val="004E2F5E"/>
    <w:rsid w:val="004E3EE8"/>
    <w:rsid w:val="004E51A7"/>
    <w:rsid w:val="004F014C"/>
    <w:rsid w:val="004F4D32"/>
    <w:rsid w:val="004F5CFC"/>
    <w:rsid w:val="004F5E60"/>
    <w:rsid w:val="004F5FC0"/>
    <w:rsid w:val="004F718E"/>
    <w:rsid w:val="00500527"/>
    <w:rsid w:val="005034BF"/>
    <w:rsid w:val="005076C0"/>
    <w:rsid w:val="00511430"/>
    <w:rsid w:val="00514058"/>
    <w:rsid w:val="00517C2A"/>
    <w:rsid w:val="005200E8"/>
    <w:rsid w:val="005206BE"/>
    <w:rsid w:val="00521ECE"/>
    <w:rsid w:val="005222E6"/>
    <w:rsid w:val="00523522"/>
    <w:rsid w:val="00524CEB"/>
    <w:rsid w:val="00524D72"/>
    <w:rsid w:val="0052645A"/>
    <w:rsid w:val="005272B4"/>
    <w:rsid w:val="00530A4B"/>
    <w:rsid w:val="00535FE0"/>
    <w:rsid w:val="005416FB"/>
    <w:rsid w:val="00544198"/>
    <w:rsid w:val="00546A5C"/>
    <w:rsid w:val="00552917"/>
    <w:rsid w:val="0056200E"/>
    <w:rsid w:val="00562ADA"/>
    <w:rsid w:val="00563EDA"/>
    <w:rsid w:val="0057002C"/>
    <w:rsid w:val="00571C21"/>
    <w:rsid w:val="00571CFC"/>
    <w:rsid w:val="00574B73"/>
    <w:rsid w:val="00575C26"/>
    <w:rsid w:val="00576017"/>
    <w:rsid w:val="00576D14"/>
    <w:rsid w:val="00577186"/>
    <w:rsid w:val="00577847"/>
    <w:rsid w:val="00581025"/>
    <w:rsid w:val="00583726"/>
    <w:rsid w:val="005847E4"/>
    <w:rsid w:val="00585BD2"/>
    <w:rsid w:val="00585DF3"/>
    <w:rsid w:val="00587B75"/>
    <w:rsid w:val="00592DBA"/>
    <w:rsid w:val="005930A4"/>
    <w:rsid w:val="00594963"/>
    <w:rsid w:val="005954BF"/>
    <w:rsid w:val="005A162A"/>
    <w:rsid w:val="005A18F6"/>
    <w:rsid w:val="005A71EA"/>
    <w:rsid w:val="005B207F"/>
    <w:rsid w:val="005B5859"/>
    <w:rsid w:val="005C1D11"/>
    <w:rsid w:val="005C351C"/>
    <w:rsid w:val="005C37C4"/>
    <w:rsid w:val="005C3A21"/>
    <w:rsid w:val="005C4A1B"/>
    <w:rsid w:val="005C5204"/>
    <w:rsid w:val="005C52D3"/>
    <w:rsid w:val="005C5DFC"/>
    <w:rsid w:val="005C65E4"/>
    <w:rsid w:val="005C7305"/>
    <w:rsid w:val="005D32C2"/>
    <w:rsid w:val="005D693E"/>
    <w:rsid w:val="005D6B45"/>
    <w:rsid w:val="005D79FD"/>
    <w:rsid w:val="005E2302"/>
    <w:rsid w:val="005E241B"/>
    <w:rsid w:val="005E32DC"/>
    <w:rsid w:val="005E4BCE"/>
    <w:rsid w:val="005E6F40"/>
    <w:rsid w:val="005E7596"/>
    <w:rsid w:val="005F36E8"/>
    <w:rsid w:val="005F378F"/>
    <w:rsid w:val="005F3A3F"/>
    <w:rsid w:val="005F70B5"/>
    <w:rsid w:val="006012E9"/>
    <w:rsid w:val="00610A9D"/>
    <w:rsid w:val="00611C95"/>
    <w:rsid w:val="00616778"/>
    <w:rsid w:val="00617056"/>
    <w:rsid w:val="006171AE"/>
    <w:rsid w:val="0061760E"/>
    <w:rsid w:val="00622A15"/>
    <w:rsid w:val="00634280"/>
    <w:rsid w:val="006354D9"/>
    <w:rsid w:val="00637A50"/>
    <w:rsid w:val="00641144"/>
    <w:rsid w:val="006411BA"/>
    <w:rsid w:val="0064213B"/>
    <w:rsid w:val="00642F03"/>
    <w:rsid w:val="006509E2"/>
    <w:rsid w:val="00651054"/>
    <w:rsid w:val="0065143C"/>
    <w:rsid w:val="0065197D"/>
    <w:rsid w:val="006539F9"/>
    <w:rsid w:val="0065743E"/>
    <w:rsid w:val="00657D2D"/>
    <w:rsid w:val="00660F60"/>
    <w:rsid w:val="006610F7"/>
    <w:rsid w:val="0066411E"/>
    <w:rsid w:val="006643B1"/>
    <w:rsid w:val="006662FF"/>
    <w:rsid w:val="0067040F"/>
    <w:rsid w:val="00670C02"/>
    <w:rsid w:val="00676094"/>
    <w:rsid w:val="00682A76"/>
    <w:rsid w:val="006842C5"/>
    <w:rsid w:val="00685C49"/>
    <w:rsid w:val="00687FF8"/>
    <w:rsid w:val="0069119E"/>
    <w:rsid w:val="006969B3"/>
    <w:rsid w:val="006970E3"/>
    <w:rsid w:val="006976F4"/>
    <w:rsid w:val="006A11B0"/>
    <w:rsid w:val="006A7B0F"/>
    <w:rsid w:val="006B0262"/>
    <w:rsid w:val="006B1A70"/>
    <w:rsid w:val="006B4027"/>
    <w:rsid w:val="006B771A"/>
    <w:rsid w:val="006C0265"/>
    <w:rsid w:val="006C4518"/>
    <w:rsid w:val="006C4943"/>
    <w:rsid w:val="006C6E0E"/>
    <w:rsid w:val="006C71AD"/>
    <w:rsid w:val="006D07ED"/>
    <w:rsid w:val="006D2C0A"/>
    <w:rsid w:val="006D3E82"/>
    <w:rsid w:val="006D42EE"/>
    <w:rsid w:val="006D442B"/>
    <w:rsid w:val="006D4585"/>
    <w:rsid w:val="006D5971"/>
    <w:rsid w:val="006D5FC7"/>
    <w:rsid w:val="006D6494"/>
    <w:rsid w:val="006D792E"/>
    <w:rsid w:val="006F2444"/>
    <w:rsid w:val="006F71E8"/>
    <w:rsid w:val="006F76BF"/>
    <w:rsid w:val="00700912"/>
    <w:rsid w:val="00701C68"/>
    <w:rsid w:val="007023AA"/>
    <w:rsid w:val="007042A1"/>
    <w:rsid w:val="007044C0"/>
    <w:rsid w:val="00704AC0"/>
    <w:rsid w:val="00704E1F"/>
    <w:rsid w:val="007053A8"/>
    <w:rsid w:val="0070556B"/>
    <w:rsid w:val="007062A1"/>
    <w:rsid w:val="00712020"/>
    <w:rsid w:val="00712498"/>
    <w:rsid w:val="0071566F"/>
    <w:rsid w:val="00715CA9"/>
    <w:rsid w:val="0072346A"/>
    <w:rsid w:val="00726352"/>
    <w:rsid w:val="00730493"/>
    <w:rsid w:val="0073082D"/>
    <w:rsid w:val="007328D3"/>
    <w:rsid w:val="00732A94"/>
    <w:rsid w:val="00733AAE"/>
    <w:rsid w:val="00736FE1"/>
    <w:rsid w:val="00740214"/>
    <w:rsid w:val="00740C7F"/>
    <w:rsid w:val="00740D12"/>
    <w:rsid w:val="00743DF6"/>
    <w:rsid w:val="00744FDC"/>
    <w:rsid w:val="00745020"/>
    <w:rsid w:val="00745EE8"/>
    <w:rsid w:val="00746241"/>
    <w:rsid w:val="007509D2"/>
    <w:rsid w:val="00753F19"/>
    <w:rsid w:val="00753F88"/>
    <w:rsid w:val="007565F0"/>
    <w:rsid w:val="007600BA"/>
    <w:rsid w:val="00761BC1"/>
    <w:rsid w:val="007625E0"/>
    <w:rsid w:val="00763CA7"/>
    <w:rsid w:val="00764F4A"/>
    <w:rsid w:val="00765686"/>
    <w:rsid w:val="00765D70"/>
    <w:rsid w:val="007662DB"/>
    <w:rsid w:val="0076743E"/>
    <w:rsid w:val="00770AF1"/>
    <w:rsid w:val="00771499"/>
    <w:rsid w:val="0077191A"/>
    <w:rsid w:val="00772991"/>
    <w:rsid w:val="00772BAD"/>
    <w:rsid w:val="00776B0D"/>
    <w:rsid w:val="00780D1D"/>
    <w:rsid w:val="00781A90"/>
    <w:rsid w:val="00783834"/>
    <w:rsid w:val="0078482D"/>
    <w:rsid w:val="00784D4A"/>
    <w:rsid w:val="007857F8"/>
    <w:rsid w:val="00785AF7"/>
    <w:rsid w:val="00786867"/>
    <w:rsid w:val="00792657"/>
    <w:rsid w:val="00792F6F"/>
    <w:rsid w:val="007A0A68"/>
    <w:rsid w:val="007A3522"/>
    <w:rsid w:val="007A50B4"/>
    <w:rsid w:val="007B0D6F"/>
    <w:rsid w:val="007B2110"/>
    <w:rsid w:val="007C0DC8"/>
    <w:rsid w:val="007C206F"/>
    <w:rsid w:val="007C2BDF"/>
    <w:rsid w:val="007C426D"/>
    <w:rsid w:val="007C63A1"/>
    <w:rsid w:val="007C73DB"/>
    <w:rsid w:val="007D04DB"/>
    <w:rsid w:val="007D116C"/>
    <w:rsid w:val="007D4E1F"/>
    <w:rsid w:val="007D6033"/>
    <w:rsid w:val="007E29B2"/>
    <w:rsid w:val="007E477D"/>
    <w:rsid w:val="007E717F"/>
    <w:rsid w:val="007E7B01"/>
    <w:rsid w:val="007F0D46"/>
    <w:rsid w:val="007F2F96"/>
    <w:rsid w:val="007F33F5"/>
    <w:rsid w:val="007F4084"/>
    <w:rsid w:val="007F413B"/>
    <w:rsid w:val="007F4D9E"/>
    <w:rsid w:val="007F6FA8"/>
    <w:rsid w:val="00801700"/>
    <w:rsid w:val="00802178"/>
    <w:rsid w:val="008035EA"/>
    <w:rsid w:val="008036BD"/>
    <w:rsid w:val="00810987"/>
    <w:rsid w:val="00815715"/>
    <w:rsid w:val="0081593F"/>
    <w:rsid w:val="00816CD8"/>
    <w:rsid w:val="0082009B"/>
    <w:rsid w:val="008201EE"/>
    <w:rsid w:val="008210C1"/>
    <w:rsid w:val="0082212A"/>
    <w:rsid w:val="00822376"/>
    <w:rsid w:val="00823223"/>
    <w:rsid w:val="008238D0"/>
    <w:rsid w:val="0082545A"/>
    <w:rsid w:val="00825DB9"/>
    <w:rsid w:val="00827F87"/>
    <w:rsid w:val="008302DC"/>
    <w:rsid w:val="00831306"/>
    <w:rsid w:val="00831CC5"/>
    <w:rsid w:val="00832995"/>
    <w:rsid w:val="0083469D"/>
    <w:rsid w:val="0083647D"/>
    <w:rsid w:val="00837826"/>
    <w:rsid w:val="00841AB8"/>
    <w:rsid w:val="008429A8"/>
    <w:rsid w:val="00843140"/>
    <w:rsid w:val="00845368"/>
    <w:rsid w:val="0084640E"/>
    <w:rsid w:val="00846895"/>
    <w:rsid w:val="008528C4"/>
    <w:rsid w:val="0085455F"/>
    <w:rsid w:val="008602FA"/>
    <w:rsid w:val="00861096"/>
    <w:rsid w:val="00864572"/>
    <w:rsid w:val="00867598"/>
    <w:rsid w:val="008703A6"/>
    <w:rsid w:val="00870F42"/>
    <w:rsid w:val="0087229A"/>
    <w:rsid w:val="00872A76"/>
    <w:rsid w:val="00874141"/>
    <w:rsid w:val="00876100"/>
    <w:rsid w:val="0087734D"/>
    <w:rsid w:val="0088125F"/>
    <w:rsid w:val="00881BC5"/>
    <w:rsid w:val="0088456E"/>
    <w:rsid w:val="008854DD"/>
    <w:rsid w:val="00887CCD"/>
    <w:rsid w:val="008939BD"/>
    <w:rsid w:val="00893DEB"/>
    <w:rsid w:val="0089496A"/>
    <w:rsid w:val="00895757"/>
    <w:rsid w:val="008A0A27"/>
    <w:rsid w:val="008A26F1"/>
    <w:rsid w:val="008A40E0"/>
    <w:rsid w:val="008A5BF3"/>
    <w:rsid w:val="008B0E0B"/>
    <w:rsid w:val="008B2039"/>
    <w:rsid w:val="008B4C8E"/>
    <w:rsid w:val="008B677C"/>
    <w:rsid w:val="008B6821"/>
    <w:rsid w:val="008B6C58"/>
    <w:rsid w:val="008C0076"/>
    <w:rsid w:val="008C08EB"/>
    <w:rsid w:val="008C2821"/>
    <w:rsid w:val="008C4A46"/>
    <w:rsid w:val="008C6D64"/>
    <w:rsid w:val="008C7872"/>
    <w:rsid w:val="008D3175"/>
    <w:rsid w:val="008D341C"/>
    <w:rsid w:val="008D4A95"/>
    <w:rsid w:val="008D4E3B"/>
    <w:rsid w:val="008D7597"/>
    <w:rsid w:val="008D77E6"/>
    <w:rsid w:val="008E029C"/>
    <w:rsid w:val="008E5D7E"/>
    <w:rsid w:val="008E624E"/>
    <w:rsid w:val="008E6554"/>
    <w:rsid w:val="008F1DAC"/>
    <w:rsid w:val="008F3054"/>
    <w:rsid w:val="008F348A"/>
    <w:rsid w:val="008F3EE3"/>
    <w:rsid w:val="008F562D"/>
    <w:rsid w:val="008F6962"/>
    <w:rsid w:val="00901FFB"/>
    <w:rsid w:val="009021AF"/>
    <w:rsid w:val="009028E1"/>
    <w:rsid w:val="00902C32"/>
    <w:rsid w:val="009061DE"/>
    <w:rsid w:val="00910DD1"/>
    <w:rsid w:val="00911A4A"/>
    <w:rsid w:val="00912C2C"/>
    <w:rsid w:val="00914525"/>
    <w:rsid w:val="00914D21"/>
    <w:rsid w:val="00916060"/>
    <w:rsid w:val="00920732"/>
    <w:rsid w:val="00920E52"/>
    <w:rsid w:val="009224F7"/>
    <w:rsid w:val="00922AEF"/>
    <w:rsid w:val="009264F0"/>
    <w:rsid w:val="009266E0"/>
    <w:rsid w:val="009271F4"/>
    <w:rsid w:val="0092749A"/>
    <w:rsid w:val="009309CF"/>
    <w:rsid w:val="00933E22"/>
    <w:rsid w:val="00934954"/>
    <w:rsid w:val="009409BE"/>
    <w:rsid w:val="00940E46"/>
    <w:rsid w:val="009420CC"/>
    <w:rsid w:val="0094487C"/>
    <w:rsid w:val="00945B14"/>
    <w:rsid w:val="00946BF7"/>
    <w:rsid w:val="00946D24"/>
    <w:rsid w:val="009522F5"/>
    <w:rsid w:val="00954D28"/>
    <w:rsid w:val="0095512C"/>
    <w:rsid w:val="009556EA"/>
    <w:rsid w:val="00955AE4"/>
    <w:rsid w:val="009571E6"/>
    <w:rsid w:val="00957A79"/>
    <w:rsid w:val="00961907"/>
    <w:rsid w:val="009625E4"/>
    <w:rsid w:val="0096621D"/>
    <w:rsid w:val="00970803"/>
    <w:rsid w:val="00971052"/>
    <w:rsid w:val="009719CB"/>
    <w:rsid w:val="009720D8"/>
    <w:rsid w:val="00972CD4"/>
    <w:rsid w:val="009738C9"/>
    <w:rsid w:val="00974CD6"/>
    <w:rsid w:val="009756D6"/>
    <w:rsid w:val="0097602F"/>
    <w:rsid w:val="009765A8"/>
    <w:rsid w:val="009836D6"/>
    <w:rsid w:val="009867D1"/>
    <w:rsid w:val="00990099"/>
    <w:rsid w:val="009915E3"/>
    <w:rsid w:val="00991F69"/>
    <w:rsid w:val="00993FE1"/>
    <w:rsid w:val="00994C98"/>
    <w:rsid w:val="00995C45"/>
    <w:rsid w:val="009A0AF9"/>
    <w:rsid w:val="009A7429"/>
    <w:rsid w:val="009B239D"/>
    <w:rsid w:val="009B341A"/>
    <w:rsid w:val="009B4344"/>
    <w:rsid w:val="009B4F1D"/>
    <w:rsid w:val="009B6C4A"/>
    <w:rsid w:val="009C1B0A"/>
    <w:rsid w:val="009C1E7F"/>
    <w:rsid w:val="009C2703"/>
    <w:rsid w:val="009C3600"/>
    <w:rsid w:val="009C532E"/>
    <w:rsid w:val="009C70EC"/>
    <w:rsid w:val="009D123A"/>
    <w:rsid w:val="009D1FDA"/>
    <w:rsid w:val="009D22CC"/>
    <w:rsid w:val="009D42EC"/>
    <w:rsid w:val="009D599E"/>
    <w:rsid w:val="009E26A7"/>
    <w:rsid w:val="009E2F82"/>
    <w:rsid w:val="009E51BA"/>
    <w:rsid w:val="009F27EF"/>
    <w:rsid w:val="009F3A58"/>
    <w:rsid w:val="009F44AC"/>
    <w:rsid w:val="009F4630"/>
    <w:rsid w:val="009F4B1B"/>
    <w:rsid w:val="009F5BD5"/>
    <w:rsid w:val="009F5D52"/>
    <w:rsid w:val="009F624C"/>
    <w:rsid w:val="009F6700"/>
    <w:rsid w:val="00A01261"/>
    <w:rsid w:val="00A01D85"/>
    <w:rsid w:val="00A023FF"/>
    <w:rsid w:val="00A036D0"/>
    <w:rsid w:val="00A04B80"/>
    <w:rsid w:val="00A04E25"/>
    <w:rsid w:val="00A0535E"/>
    <w:rsid w:val="00A076EA"/>
    <w:rsid w:val="00A07FD5"/>
    <w:rsid w:val="00A07FE8"/>
    <w:rsid w:val="00A129B2"/>
    <w:rsid w:val="00A146B8"/>
    <w:rsid w:val="00A14E59"/>
    <w:rsid w:val="00A150E7"/>
    <w:rsid w:val="00A157EC"/>
    <w:rsid w:val="00A1676D"/>
    <w:rsid w:val="00A16AD5"/>
    <w:rsid w:val="00A207FC"/>
    <w:rsid w:val="00A245A3"/>
    <w:rsid w:val="00A24CA2"/>
    <w:rsid w:val="00A256E6"/>
    <w:rsid w:val="00A267CD"/>
    <w:rsid w:val="00A27531"/>
    <w:rsid w:val="00A27DAF"/>
    <w:rsid w:val="00A30735"/>
    <w:rsid w:val="00A31403"/>
    <w:rsid w:val="00A34962"/>
    <w:rsid w:val="00A360EC"/>
    <w:rsid w:val="00A368F3"/>
    <w:rsid w:val="00A40D46"/>
    <w:rsid w:val="00A44F22"/>
    <w:rsid w:val="00A46627"/>
    <w:rsid w:val="00A51432"/>
    <w:rsid w:val="00A51D4C"/>
    <w:rsid w:val="00A5228D"/>
    <w:rsid w:val="00A52EF0"/>
    <w:rsid w:val="00A53CF8"/>
    <w:rsid w:val="00A557A2"/>
    <w:rsid w:val="00A5791E"/>
    <w:rsid w:val="00A57E41"/>
    <w:rsid w:val="00A57FCE"/>
    <w:rsid w:val="00A64275"/>
    <w:rsid w:val="00A70AF6"/>
    <w:rsid w:val="00A70D34"/>
    <w:rsid w:val="00A71BEE"/>
    <w:rsid w:val="00A72836"/>
    <w:rsid w:val="00A74DDD"/>
    <w:rsid w:val="00A773AB"/>
    <w:rsid w:val="00A801F2"/>
    <w:rsid w:val="00A811AB"/>
    <w:rsid w:val="00A81747"/>
    <w:rsid w:val="00A828A0"/>
    <w:rsid w:val="00A82D09"/>
    <w:rsid w:val="00A87D48"/>
    <w:rsid w:val="00A90920"/>
    <w:rsid w:val="00A9280D"/>
    <w:rsid w:val="00A93073"/>
    <w:rsid w:val="00A932F2"/>
    <w:rsid w:val="00A93C19"/>
    <w:rsid w:val="00A960DE"/>
    <w:rsid w:val="00AA1275"/>
    <w:rsid w:val="00AA1D90"/>
    <w:rsid w:val="00AA2F75"/>
    <w:rsid w:val="00AA498D"/>
    <w:rsid w:val="00AA6FBF"/>
    <w:rsid w:val="00AB0344"/>
    <w:rsid w:val="00AB29CC"/>
    <w:rsid w:val="00AB2BBE"/>
    <w:rsid w:val="00AB304A"/>
    <w:rsid w:val="00AB33AE"/>
    <w:rsid w:val="00AB4A71"/>
    <w:rsid w:val="00AB54BE"/>
    <w:rsid w:val="00AB59E2"/>
    <w:rsid w:val="00AC0316"/>
    <w:rsid w:val="00AC1237"/>
    <w:rsid w:val="00AC2059"/>
    <w:rsid w:val="00AC495D"/>
    <w:rsid w:val="00AC6A14"/>
    <w:rsid w:val="00AD275F"/>
    <w:rsid w:val="00AD4382"/>
    <w:rsid w:val="00AD44B1"/>
    <w:rsid w:val="00AD49CD"/>
    <w:rsid w:val="00AD4D89"/>
    <w:rsid w:val="00AD661B"/>
    <w:rsid w:val="00AD7240"/>
    <w:rsid w:val="00AD785B"/>
    <w:rsid w:val="00AE1B04"/>
    <w:rsid w:val="00AE3B28"/>
    <w:rsid w:val="00AE4D00"/>
    <w:rsid w:val="00AE4D88"/>
    <w:rsid w:val="00AE7999"/>
    <w:rsid w:val="00AF056D"/>
    <w:rsid w:val="00AF2371"/>
    <w:rsid w:val="00AF3AAE"/>
    <w:rsid w:val="00AF3EE7"/>
    <w:rsid w:val="00AF4C00"/>
    <w:rsid w:val="00B0039C"/>
    <w:rsid w:val="00B00D34"/>
    <w:rsid w:val="00B01EAB"/>
    <w:rsid w:val="00B03ACA"/>
    <w:rsid w:val="00B03DF1"/>
    <w:rsid w:val="00B040DB"/>
    <w:rsid w:val="00B071B9"/>
    <w:rsid w:val="00B1069A"/>
    <w:rsid w:val="00B11610"/>
    <w:rsid w:val="00B129E2"/>
    <w:rsid w:val="00B1719F"/>
    <w:rsid w:val="00B20CF3"/>
    <w:rsid w:val="00B20FE9"/>
    <w:rsid w:val="00B214BA"/>
    <w:rsid w:val="00B216E9"/>
    <w:rsid w:val="00B22F4A"/>
    <w:rsid w:val="00B23A57"/>
    <w:rsid w:val="00B2401C"/>
    <w:rsid w:val="00B248A1"/>
    <w:rsid w:val="00B25227"/>
    <w:rsid w:val="00B25458"/>
    <w:rsid w:val="00B2569F"/>
    <w:rsid w:val="00B25924"/>
    <w:rsid w:val="00B26970"/>
    <w:rsid w:val="00B26991"/>
    <w:rsid w:val="00B26E63"/>
    <w:rsid w:val="00B27578"/>
    <w:rsid w:val="00B279C0"/>
    <w:rsid w:val="00B3336F"/>
    <w:rsid w:val="00B346C5"/>
    <w:rsid w:val="00B3691A"/>
    <w:rsid w:val="00B36E16"/>
    <w:rsid w:val="00B41D53"/>
    <w:rsid w:val="00B43CC2"/>
    <w:rsid w:val="00B457F8"/>
    <w:rsid w:val="00B471E5"/>
    <w:rsid w:val="00B476F2"/>
    <w:rsid w:val="00B50DDE"/>
    <w:rsid w:val="00B511A0"/>
    <w:rsid w:val="00B546CA"/>
    <w:rsid w:val="00B563F0"/>
    <w:rsid w:val="00B579C8"/>
    <w:rsid w:val="00B57DE7"/>
    <w:rsid w:val="00B627CC"/>
    <w:rsid w:val="00B628BD"/>
    <w:rsid w:val="00B64C9F"/>
    <w:rsid w:val="00B650AB"/>
    <w:rsid w:val="00B65D85"/>
    <w:rsid w:val="00B65FCC"/>
    <w:rsid w:val="00B672DC"/>
    <w:rsid w:val="00B7038F"/>
    <w:rsid w:val="00B7164D"/>
    <w:rsid w:val="00B71762"/>
    <w:rsid w:val="00B7217C"/>
    <w:rsid w:val="00B729FF"/>
    <w:rsid w:val="00B7430D"/>
    <w:rsid w:val="00B767BE"/>
    <w:rsid w:val="00B773A4"/>
    <w:rsid w:val="00B77DB1"/>
    <w:rsid w:val="00B80E2B"/>
    <w:rsid w:val="00B8382B"/>
    <w:rsid w:val="00B83A91"/>
    <w:rsid w:val="00B84DDF"/>
    <w:rsid w:val="00B86593"/>
    <w:rsid w:val="00B909A5"/>
    <w:rsid w:val="00B92717"/>
    <w:rsid w:val="00B934A6"/>
    <w:rsid w:val="00BA037A"/>
    <w:rsid w:val="00BA0B4C"/>
    <w:rsid w:val="00BA4419"/>
    <w:rsid w:val="00BA6F81"/>
    <w:rsid w:val="00BB302E"/>
    <w:rsid w:val="00BB310F"/>
    <w:rsid w:val="00BB35BF"/>
    <w:rsid w:val="00BB4D21"/>
    <w:rsid w:val="00BB608B"/>
    <w:rsid w:val="00BB7843"/>
    <w:rsid w:val="00BC14EF"/>
    <w:rsid w:val="00BC1C8D"/>
    <w:rsid w:val="00BC1F33"/>
    <w:rsid w:val="00BC2455"/>
    <w:rsid w:val="00BC40E5"/>
    <w:rsid w:val="00BC627E"/>
    <w:rsid w:val="00BC737F"/>
    <w:rsid w:val="00BD2636"/>
    <w:rsid w:val="00BD36D4"/>
    <w:rsid w:val="00BD54FA"/>
    <w:rsid w:val="00BD703F"/>
    <w:rsid w:val="00BD7282"/>
    <w:rsid w:val="00BE420A"/>
    <w:rsid w:val="00BE5E69"/>
    <w:rsid w:val="00BE6F8D"/>
    <w:rsid w:val="00BE76A0"/>
    <w:rsid w:val="00BF2154"/>
    <w:rsid w:val="00BF3A16"/>
    <w:rsid w:val="00BF5172"/>
    <w:rsid w:val="00BF5C43"/>
    <w:rsid w:val="00BF7742"/>
    <w:rsid w:val="00BF7781"/>
    <w:rsid w:val="00C00A8C"/>
    <w:rsid w:val="00C014CD"/>
    <w:rsid w:val="00C04210"/>
    <w:rsid w:val="00C05654"/>
    <w:rsid w:val="00C06D04"/>
    <w:rsid w:val="00C0705D"/>
    <w:rsid w:val="00C11F4A"/>
    <w:rsid w:val="00C122EC"/>
    <w:rsid w:val="00C125EE"/>
    <w:rsid w:val="00C136DD"/>
    <w:rsid w:val="00C16A3F"/>
    <w:rsid w:val="00C16E5B"/>
    <w:rsid w:val="00C2032A"/>
    <w:rsid w:val="00C21D7B"/>
    <w:rsid w:val="00C241FD"/>
    <w:rsid w:val="00C25DBE"/>
    <w:rsid w:val="00C26037"/>
    <w:rsid w:val="00C27B16"/>
    <w:rsid w:val="00C30EFE"/>
    <w:rsid w:val="00C316B8"/>
    <w:rsid w:val="00C349D2"/>
    <w:rsid w:val="00C364E1"/>
    <w:rsid w:val="00C36A92"/>
    <w:rsid w:val="00C36DFF"/>
    <w:rsid w:val="00C377CD"/>
    <w:rsid w:val="00C41FB7"/>
    <w:rsid w:val="00C424FA"/>
    <w:rsid w:val="00C45D22"/>
    <w:rsid w:val="00C475AD"/>
    <w:rsid w:val="00C50214"/>
    <w:rsid w:val="00C51165"/>
    <w:rsid w:val="00C53EB4"/>
    <w:rsid w:val="00C61027"/>
    <w:rsid w:val="00C63710"/>
    <w:rsid w:val="00C638FD"/>
    <w:rsid w:val="00C66D86"/>
    <w:rsid w:val="00C66E38"/>
    <w:rsid w:val="00C70740"/>
    <w:rsid w:val="00C71799"/>
    <w:rsid w:val="00C72AFE"/>
    <w:rsid w:val="00C72DB4"/>
    <w:rsid w:val="00C7384D"/>
    <w:rsid w:val="00C73FD8"/>
    <w:rsid w:val="00C74B65"/>
    <w:rsid w:val="00C8027C"/>
    <w:rsid w:val="00C80752"/>
    <w:rsid w:val="00C81CC5"/>
    <w:rsid w:val="00C83CF4"/>
    <w:rsid w:val="00C86537"/>
    <w:rsid w:val="00C867F3"/>
    <w:rsid w:val="00C87171"/>
    <w:rsid w:val="00C879E0"/>
    <w:rsid w:val="00CA024A"/>
    <w:rsid w:val="00CA1DED"/>
    <w:rsid w:val="00CA3413"/>
    <w:rsid w:val="00CA37C6"/>
    <w:rsid w:val="00CA48DB"/>
    <w:rsid w:val="00CA5E18"/>
    <w:rsid w:val="00CA60FF"/>
    <w:rsid w:val="00CB0943"/>
    <w:rsid w:val="00CB6094"/>
    <w:rsid w:val="00CB6D80"/>
    <w:rsid w:val="00CB7BA0"/>
    <w:rsid w:val="00CC12B4"/>
    <w:rsid w:val="00CC2F16"/>
    <w:rsid w:val="00CC4257"/>
    <w:rsid w:val="00CC52F6"/>
    <w:rsid w:val="00CC635C"/>
    <w:rsid w:val="00CC797B"/>
    <w:rsid w:val="00CD04B2"/>
    <w:rsid w:val="00CD18DC"/>
    <w:rsid w:val="00CD1F9F"/>
    <w:rsid w:val="00CD4891"/>
    <w:rsid w:val="00CD5A77"/>
    <w:rsid w:val="00CD6331"/>
    <w:rsid w:val="00CE161C"/>
    <w:rsid w:val="00CE5299"/>
    <w:rsid w:val="00CE6A54"/>
    <w:rsid w:val="00CE7E32"/>
    <w:rsid w:val="00CF193B"/>
    <w:rsid w:val="00CF25E5"/>
    <w:rsid w:val="00CF3EE1"/>
    <w:rsid w:val="00CF4076"/>
    <w:rsid w:val="00CF4689"/>
    <w:rsid w:val="00CF4B3D"/>
    <w:rsid w:val="00CF55B3"/>
    <w:rsid w:val="00CF6D48"/>
    <w:rsid w:val="00CF7102"/>
    <w:rsid w:val="00D00864"/>
    <w:rsid w:val="00D00EDF"/>
    <w:rsid w:val="00D01ABF"/>
    <w:rsid w:val="00D01F95"/>
    <w:rsid w:val="00D02DA2"/>
    <w:rsid w:val="00D032A6"/>
    <w:rsid w:val="00D05879"/>
    <w:rsid w:val="00D10E3F"/>
    <w:rsid w:val="00D200B1"/>
    <w:rsid w:val="00D21E1B"/>
    <w:rsid w:val="00D2331A"/>
    <w:rsid w:val="00D2504E"/>
    <w:rsid w:val="00D26947"/>
    <w:rsid w:val="00D2755F"/>
    <w:rsid w:val="00D27753"/>
    <w:rsid w:val="00D279B2"/>
    <w:rsid w:val="00D321C0"/>
    <w:rsid w:val="00D35B59"/>
    <w:rsid w:val="00D37DD8"/>
    <w:rsid w:val="00D4245F"/>
    <w:rsid w:val="00D42E5E"/>
    <w:rsid w:val="00D42FD2"/>
    <w:rsid w:val="00D43CDA"/>
    <w:rsid w:val="00D44C48"/>
    <w:rsid w:val="00D45498"/>
    <w:rsid w:val="00D4679D"/>
    <w:rsid w:val="00D47D3C"/>
    <w:rsid w:val="00D50475"/>
    <w:rsid w:val="00D50811"/>
    <w:rsid w:val="00D52CB7"/>
    <w:rsid w:val="00D5356D"/>
    <w:rsid w:val="00D54B56"/>
    <w:rsid w:val="00D555D2"/>
    <w:rsid w:val="00D5631D"/>
    <w:rsid w:val="00D5679E"/>
    <w:rsid w:val="00D61386"/>
    <w:rsid w:val="00D624F9"/>
    <w:rsid w:val="00D662C1"/>
    <w:rsid w:val="00D66744"/>
    <w:rsid w:val="00D6710F"/>
    <w:rsid w:val="00D72E74"/>
    <w:rsid w:val="00D74903"/>
    <w:rsid w:val="00D81E9A"/>
    <w:rsid w:val="00D84B78"/>
    <w:rsid w:val="00D84B98"/>
    <w:rsid w:val="00D87B80"/>
    <w:rsid w:val="00D90E2C"/>
    <w:rsid w:val="00D91F33"/>
    <w:rsid w:val="00D92AEF"/>
    <w:rsid w:val="00D972FE"/>
    <w:rsid w:val="00D97412"/>
    <w:rsid w:val="00D9771A"/>
    <w:rsid w:val="00DA07B9"/>
    <w:rsid w:val="00DA42D4"/>
    <w:rsid w:val="00DA6C3F"/>
    <w:rsid w:val="00DA6E5A"/>
    <w:rsid w:val="00DA719F"/>
    <w:rsid w:val="00DB147D"/>
    <w:rsid w:val="00DB52C1"/>
    <w:rsid w:val="00DB6288"/>
    <w:rsid w:val="00DB661A"/>
    <w:rsid w:val="00DC1A27"/>
    <w:rsid w:val="00DC1A85"/>
    <w:rsid w:val="00DC20BC"/>
    <w:rsid w:val="00DC3568"/>
    <w:rsid w:val="00DD080A"/>
    <w:rsid w:val="00DD1DBF"/>
    <w:rsid w:val="00DD41B5"/>
    <w:rsid w:val="00DD4344"/>
    <w:rsid w:val="00DD436F"/>
    <w:rsid w:val="00DD452A"/>
    <w:rsid w:val="00DD510F"/>
    <w:rsid w:val="00DE1556"/>
    <w:rsid w:val="00DE2623"/>
    <w:rsid w:val="00DE267B"/>
    <w:rsid w:val="00DE6FC3"/>
    <w:rsid w:val="00DF240C"/>
    <w:rsid w:val="00DF43AD"/>
    <w:rsid w:val="00DF7FA7"/>
    <w:rsid w:val="00E0094B"/>
    <w:rsid w:val="00E02271"/>
    <w:rsid w:val="00E02F22"/>
    <w:rsid w:val="00E04920"/>
    <w:rsid w:val="00E0585D"/>
    <w:rsid w:val="00E065DE"/>
    <w:rsid w:val="00E0728D"/>
    <w:rsid w:val="00E1346F"/>
    <w:rsid w:val="00E13765"/>
    <w:rsid w:val="00E15FA3"/>
    <w:rsid w:val="00E16E1D"/>
    <w:rsid w:val="00E21797"/>
    <w:rsid w:val="00E218D8"/>
    <w:rsid w:val="00E24681"/>
    <w:rsid w:val="00E25B9C"/>
    <w:rsid w:val="00E260DD"/>
    <w:rsid w:val="00E276EC"/>
    <w:rsid w:val="00E27889"/>
    <w:rsid w:val="00E3238E"/>
    <w:rsid w:val="00E33CE6"/>
    <w:rsid w:val="00E35390"/>
    <w:rsid w:val="00E35E27"/>
    <w:rsid w:val="00E36B3B"/>
    <w:rsid w:val="00E37512"/>
    <w:rsid w:val="00E42991"/>
    <w:rsid w:val="00E47F01"/>
    <w:rsid w:val="00E47FE1"/>
    <w:rsid w:val="00E55A01"/>
    <w:rsid w:val="00E55E05"/>
    <w:rsid w:val="00E56C74"/>
    <w:rsid w:val="00E641BB"/>
    <w:rsid w:val="00E6437A"/>
    <w:rsid w:val="00E64DC6"/>
    <w:rsid w:val="00E6718F"/>
    <w:rsid w:val="00E7251C"/>
    <w:rsid w:val="00E767B8"/>
    <w:rsid w:val="00E805B0"/>
    <w:rsid w:val="00E80E6F"/>
    <w:rsid w:val="00E842C3"/>
    <w:rsid w:val="00E85357"/>
    <w:rsid w:val="00E85AA3"/>
    <w:rsid w:val="00E9150F"/>
    <w:rsid w:val="00E91B93"/>
    <w:rsid w:val="00E929E4"/>
    <w:rsid w:val="00E93FEB"/>
    <w:rsid w:val="00E94610"/>
    <w:rsid w:val="00E95287"/>
    <w:rsid w:val="00E95A46"/>
    <w:rsid w:val="00EA08DB"/>
    <w:rsid w:val="00EA1EF2"/>
    <w:rsid w:val="00EA2126"/>
    <w:rsid w:val="00EA770A"/>
    <w:rsid w:val="00EA7AF1"/>
    <w:rsid w:val="00EB4A9B"/>
    <w:rsid w:val="00EC0CAF"/>
    <w:rsid w:val="00EC1C1E"/>
    <w:rsid w:val="00EC4646"/>
    <w:rsid w:val="00EC5E9F"/>
    <w:rsid w:val="00EC7921"/>
    <w:rsid w:val="00ED3073"/>
    <w:rsid w:val="00ED4B86"/>
    <w:rsid w:val="00ED5ECF"/>
    <w:rsid w:val="00ED6021"/>
    <w:rsid w:val="00ED67B1"/>
    <w:rsid w:val="00ED73F9"/>
    <w:rsid w:val="00EE5586"/>
    <w:rsid w:val="00EE636C"/>
    <w:rsid w:val="00EE6D4A"/>
    <w:rsid w:val="00EF596E"/>
    <w:rsid w:val="00EF5CFE"/>
    <w:rsid w:val="00EF6222"/>
    <w:rsid w:val="00F0061A"/>
    <w:rsid w:val="00F01369"/>
    <w:rsid w:val="00F0270F"/>
    <w:rsid w:val="00F05DA2"/>
    <w:rsid w:val="00F05DD8"/>
    <w:rsid w:val="00F06E53"/>
    <w:rsid w:val="00F10281"/>
    <w:rsid w:val="00F10ECE"/>
    <w:rsid w:val="00F112F0"/>
    <w:rsid w:val="00F11327"/>
    <w:rsid w:val="00F11457"/>
    <w:rsid w:val="00F12489"/>
    <w:rsid w:val="00F12821"/>
    <w:rsid w:val="00F1282A"/>
    <w:rsid w:val="00F13FEA"/>
    <w:rsid w:val="00F1513E"/>
    <w:rsid w:val="00F17864"/>
    <w:rsid w:val="00F22D79"/>
    <w:rsid w:val="00F25609"/>
    <w:rsid w:val="00F26419"/>
    <w:rsid w:val="00F26BFA"/>
    <w:rsid w:val="00F32B46"/>
    <w:rsid w:val="00F34EF5"/>
    <w:rsid w:val="00F37838"/>
    <w:rsid w:val="00F4063E"/>
    <w:rsid w:val="00F40C1A"/>
    <w:rsid w:val="00F425A2"/>
    <w:rsid w:val="00F43BDC"/>
    <w:rsid w:val="00F455C5"/>
    <w:rsid w:val="00F47EF8"/>
    <w:rsid w:val="00F51C36"/>
    <w:rsid w:val="00F53BD3"/>
    <w:rsid w:val="00F577B3"/>
    <w:rsid w:val="00F60375"/>
    <w:rsid w:val="00F6453E"/>
    <w:rsid w:val="00F65704"/>
    <w:rsid w:val="00F66E2D"/>
    <w:rsid w:val="00F706D6"/>
    <w:rsid w:val="00F70AA5"/>
    <w:rsid w:val="00F71131"/>
    <w:rsid w:val="00F71914"/>
    <w:rsid w:val="00F719F8"/>
    <w:rsid w:val="00F72425"/>
    <w:rsid w:val="00F735E0"/>
    <w:rsid w:val="00F75EF5"/>
    <w:rsid w:val="00F764BD"/>
    <w:rsid w:val="00F811AF"/>
    <w:rsid w:val="00F91CB9"/>
    <w:rsid w:val="00F929FF"/>
    <w:rsid w:val="00F93879"/>
    <w:rsid w:val="00F94DE1"/>
    <w:rsid w:val="00F94F28"/>
    <w:rsid w:val="00F967D7"/>
    <w:rsid w:val="00FA1347"/>
    <w:rsid w:val="00FA1C26"/>
    <w:rsid w:val="00FA2F6F"/>
    <w:rsid w:val="00FA577B"/>
    <w:rsid w:val="00FA6B2B"/>
    <w:rsid w:val="00FA6C86"/>
    <w:rsid w:val="00FA6E54"/>
    <w:rsid w:val="00FA741C"/>
    <w:rsid w:val="00FB19E3"/>
    <w:rsid w:val="00FB4867"/>
    <w:rsid w:val="00FB4ABD"/>
    <w:rsid w:val="00FB4B99"/>
    <w:rsid w:val="00FB59F0"/>
    <w:rsid w:val="00FC1233"/>
    <w:rsid w:val="00FC1DF8"/>
    <w:rsid w:val="00FC2A77"/>
    <w:rsid w:val="00FC495F"/>
    <w:rsid w:val="00FC4E19"/>
    <w:rsid w:val="00FC6192"/>
    <w:rsid w:val="00FC6227"/>
    <w:rsid w:val="00FC645E"/>
    <w:rsid w:val="00FD0902"/>
    <w:rsid w:val="00FD2FC2"/>
    <w:rsid w:val="00FD3668"/>
    <w:rsid w:val="00FD3B90"/>
    <w:rsid w:val="00FD3D72"/>
    <w:rsid w:val="00FD7018"/>
    <w:rsid w:val="00FE0711"/>
    <w:rsid w:val="00FE0977"/>
    <w:rsid w:val="00FE0B35"/>
    <w:rsid w:val="00FE2C0D"/>
    <w:rsid w:val="00FE3B7F"/>
    <w:rsid w:val="00FE4182"/>
    <w:rsid w:val="00FE4670"/>
    <w:rsid w:val="00FE6DF4"/>
    <w:rsid w:val="00FF0082"/>
    <w:rsid w:val="00FF2743"/>
    <w:rsid w:val="00FF4313"/>
    <w:rsid w:val="00FF4924"/>
    <w:rsid w:val="00FF6284"/>
    <w:rsid w:val="00FF6DA8"/>
    <w:rsid w:val="00FF70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C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26145"/>
    <w:pPr>
      <w:keepNext/>
      <w:numPr>
        <w:numId w:val="22"/>
      </w:numPr>
      <w:spacing w:before="240" w:after="60" w:line="240" w:lineRule="auto"/>
      <w:outlineLvl w:val="0"/>
    </w:pPr>
    <w:rPr>
      <w:rFonts w:eastAsia="Times New Roman" w:cs="Arial"/>
      <w:b/>
      <w:bCs/>
      <w:kern w:val="32"/>
      <w:sz w:val="24"/>
      <w:szCs w:val="32"/>
      <w:lang w:eastAsia="en-AU"/>
    </w:rPr>
  </w:style>
  <w:style w:type="paragraph" w:styleId="Heading2">
    <w:name w:val="heading 2"/>
    <w:basedOn w:val="Normal"/>
    <w:next w:val="Normal"/>
    <w:link w:val="Heading2Char"/>
    <w:qFormat/>
    <w:rsid w:val="00BC2455"/>
    <w:pPr>
      <w:keepNext/>
      <w:numPr>
        <w:ilvl w:val="1"/>
        <w:numId w:val="22"/>
      </w:numPr>
      <w:spacing w:before="240" w:after="60" w:line="240" w:lineRule="auto"/>
      <w:outlineLvl w:val="1"/>
    </w:pPr>
    <w:rPr>
      <w:rFonts w:ascii="Arial" w:eastAsia="Times New Roman" w:hAnsi="Arial" w:cs="Arial"/>
      <w:b/>
      <w:bCs/>
      <w:iCs/>
      <w:sz w:val="24"/>
      <w:szCs w:val="28"/>
      <w:lang w:eastAsia="en-AU"/>
    </w:rPr>
  </w:style>
  <w:style w:type="paragraph" w:styleId="Heading3">
    <w:name w:val="heading 3"/>
    <w:basedOn w:val="Normal"/>
    <w:next w:val="Normal"/>
    <w:link w:val="Heading3Char"/>
    <w:qFormat/>
    <w:rsid w:val="00BC2455"/>
    <w:pPr>
      <w:keepNext/>
      <w:numPr>
        <w:ilvl w:val="2"/>
        <w:numId w:val="22"/>
      </w:numPr>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BC2455"/>
    <w:pPr>
      <w:keepNext/>
      <w:numPr>
        <w:ilvl w:val="3"/>
        <w:numId w:val="22"/>
      </w:numPr>
      <w:spacing w:before="240" w:after="60" w:line="240" w:lineRule="auto"/>
      <w:outlineLvl w:val="3"/>
    </w:pPr>
    <w:rPr>
      <w:rFonts w:ascii="Times New Roman" w:eastAsia="Times New Roman" w:hAnsi="Times New Roman" w:cs="Times New Roman"/>
      <w:b/>
      <w:bCs/>
      <w:sz w:val="28"/>
      <w:szCs w:val="28"/>
      <w:lang w:eastAsia="en-AU"/>
    </w:rPr>
  </w:style>
  <w:style w:type="paragraph" w:styleId="Heading5">
    <w:name w:val="heading 5"/>
    <w:basedOn w:val="Normal"/>
    <w:next w:val="Normal"/>
    <w:link w:val="Heading5Char"/>
    <w:qFormat/>
    <w:rsid w:val="00BC2455"/>
    <w:pPr>
      <w:numPr>
        <w:ilvl w:val="4"/>
        <w:numId w:val="22"/>
      </w:numPr>
      <w:spacing w:before="240" w:after="60" w:line="240" w:lineRule="auto"/>
      <w:outlineLvl w:val="4"/>
    </w:pPr>
    <w:rPr>
      <w:rFonts w:ascii="Times New Roman" w:eastAsia="Times New Roman" w:hAnsi="Times New Roman" w:cs="Times New Roman"/>
      <w:b/>
      <w:bCs/>
      <w:i/>
      <w:iCs/>
      <w:sz w:val="26"/>
      <w:szCs w:val="26"/>
      <w:lang w:eastAsia="en-AU"/>
    </w:rPr>
  </w:style>
  <w:style w:type="paragraph" w:styleId="Heading6">
    <w:name w:val="heading 6"/>
    <w:basedOn w:val="Normal"/>
    <w:next w:val="Normal"/>
    <w:link w:val="Heading6Char"/>
    <w:qFormat/>
    <w:rsid w:val="00BC2455"/>
    <w:pPr>
      <w:numPr>
        <w:ilvl w:val="5"/>
        <w:numId w:val="22"/>
      </w:numPr>
      <w:spacing w:before="240" w:after="60" w:line="240" w:lineRule="auto"/>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BC2455"/>
    <w:pPr>
      <w:numPr>
        <w:ilvl w:val="6"/>
        <w:numId w:val="22"/>
      </w:numPr>
      <w:spacing w:before="240" w:after="60" w:line="240" w:lineRule="auto"/>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BC2455"/>
    <w:pPr>
      <w:numPr>
        <w:ilvl w:val="7"/>
        <w:numId w:val="22"/>
      </w:numPr>
      <w:spacing w:before="240" w:after="60" w:line="240" w:lineRule="auto"/>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BC2455"/>
    <w:pPr>
      <w:numPr>
        <w:ilvl w:val="8"/>
        <w:numId w:val="22"/>
      </w:num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6B8"/>
    <w:pPr>
      <w:ind w:left="720"/>
      <w:contextualSpacing/>
    </w:pPr>
  </w:style>
  <w:style w:type="character" w:styleId="FootnoteReference">
    <w:name w:val="footnote reference"/>
    <w:basedOn w:val="DefaultParagraphFont"/>
    <w:rsid w:val="00F26419"/>
    <w:rPr>
      <w:noProof w:val="0"/>
      <w:vertAlign w:val="superscript"/>
      <w:lang w:val="en-GB"/>
    </w:rPr>
  </w:style>
  <w:style w:type="paragraph" w:styleId="FootnoteText">
    <w:name w:val="footnote text"/>
    <w:basedOn w:val="Normal"/>
    <w:link w:val="FootnoteTextChar"/>
    <w:rsid w:val="0065197D"/>
    <w:pPr>
      <w:tabs>
        <w:tab w:val="left" w:pos="850"/>
        <w:tab w:val="left" w:pos="1191"/>
        <w:tab w:val="left" w:pos="1531"/>
      </w:tabs>
      <w:spacing w:after="0" w:line="240" w:lineRule="auto"/>
    </w:pPr>
    <w:rPr>
      <w:rFonts w:eastAsia="Times New Roman" w:cs="Times New Roman"/>
      <w:sz w:val="18"/>
      <w:szCs w:val="20"/>
      <w:lang w:val="en-GB"/>
    </w:rPr>
  </w:style>
  <w:style w:type="character" w:customStyle="1" w:styleId="FootnoteTextChar">
    <w:name w:val="Footnote Text Char"/>
    <w:basedOn w:val="DefaultParagraphFont"/>
    <w:link w:val="FootnoteText"/>
    <w:rsid w:val="0065197D"/>
    <w:rPr>
      <w:rFonts w:eastAsia="Times New Roman" w:cs="Times New Roman"/>
      <w:sz w:val="18"/>
      <w:szCs w:val="20"/>
      <w:lang w:val="en-GB"/>
    </w:rPr>
  </w:style>
  <w:style w:type="paragraph" w:styleId="Header">
    <w:name w:val="header"/>
    <w:basedOn w:val="Normal"/>
    <w:link w:val="HeaderChar"/>
    <w:uiPriority w:val="99"/>
    <w:unhideWhenUsed/>
    <w:rsid w:val="00AD49CD"/>
    <w:pPr>
      <w:tabs>
        <w:tab w:val="center" w:pos="4677"/>
        <w:tab w:val="right" w:pos="9355"/>
      </w:tabs>
      <w:spacing w:after="0" w:line="240" w:lineRule="auto"/>
    </w:pPr>
  </w:style>
  <w:style w:type="character" w:customStyle="1" w:styleId="HeaderChar">
    <w:name w:val="Header Char"/>
    <w:basedOn w:val="DefaultParagraphFont"/>
    <w:link w:val="Header"/>
    <w:uiPriority w:val="99"/>
    <w:rsid w:val="00AD49CD"/>
  </w:style>
  <w:style w:type="paragraph" w:styleId="Footer">
    <w:name w:val="footer"/>
    <w:basedOn w:val="Normal"/>
    <w:link w:val="FooterChar"/>
    <w:uiPriority w:val="99"/>
    <w:unhideWhenUsed/>
    <w:rsid w:val="00AD49CD"/>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49CD"/>
  </w:style>
  <w:style w:type="paragraph" w:customStyle="1" w:styleId="Standard">
    <w:name w:val="Standard"/>
    <w:rsid w:val="008E6554"/>
    <w:pPr>
      <w:suppressAutoHyphens/>
      <w:autoSpaceDN w:val="0"/>
      <w:spacing w:after="0" w:line="240" w:lineRule="auto"/>
      <w:textAlignment w:val="baseline"/>
    </w:pPr>
    <w:rPr>
      <w:rFonts w:ascii="Times New Roman" w:eastAsia="Arial" w:hAnsi="Times New Roman" w:cs="Times New Roman"/>
      <w:color w:val="000000"/>
      <w:kern w:val="3"/>
      <w:sz w:val="24"/>
      <w:szCs w:val="24"/>
      <w:lang w:val="en-US" w:eastAsia="ar-SA"/>
    </w:rPr>
  </w:style>
  <w:style w:type="paragraph" w:customStyle="1" w:styleId="Textbody">
    <w:name w:val="Text body"/>
    <w:basedOn w:val="Standard"/>
    <w:rsid w:val="008E6554"/>
    <w:pPr>
      <w:spacing w:after="120"/>
    </w:pPr>
  </w:style>
  <w:style w:type="paragraph" w:customStyle="1" w:styleId="Footnote">
    <w:name w:val="Footnote"/>
    <w:basedOn w:val="Standard"/>
    <w:rsid w:val="008E6554"/>
    <w:pPr>
      <w:suppressLineNumbers/>
      <w:spacing w:after="200"/>
      <w:ind w:left="283" w:hanging="283"/>
    </w:pPr>
    <w:rPr>
      <w:sz w:val="20"/>
      <w:szCs w:val="20"/>
    </w:rPr>
  </w:style>
  <w:style w:type="numbering" w:customStyle="1" w:styleId="WWNum2">
    <w:name w:val="WWNum2"/>
    <w:basedOn w:val="NoList"/>
    <w:rsid w:val="008E6554"/>
    <w:pPr>
      <w:numPr>
        <w:numId w:val="12"/>
      </w:numPr>
    </w:pPr>
  </w:style>
  <w:style w:type="character" w:styleId="Hyperlink">
    <w:name w:val="Hyperlink"/>
    <w:uiPriority w:val="99"/>
    <w:unhideWhenUsed/>
    <w:rsid w:val="008E6554"/>
    <w:rPr>
      <w:color w:val="0000FF"/>
      <w:u w:val="single"/>
    </w:rPr>
  </w:style>
  <w:style w:type="paragraph" w:styleId="Caption">
    <w:name w:val="caption"/>
    <w:basedOn w:val="Normal"/>
    <w:next w:val="Normal"/>
    <w:unhideWhenUsed/>
    <w:qFormat/>
    <w:rsid w:val="003814CC"/>
    <w:pPr>
      <w:spacing w:after="0" w:line="240" w:lineRule="auto"/>
    </w:pPr>
    <w:rPr>
      <w:rFonts w:ascii="Times New Roman" w:eastAsia="Times New Roman" w:hAnsi="Times New Roman" w:cs="Times New Roman"/>
      <w:b/>
      <w:bCs/>
      <w:sz w:val="20"/>
      <w:szCs w:val="20"/>
    </w:rPr>
  </w:style>
  <w:style w:type="paragraph" w:customStyle="1" w:styleId="Default">
    <w:name w:val="Default"/>
    <w:rsid w:val="003814C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026145"/>
    <w:rPr>
      <w:rFonts w:eastAsia="Times New Roman" w:cs="Arial"/>
      <w:b/>
      <w:bCs/>
      <w:kern w:val="32"/>
      <w:sz w:val="24"/>
      <w:szCs w:val="32"/>
      <w:lang w:eastAsia="en-AU"/>
    </w:rPr>
  </w:style>
  <w:style w:type="character" w:customStyle="1" w:styleId="Heading2Char">
    <w:name w:val="Heading 2 Char"/>
    <w:basedOn w:val="DefaultParagraphFont"/>
    <w:link w:val="Heading2"/>
    <w:rsid w:val="00BC2455"/>
    <w:rPr>
      <w:rFonts w:ascii="Arial" w:eastAsia="Times New Roman" w:hAnsi="Arial" w:cs="Arial"/>
      <w:b/>
      <w:bCs/>
      <w:iCs/>
      <w:sz w:val="24"/>
      <w:szCs w:val="28"/>
      <w:lang w:eastAsia="en-AU"/>
    </w:rPr>
  </w:style>
  <w:style w:type="character" w:customStyle="1" w:styleId="Heading3Char">
    <w:name w:val="Heading 3 Char"/>
    <w:basedOn w:val="DefaultParagraphFont"/>
    <w:link w:val="Heading3"/>
    <w:rsid w:val="00BC2455"/>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BC2455"/>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BC2455"/>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BC245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BC245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BC245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BC2455"/>
    <w:rPr>
      <w:rFonts w:ascii="Arial" w:eastAsia="Times New Roman" w:hAnsi="Arial" w:cs="Arial"/>
      <w:lang w:eastAsia="en-AU"/>
    </w:rPr>
  </w:style>
  <w:style w:type="paragraph" w:styleId="NormalWeb">
    <w:name w:val="Normal (Web)"/>
    <w:basedOn w:val="Normal"/>
    <w:uiPriority w:val="99"/>
    <w:rsid w:val="00E0094B"/>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10ED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310ED3"/>
    <w:pPr>
      <w:spacing w:after="100"/>
      <w:ind w:left="220"/>
    </w:pPr>
  </w:style>
  <w:style w:type="paragraph" w:styleId="BalloonText">
    <w:name w:val="Balloon Text"/>
    <w:basedOn w:val="Normal"/>
    <w:link w:val="BalloonTextChar"/>
    <w:uiPriority w:val="99"/>
    <w:semiHidden/>
    <w:unhideWhenUsed/>
    <w:rsid w:val="00310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D3"/>
    <w:rPr>
      <w:rFonts w:ascii="Tahoma" w:hAnsi="Tahoma" w:cs="Tahoma"/>
      <w:sz w:val="16"/>
      <w:szCs w:val="16"/>
    </w:rPr>
  </w:style>
  <w:style w:type="paragraph" w:styleId="TOC1">
    <w:name w:val="toc 1"/>
    <w:basedOn w:val="Normal"/>
    <w:next w:val="Normal"/>
    <w:autoRedefine/>
    <w:uiPriority w:val="39"/>
    <w:unhideWhenUsed/>
    <w:rsid w:val="005C4A1B"/>
    <w:pPr>
      <w:tabs>
        <w:tab w:val="left" w:pos="440"/>
        <w:tab w:val="right" w:leader="dot" w:pos="9345"/>
      </w:tabs>
      <w:spacing w:after="100"/>
    </w:pPr>
  </w:style>
  <w:style w:type="character" w:styleId="FollowedHyperlink">
    <w:name w:val="FollowedHyperlink"/>
    <w:basedOn w:val="DefaultParagraphFont"/>
    <w:uiPriority w:val="99"/>
    <w:semiHidden/>
    <w:unhideWhenUsed/>
    <w:rsid w:val="00015F78"/>
    <w:rPr>
      <w:color w:val="800080" w:themeColor="followedHyperlink"/>
      <w:u w:val="single"/>
    </w:rPr>
  </w:style>
  <w:style w:type="character" w:styleId="CommentReference">
    <w:name w:val="annotation reference"/>
    <w:basedOn w:val="DefaultParagraphFont"/>
    <w:uiPriority w:val="99"/>
    <w:semiHidden/>
    <w:unhideWhenUsed/>
    <w:rsid w:val="00A93C19"/>
    <w:rPr>
      <w:sz w:val="16"/>
      <w:szCs w:val="16"/>
    </w:rPr>
  </w:style>
  <w:style w:type="paragraph" w:styleId="CommentText">
    <w:name w:val="annotation text"/>
    <w:basedOn w:val="Normal"/>
    <w:link w:val="CommentTextChar"/>
    <w:uiPriority w:val="99"/>
    <w:semiHidden/>
    <w:unhideWhenUsed/>
    <w:rsid w:val="00A93C19"/>
    <w:pPr>
      <w:spacing w:line="240" w:lineRule="auto"/>
    </w:pPr>
    <w:rPr>
      <w:sz w:val="20"/>
      <w:szCs w:val="20"/>
    </w:rPr>
  </w:style>
  <w:style w:type="character" w:customStyle="1" w:styleId="CommentTextChar">
    <w:name w:val="Comment Text Char"/>
    <w:basedOn w:val="DefaultParagraphFont"/>
    <w:link w:val="CommentText"/>
    <w:uiPriority w:val="99"/>
    <w:semiHidden/>
    <w:rsid w:val="00A93C19"/>
    <w:rPr>
      <w:sz w:val="20"/>
      <w:szCs w:val="20"/>
    </w:rPr>
  </w:style>
  <w:style w:type="paragraph" w:styleId="CommentSubject">
    <w:name w:val="annotation subject"/>
    <w:basedOn w:val="CommentText"/>
    <w:next w:val="CommentText"/>
    <w:link w:val="CommentSubjectChar"/>
    <w:uiPriority w:val="99"/>
    <w:semiHidden/>
    <w:unhideWhenUsed/>
    <w:rsid w:val="00A93C19"/>
    <w:rPr>
      <w:b/>
      <w:bCs/>
    </w:rPr>
  </w:style>
  <w:style w:type="character" w:customStyle="1" w:styleId="CommentSubjectChar">
    <w:name w:val="Comment Subject Char"/>
    <w:basedOn w:val="CommentTextChar"/>
    <w:link w:val="CommentSubject"/>
    <w:uiPriority w:val="99"/>
    <w:semiHidden/>
    <w:rsid w:val="00A93C19"/>
    <w:rPr>
      <w:b/>
      <w:bCs/>
      <w:sz w:val="20"/>
      <w:szCs w:val="20"/>
    </w:rPr>
  </w:style>
  <w:style w:type="paragraph" w:styleId="EndnoteText">
    <w:name w:val="endnote text"/>
    <w:basedOn w:val="Normal"/>
    <w:link w:val="EndnoteTextChar"/>
    <w:uiPriority w:val="99"/>
    <w:unhideWhenUsed/>
    <w:rsid w:val="00404C5A"/>
    <w:pPr>
      <w:spacing w:after="0" w:line="240" w:lineRule="auto"/>
    </w:pPr>
    <w:rPr>
      <w:sz w:val="20"/>
      <w:szCs w:val="20"/>
    </w:rPr>
  </w:style>
  <w:style w:type="character" w:customStyle="1" w:styleId="EndnoteTextChar">
    <w:name w:val="Endnote Text Char"/>
    <w:basedOn w:val="DefaultParagraphFont"/>
    <w:link w:val="EndnoteText"/>
    <w:uiPriority w:val="99"/>
    <w:rsid w:val="00404C5A"/>
    <w:rPr>
      <w:sz w:val="20"/>
      <w:szCs w:val="20"/>
    </w:rPr>
  </w:style>
  <w:style w:type="character" w:styleId="EndnoteReference">
    <w:name w:val="endnote reference"/>
    <w:basedOn w:val="DefaultParagraphFont"/>
    <w:uiPriority w:val="99"/>
    <w:semiHidden/>
    <w:unhideWhenUsed/>
    <w:rsid w:val="00404C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26145"/>
    <w:pPr>
      <w:keepNext/>
      <w:numPr>
        <w:numId w:val="22"/>
      </w:numPr>
      <w:spacing w:before="240" w:after="60" w:line="240" w:lineRule="auto"/>
      <w:outlineLvl w:val="0"/>
    </w:pPr>
    <w:rPr>
      <w:rFonts w:eastAsia="Times New Roman" w:cs="Arial"/>
      <w:b/>
      <w:bCs/>
      <w:kern w:val="32"/>
      <w:sz w:val="24"/>
      <w:szCs w:val="32"/>
      <w:lang w:eastAsia="en-AU"/>
    </w:rPr>
  </w:style>
  <w:style w:type="paragraph" w:styleId="Heading2">
    <w:name w:val="heading 2"/>
    <w:basedOn w:val="Normal"/>
    <w:next w:val="Normal"/>
    <w:link w:val="Heading2Char"/>
    <w:qFormat/>
    <w:rsid w:val="00BC2455"/>
    <w:pPr>
      <w:keepNext/>
      <w:numPr>
        <w:ilvl w:val="1"/>
        <w:numId w:val="22"/>
      </w:numPr>
      <w:spacing w:before="240" w:after="60" w:line="240" w:lineRule="auto"/>
      <w:outlineLvl w:val="1"/>
    </w:pPr>
    <w:rPr>
      <w:rFonts w:ascii="Arial" w:eastAsia="Times New Roman" w:hAnsi="Arial" w:cs="Arial"/>
      <w:b/>
      <w:bCs/>
      <w:iCs/>
      <w:sz w:val="24"/>
      <w:szCs w:val="28"/>
      <w:lang w:eastAsia="en-AU"/>
    </w:rPr>
  </w:style>
  <w:style w:type="paragraph" w:styleId="Heading3">
    <w:name w:val="heading 3"/>
    <w:basedOn w:val="Normal"/>
    <w:next w:val="Normal"/>
    <w:link w:val="Heading3Char"/>
    <w:qFormat/>
    <w:rsid w:val="00BC2455"/>
    <w:pPr>
      <w:keepNext/>
      <w:numPr>
        <w:ilvl w:val="2"/>
        <w:numId w:val="22"/>
      </w:numPr>
      <w:spacing w:before="240" w:after="60" w:line="240" w:lineRule="auto"/>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BC2455"/>
    <w:pPr>
      <w:keepNext/>
      <w:numPr>
        <w:ilvl w:val="3"/>
        <w:numId w:val="22"/>
      </w:numPr>
      <w:spacing w:before="240" w:after="60" w:line="240" w:lineRule="auto"/>
      <w:outlineLvl w:val="3"/>
    </w:pPr>
    <w:rPr>
      <w:rFonts w:ascii="Times New Roman" w:eastAsia="Times New Roman" w:hAnsi="Times New Roman" w:cs="Times New Roman"/>
      <w:b/>
      <w:bCs/>
      <w:sz w:val="28"/>
      <w:szCs w:val="28"/>
      <w:lang w:eastAsia="en-AU"/>
    </w:rPr>
  </w:style>
  <w:style w:type="paragraph" w:styleId="Heading5">
    <w:name w:val="heading 5"/>
    <w:basedOn w:val="Normal"/>
    <w:next w:val="Normal"/>
    <w:link w:val="Heading5Char"/>
    <w:qFormat/>
    <w:rsid w:val="00BC2455"/>
    <w:pPr>
      <w:numPr>
        <w:ilvl w:val="4"/>
        <w:numId w:val="22"/>
      </w:numPr>
      <w:spacing w:before="240" w:after="60" w:line="240" w:lineRule="auto"/>
      <w:outlineLvl w:val="4"/>
    </w:pPr>
    <w:rPr>
      <w:rFonts w:ascii="Times New Roman" w:eastAsia="Times New Roman" w:hAnsi="Times New Roman" w:cs="Times New Roman"/>
      <w:b/>
      <w:bCs/>
      <w:i/>
      <w:iCs/>
      <w:sz w:val="26"/>
      <w:szCs w:val="26"/>
      <w:lang w:eastAsia="en-AU"/>
    </w:rPr>
  </w:style>
  <w:style w:type="paragraph" w:styleId="Heading6">
    <w:name w:val="heading 6"/>
    <w:basedOn w:val="Normal"/>
    <w:next w:val="Normal"/>
    <w:link w:val="Heading6Char"/>
    <w:qFormat/>
    <w:rsid w:val="00BC2455"/>
    <w:pPr>
      <w:numPr>
        <w:ilvl w:val="5"/>
        <w:numId w:val="22"/>
      </w:numPr>
      <w:spacing w:before="240" w:after="60" w:line="240" w:lineRule="auto"/>
      <w:outlineLvl w:val="5"/>
    </w:pPr>
    <w:rPr>
      <w:rFonts w:ascii="Times New Roman" w:eastAsia="Times New Roman" w:hAnsi="Times New Roman" w:cs="Times New Roman"/>
      <w:b/>
      <w:bCs/>
      <w:lang w:eastAsia="en-AU"/>
    </w:rPr>
  </w:style>
  <w:style w:type="paragraph" w:styleId="Heading7">
    <w:name w:val="heading 7"/>
    <w:basedOn w:val="Normal"/>
    <w:next w:val="Normal"/>
    <w:link w:val="Heading7Char"/>
    <w:qFormat/>
    <w:rsid w:val="00BC2455"/>
    <w:pPr>
      <w:numPr>
        <w:ilvl w:val="6"/>
        <w:numId w:val="22"/>
      </w:numPr>
      <w:spacing w:before="240" w:after="60" w:line="240" w:lineRule="auto"/>
      <w:outlineLvl w:val="6"/>
    </w:pPr>
    <w:rPr>
      <w:rFonts w:ascii="Times New Roman" w:eastAsia="Times New Roman" w:hAnsi="Times New Roman" w:cs="Times New Roman"/>
      <w:sz w:val="24"/>
      <w:szCs w:val="24"/>
      <w:lang w:eastAsia="en-AU"/>
    </w:rPr>
  </w:style>
  <w:style w:type="paragraph" w:styleId="Heading8">
    <w:name w:val="heading 8"/>
    <w:basedOn w:val="Normal"/>
    <w:next w:val="Normal"/>
    <w:link w:val="Heading8Char"/>
    <w:qFormat/>
    <w:rsid w:val="00BC2455"/>
    <w:pPr>
      <w:numPr>
        <w:ilvl w:val="7"/>
        <w:numId w:val="22"/>
      </w:numPr>
      <w:spacing w:before="240" w:after="60" w:line="240" w:lineRule="auto"/>
      <w:outlineLvl w:val="7"/>
    </w:pPr>
    <w:rPr>
      <w:rFonts w:ascii="Times New Roman" w:eastAsia="Times New Roman" w:hAnsi="Times New Roman" w:cs="Times New Roman"/>
      <w:i/>
      <w:iCs/>
      <w:sz w:val="24"/>
      <w:szCs w:val="24"/>
      <w:lang w:eastAsia="en-AU"/>
    </w:rPr>
  </w:style>
  <w:style w:type="paragraph" w:styleId="Heading9">
    <w:name w:val="heading 9"/>
    <w:basedOn w:val="Normal"/>
    <w:next w:val="Normal"/>
    <w:link w:val="Heading9Char"/>
    <w:qFormat/>
    <w:rsid w:val="00BC2455"/>
    <w:pPr>
      <w:numPr>
        <w:ilvl w:val="8"/>
        <w:numId w:val="22"/>
      </w:num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6B8"/>
    <w:pPr>
      <w:ind w:left="720"/>
      <w:contextualSpacing/>
    </w:pPr>
  </w:style>
  <w:style w:type="character" w:styleId="FootnoteReference">
    <w:name w:val="footnote reference"/>
    <w:basedOn w:val="DefaultParagraphFont"/>
    <w:rsid w:val="00F26419"/>
    <w:rPr>
      <w:noProof w:val="0"/>
      <w:vertAlign w:val="superscript"/>
      <w:lang w:val="en-GB"/>
    </w:rPr>
  </w:style>
  <w:style w:type="paragraph" w:styleId="FootnoteText">
    <w:name w:val="footnote text"/>
    <w:basedOn w:val="Normal"/>
    <w:link w:val="FootnoteTextChar"/>
    <w:rsid w:val="0065197D"/>
    <w:pPr>
      <w:tabs>
        <w:tab w:val="left" w:pos="850"/>
        <w:tab w:val="left" w:pos="1191"/>
        <w:tab w:val="left" w:pos="1531"/>
      </w:tabs>
      <w:spacing w:after="0" w:line="240" w:lineRule="auto"/>
    </w:pPr>
    <w:rPr>
      <w:rFonts w:eastAsia="Times New Roman" w:cs="Times New Roman"/>
      <w:sz w:val="18"/>
      <w:szCs w:val="20"/>
      <w:lang w:val="en-GB"/>
    </w:rPr>
  </w:style>
  <w:style w:type="character" w:customStyle="1" w:styleId="FootnoteTextChar">
    <w:name w:val="Footnote Text Char"/>
    <w:basedOn w:val="DefaultParagraphFont"/>
    <w:link w:val="FootnoteText"/>
    <w:rsid w:val="0065197D"/>
    <w:rPr>
      <w:rFonts w:eastAsia="Times New Roman" w:cs="Times New Roman"/>
      <w:sz w:val="18"/>
      <w:szCs w:val="20"/>
      <w:lang w:val="en-GB"/>
    </w:rPr>
  </w:style>
  <w:style w:type="paragraph" w:styleId="Header">
    <w:name w:val="header"/>
    <w:basedOn w:val="Normal"/>
    <w:link w:val="HeaderChar"/>
    <w:uiPriority w:val="99"/>
    <w:unhideWhenUsed/>
    <w:rsid w:val="00AD49CD"/>
    <w:pPr>
      <w:tabs>
        <w:tab w:val="center" w:pos="4677"/>
        <w:tab w:val="right" w:pos="9355"/>
      </w:tabs>
      <w:spacing w:after="0" w:line="240" w:lineRule="auto"/>
    </w:pPr>
  </w:style>
  <w:style w:type="character" w:customStyle="1" w:styleId="HeaderChar">
    <w:name w:val="Header Char"/>
    <w:basedOn w:val="DefaultParagraphFont"/>
    <w:link w:val="Header"/>
    <w:uiPriority w:val="99"/>
    <w:rsid w:val="00AD49CD"/>
  </w:style>
  <w:style w:type="paragraph" w:styleId="Footer">
    <w:name w:val="footer"/>
    <w:basedOn w:val="Normal"/>
    <w:link w:val="FooterChar"/>
    <w:uiPriority w:val="99"/>
    <w:unhideWhenUsed/>
    <w:rsid w:val="00AD49CD"/>
    <w:pPr>
      <w:tabs>
        <w:tab w:val="center" w:pos="4677"/>
        <w:tab w:val="right" w:pos="9355"/>
      </w:tabs>
      <w:spacing w:after="0" w:line="240" w:lineRule="auto"/>
    </w:pPr>
  </w:style>
  <w:style w:type="character" w:customStyle="1" w:styleId="FooterChar">
    <w:name w:val="Footer Char"/>
    <w:basedOn w:val="DefaultParagraphFont"/>
    <w:link w:val="Footer"/>
    <w:uiPriority w:val="99"/>
    <w:rsid w:val="00AD49CD"/>
  </w:style>
  <w:style w:type="paragraph" w:customStyle="1" w:styleId="Standard">
    <w:name w:val="Standard"/>
    <w:rsid w:val="008E6554"/>
    <w:pPr>
      <w:suppressAutoHyphens/>
      <w:autoSpaceDN w:val="0"/>
      <w:spacing w:after="0" w:line="240" w:lineRule="auto"/>
      <w:textAlignment w:val="baseline"/>
    </w:pPr>
    <w:rPr>
      <w:rFonts w:ascii="Times New Roman" w:eastAsia="Arial" w:hAnsi="Times New Roman" w:cs="Times New Roman"/>
      <w:color w:val="000000"/>
      <w:kern w:val="3"/>
      <w:sz w:val="24"/>
      <w:szCs w:val="24"/>
      <w:lang w:val="en-US" w:eastAsia="ar-SA"/>
    </w:rPr>
  </w:style>
  <w:style w:type="paragraph" w:customStyle="1" w:styleId="Textbody">
    <w:name w:val="Text body"/>
    <w:basedOn w:val="Standard"/>
    <w:rsid w:val="008E6554"/>
    <w:pPr>
      <w:spacing w:after="120"/>
    </w:pPr>
  </w:style>
  <w:style w:type="paragraph" w:customStyle="1" w:styleId="Footnote">
    <w:name w:val="Footnote"/>
    <w:basedOn w:val="Standard"/>
    <w:rsid w:val="008E6554"/>
    <w:pPr>
      <w:suppressLineNumbers/>
      <w:spacing w:after="200"/>
      <w:ind w:left="283" w:hanging="283"/>
    </w:pPr>
    <w:rPr>
      <w:sz w:val="20"/>
      <w:szCs w:val="20"/>
    </w:rPr>
  </w:style>
  <w:style w:type="numbering" w:customStyle="1" w:styleId="WWNum2">
    <w:name w:val="WWNum2"/>
    <w:basedOn w:val="NoList"/>
    <w:rsid w:val="008E6554"/>
    <w:pPr>
      <w:numPr>
        <w:numId w:val="12"/>
      </w:numPr>
    </w:pPr>
  </w:style>
  <w:style w:type="character" w:styleId="Hyperlink">
    <w:name w:val="Hyperlink"/>
    <w:uiPriority w:val="99"/>
    <w:unhideWhenUsed/>
    <w:rsid w:val="008E6554"/>
    <w:rPr>
      <w:color w:val="0000FF"/>
      <w:u w:val="single"/>
    </w:rPr>
  </w:style>
  <w:style w:type="paragraph" w:styleId="Caption">
    <w:name w:val="caption"/>
    <w:basedOn w:val="Normal"/>
    <w:next w:val="Normal"/>
    <w:unhideWhenUsed/>
    <w:qFormat/>
    <w:rsid w:val="003814CC"/>
    <w:pPr>
      <w:spacing w:after="0" w:line="240" w:lineRule="auto"/>
    </w:pPr>
    <w:rPr>
      <w:rFonts w:ascii="Times New Roman" w:eastAsia="Times New Roman" w:hAnsi="Times New Roman" w:cs="Times New Roman"/>
      <w:b/>
      <w:bCs/>
      <w:sz w:val="20"/>
      <w:szCs w:val="20"/>
    </w:rPr>
  </w:style>
  <w:style w:type="paragraph" w:customStyle="1" w:styleId="Default">
    <w:name w:val="Default"/>
    <w:rsid w:val="003814C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rsid w:val="00026145"/>
    <w:rPr>
      <w:rFonts w:eastAsia="Times New Roman" w:cs="Arial"/>
      <w:b/>
      <w:bCs/>
      <w:kern w:val="32"/>
      <w:sz w:val="24"/>
      <w:szCs w:val="32"/>
      <w:lang w:eastAsia="en-AU"/>
    </w:rPr>
  </w:style>
  <w:style w:type="character" w:customStyle="1" w:styleId="Heading2Char">
    <w:name w:val="Heading 2 Char"/>
    <w:basedOn w:val="DefaultParagraphFont"/>
    <w:link w:val="Heading2"/>
    <w:rsid w:val="00BC2455"/>
    <w:rPr>
      <w:rFonts w:ascii="Arial" w:eastAsia="Times New Roman" w:hAnsi="Arial" w:cs="Arial"/>
      <w:b/>
      <w:bCs/>
      <w:iCs/>
      <w:sz w:val="24"/>
      <w:szCs w:val="28"/>
      <w:lang w:eastAsia="en-AU"/>
    </w:rPr>
  </w:style>
  <w:style w:type="character" w:customStyle="1" w:styleId="Heading3Char">
    <w:name w:val="Heading 3 Char"/>
    <w:basedOn w:val="DefaultParagraphFont"/>
    <w:link w:val="Heading3"/>
    <w:rsid w:val="00BC2455"/>
    <w:rPr>
      <w:rFonts w:ascii="Arial" w:eastAsia="Times New Roman" w:hAnsi="Arial" w:cs="Arial"/>
      <w:b/>
      <w:bCs/>
      <w:sz w:val="26"/>
      <w:szCs w:val="26"/>
      <w:lang w:eastAsia="en-AU"/>
    </w:rPr>
  </w:style>
  <w:style w:type="character" w:customStyle="1" w:styleId="Heading4Char">
    <w:name w:val="Heading 4 Char"/>
    <w:basedOn w:val="DefaultParagraphFont"/>
    <w:link w:val="Heading4"/>
    <w:rsid w:val="00BC2455"/>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BC2455"/>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BC245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BC245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BC245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BC2455"/>
    <w:rPr>
      <w:rFonts w:ascii="Arial" w:eastAsia="Times New Roman" w:hAnsi="Arial" w:cs="Arial"/>
      <w:lang w:eastAsia="en-AU"/>
    </w:rPr>
  </w:style>
  <w:style w:type="paragraph" w:styleId="NormalWeb">
    <w:name w:val="Normal (Web)"/>
    <w:basedOn w:val="Normal"/>
    <w:uiPriority w:val="99"/>
    <w:rsid w:val="00E0094B"/>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10ED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310ED3"/>
    <w:pPr>
      <w:spacing w:after="100"/>
      <w:ind w:left="220"/>
    </w:pPr>
  </w:style>
  <w:style w:type="paragraph" w:styleId="BalloonText">
    <w:name w:val="Balloon Text"/>
    <w:basedOn w:val="Normal"/>
    <w:link w:val="BalloonTextChar"/>
    <w:uiPriority w:val="99"/>
    <w:semiHidden/>
    <w:unhideWhenUsed/>
    <w:rsid w:val="00310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D3"/>
    <w:rPr>
      <w:rFonts w:ascii="Tahoma" w:hAnsi="Tahoma" w:cs="Tahoma"/>
      <w:sz w:val="16"/>
      <w:szCs w:val="16"/>
    </w:rPr>
  </w:style>
  <w:style w:type="paragraph" w:styleId="TOC1">
    <w:name w:val="toc 1"/>
    <w:basedOn w:val="Normal"/>
    <w:next w:val="Normal"/>
    <w:autoRedefine/>
    <w:uiPriority w:val="39"/>
    <w:unhideWhenUsed/>
    <w:rsid w:val="005C4A1B"/>
    <w:pPr>
      <w:tabs>
        <w:tab w:val="left" w:pos="440"/>
        <w:tab w:val="right" w:leader="dot" w:pos="9345"/>
      </w:tabs>
      <w:spacing w:after="100"/>
    </w:pPr>
  </w:style>
  <w:style w:type="character" w:styleId="FollowedHyperlink">
    <w:name w:val="FollowedHyperlink"/>
    <w:basedOn w:val="DefaultParagraphFont"/>
    <w:uiPriority w:val="99"/>
    <w:semiHidden/>
    <w:unhideWhenUsed/>
    <w:rsid w:val="00015F78"/>
    <w:rPr>
      <w:color w:val="800080" w:themeColor="followedHyperlink"/>
      <w:u w:val="single"/>
    </w:rPr>
  </w:style>
  <w:style w:type="character" w:styleId="CommentReference">
    <w:name w:val="annotation reference"/>
    <w:basedOn w:val="DefaultParagraphFont"/>
    <w:uiPriority w:val="99"/>
    <w:semiHidden/>
    <w:unhideWhenUsed/>
    <w:rsid w:val="00A93C19"/>
    <w:rPr>
      <w:sz w:val="16"/>
      <w:szCs w:val="16"/>
    </w:rPr>
  </w:style>
  <w:style w:type="paragraph" w:styleId="CommentText">
    <w:name w:val="annotation text"/>
    <w:basedOn w:val="Normal"/>
    <w:link w:val="CommentTextChar"/>
    <w:uiPriority w:val="99"/>
    <w:semiHidden/>
    <w:unhideWhenUsed/>
    <w:rsid w:val="00A93C19"/>
    <w:pPr>
      <w:spacing w:line="240" w:lineRule="auto"/>
    </w:pPr>
    <w:rPr>
      <w:sz w:val="20"/>
      <w:szCs w:val="20"/>
    </w:rPr>
  </w:style>
  <w:style w:type="character" w:customStyle="1" w:styleId="CommentTextChar">
    <w:name w:val="Comment Text Char"/>
    <w:basedOn w:val="DefaultParagraphFont"/>
    <w:link w:val="CommentText"/>
    <w:uiPriority w:val="99"/>
    <w:semiHidden/>
    <w:rsid w:val="00A93C19"/>
    <w:rPr>
      <w:sz w:val="20"/>
      <w:szCs w:val="20"/>
    </w:rPr>
  </w:style>
  <w:style w:type="paragraph" w:styleId="CommentSubject">
    <w:name w:val="annotation subject"/>
    <w:basedOn w:val="CommentText"/>
    <w:next w:val="CommentText"/>
    <w:link w:val="CommentSubjectChar"/>
    <w:uiPriority w:val="99"/>
    <w:semiHidden/>
    <w:unhideWhenUsed/>
    <w:rsid w:val="00A93C19"/>
    <w:rPr>
      <w:b/>
      <w:bCs/>
    </w:rPr>
  </w:style>
  <w:style w:type="character" w:customStyle="1" w:styleId="CommentSubjectChar">
    <w:name w:val="Comment Subject Char"/>
    <w:basedOn w:val="CommentTextChar"/>
    <w:link w:val="CommentSubject"/>
    <w:uiPriority w:val="99"/>
    <w:semiHidden/>
    <w:rsid w:val="00A93C19"/>
    <w:rPr>
      <w:b/>
      <w:bCs/>
      <w:sz w:val="20"/>
      <w:szCs w:val="20"/>
    </w:rPr>
  </w:style>
  <w:style w:type="paragraph" w:styleId="EndnoteText">
    <w:name w:val="endnote text"/>
    <w:basedOn w:val="Normal"/>
    <w:link w:val="EndnoteTextChar"/>
    <w:uiPriority w:val="99"/>
    <w:unhideWhenUsed/>
    <w:rsid w:val="00404C5A"/>
    <w:pPr>
      <w:spacing w:after="0" w:line="240" w:lineRule="auto"/>
    </w:pPr>
    <w:rPr>
      <w:sz w:val="20"/>
      <w:szCs w:val="20"/>
    </w:rPr>
  </w:style>
  <w:style w:type="character" w:customStyle="1" w:styleId="EndnoteTextChar">
    <w:name w:val="Endnote Text Char"/>
    <w:basedOn w:val="DefaultParagraphFont"/>
    <w:link w:val="EndnoteText"/>
    <w:uiPriority w:val="99"/>
    <w:rsid w:val="00404C5A"/>
    <w:rPr>
      <w:sz w:val="20"/>
      <w:szCs w:val="20"/>
    </w:rPr>
  </w:style>
  <w:style w:type="character" w:styleId="EndnoteReference">
    <w:name w:val="endnote reference"/>
    <w:basedOn w:val="DefaultParagraphFont"/>
    <w:uiPriority w:val="99"/>
    <w:semiHidden/>
    <w:unhideWhenUsed/>
    <w:rsid w:val="00404C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456903">
      <w:bodyDiv w:val="1"/>
      <w:marLeft w:val="0"/>
      <w:marRight w:val="0"/>
      <w:marTop w:val="0"/>
      <w:marBottom w:val="0"/>
      <w:divBdr>
        <w:top w:val="none" w:sz="0" w:space="0" w:color="auto"/>
        <w:left w:val="none" w:sz="0" w:space="0" w:color="auto"/>
        <w:bottom w:val="none" w:sz="0" w:space="0" w:color="auto"/>
        <w:right w:val="none" w:sz="0" w:space="0" w:color="auto"/>
      </w:divBdr>
    </w:div>
    <w:div w:id="1505439281">
      <w:bodyDiv w:val="1"/>
      <w:marLeft w:val="0"/>
      <w:marRight w:val="0"/>
      <w:marTop w:val="0"/>
      <w:marBottom w:val="0"/>
      <w:divBdr>
        <w:top w:val="none" w:sz="0" w:space="0" w:color="auto"/>
        <w:left w:val="none" w:sz="0" w:space="0" w:color="auto"/>
        <w:bottom w:val="none" w:sz="0" w:space="0" w:color="auto"/>
        <w:right w:val="none" w:sz="0" w:space="0" w:color="auto"/>
      </w:divBdr>
    </w:div>
    <w:div w:id="21255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40CA-C183-4FE2-A034-712720AF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Genia</dc:creator>
  <cp:lastModifiedBy>utsadmin</cp:lastModifiedBy>
  <cp:revision>2</cp:revision>
  <cp:lastPrinted>2013-05-15T03:10:00Z</cp:lastPrinted>
  <dcterms:created xsi:type="dcterms:W3CDTF">2015-09-04T05:28:00Z</dcterms:created>
  <dcterms:modified xsi:type="dcterms:W3CDTF">2015-09-04T05:28:00Z</dcterms:modified>
</cp:coreProperties>
</file>