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4A3" w14:textId="77777777" w:rsidR="001A3B80" w:rsidRDefault="001A3B80" w:rsidP="001A3B80">
      <w:pPr>
        <w:tabs>
          <w:tab w:val="left" w:pos="34"/>
        </w:tabs>
        <w:spacing w:after="0" w:line="240" w:lineRule="auto"/>
        <w:ind w:firstLine="34"/>
        <w:rPr>
          <w:sz w:val="24"/>
          <w:szCs w:val="24"/>
        </w:rPr>
      </w:pPr>
    </w:p>
    <w:p w14:paraId="5CD178C7" w14:textId="5A0F11D9" w:rsidR="001A3B80" w:rsidRPr="00C56F13" w:rsidRDefault="00C56F13" w:rsidP="00EC6B60">
      <w:pPr>
        <w:tabs>
          <w:tab w:val="left" w:pos="34"/>
        </w:tabs>
        <w:spacing w:after="0" w:line="240" w:lineRule="auto"/>
        <w:ind w:firstLine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Establishing</w:t>
      </w:r>
      <w:r w:rsidRPr="00C56F13">
        <w:rPr>
          <w:b/>
          <w:sz w:val="24"/>
          <w:szCs w:val="24"/>
        </w:rPr>
        <w:t xml:space="preserve"> large scale therapy fidelity processes in the Very Early Rehabilitation in SpEech (VERSE) clinical trial</w:t>
      </w:r>
      <w:r>
        <w:rPr>
          <w:b/>
          <w:sz w:val="24"/>
          <w:szCs w:val="24"/>
        </w:rPr>
        <w:t xml:space="preserve">: </w:t>
      </w:r>
      <w:r w:rsidR="00905FC5">
        <w:rPr>
          <w:b/>
          <w:sz w:val="24"/>
          <w:szCs w:val="24"/>
        </w:rPr>
        <w:t>Lessons learned</w:t>
      </w:r>
      <w:r w:rsidR="00FB5456">
        <w:rPr>
          <w:b/>
          <w:sz w:val="24"/>
          <w:szCs w:val="24"/>
        </w:rPr>
        <w:t>.</w:t>
      </w:r>
      <w:r w:rsidR="00905FC5">
        <w:rPr>
          <w:b/>
          <w:sz w:val="24"/>
          <w:szCs w:val="24"/>
        </w:rPr>
        <w:t xml:space="preserve"> </w:t>
      </w:r>
    </w:p>
    <w:p w14:paraId="6B134088" w14:textId="77777777" w:rsidR="001A3B80" w:rsidRDefault="001A3B80" w:rsidP="001A3B80">
      <w:pPr>
        <w:tabs>
          <w:tab w:val="left" w:pos="34"/>
        </w:tabs>
        <w:spacing w:after="0" w:line="240" w:lineRule="auto"/>
        <w:ind w:firstLine="34"/>
        <w:rPr>
          <w:sz w:val="24"/>
          <w:szCs w:val="24"/>
        </w:rPr>
      </w:pPr>
    </w:p>
    <w:p w14:paraId="5C9FA43B" w14:textId="0F598C5F" w:rsidR="00C56F13" w:rsidRPr="00EE6802" w:rsidRDefault="00C56F13" w:rsidP="00C56F13">
      <w:pPr>
        <w:tabs>
          <w:tab w:val="left" w:pos="284"/>
        </w:tabs>
        <w:ind w:left="284"/>
        <w:jc w:val="center"/>
        <w:rPr>
          <w:rFonts w:ascii="Arial" w:hAnsi="Arial" w:cs="Arial"/>
          <w:sz w:val="20"/>
          <w:szCs w:val="20"/>
          <w:lang w:val="en-GB"/>
        </w:rPr>
      </w:pPr>
      <w:bookmarkStart w:id="0" w:name="Author_1"/>
      <w:r w:rsidRPr="00CC5A43">
        <w:rPr>
          <w:rFonts w:ascii="Arial" w:hAnsi="Arial" w:cs="Arial"/>
          <w:sz w:val="20"/>
          <w:szCs w:val="20"/>
          <w:u w:val="single"/>
          <w:lang w:val="en-GB"/>
        </w:rPr>
        <w:t>E. Godecke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proofErr w:type="gramStart"/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,2</w:t>
      </w:r>
      <w:proofErr w:type="gramEnd"/>
      <w:r w:rsidRPr="00CC5A43">
        <w:rPr>
          <w:rFonts w:ascii="Arial" w:hAnsi="Arial" w:cs="Arial"/>
          <w:sz w:val="20"/>
          <w:szCs w:val="20"/>
          <w:lang w:val="en-GB"/>
        </w:rPr>
        <w:t>, E. Armstrong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1,2</w:t>
      </w:r>
      <w:r w:rsidRPr="00CC5A43">
        <w:rPr>
          <w:rFonts w:ascii="Arial" w:hAnsi="Arial" w:cs="Arial"/>
          <w:sz w:val="20"/>
          <w:szCs w:val="20"/>
          <w:lang w:val="en-GB"/>
        </w:rPr>
        <w:t>, N. Ciccone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1,2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, </w:t>
      </w:r>
      <w:r w:rsidRPr="00CC5A43">
        <w:rPr>
          <w:rFonts w:ascii="Arial" w:hAnsi="Arial" w:cs="Arial"/>
          <w:sz w:val="20"/>
          <w:szCs w:val="20"/>
          <w:lang w:val="en-GB"/>
        </w:rPr>
        <w:t xml:space="preserve"> S. Middleton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CC5A43">
        <w:rPr>
          <w:rFonts w:ascii="Arial" w:hAnsi="Arial" w:cs="Arial"/>
          <w:sz w:val="20"/>
          <w:szCs w:val="20"/>
          <w:lang w:val="en-GB"/>
        </w:rPr>
        <w:t>, T. Rai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4</w:t>
      </w:r>
      <w:r w:rsidRPr="00CC5A43">
        <w:rPr>
          <w:rFonts w:ascii="Arial" w:hAnsi="Arial" w:cs="Arial"/>
          <w:sz w:val="20"/>
          <w:szCs w:val="20"/>
          <w:lang w:val="en-GB"/>
        </w:rPr>
        <w:t>, A. Holland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5</w:t>
      </w:r>
      <w:r w:rsidRPr="00CC5A43">
        <w:rPr>
          <w:rFonts w:ascii="Arial" w:hAnsi="Arial" w:cs="Arial"/>
          <w:sz w:val="20"/>
          <w:szCs w:val="20"/>
          <w:lang w:val="en-GB"/>
        </w:rPr>
        <w:t>, D. Cadilhac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6</w:t>
      </w:r>
      <w:r w:rsidR="00896CC3">
        <w:rPr>
          <w:rFonts w:ascii="Arial" w:hAnsi="Arial" w:cs="Arial"/>
          <w:sz w:val="20"/>
          <w:szCs w:val="20"/>
          <w:lang w:val="en-GB"/>
        </w:rPr>
        <w:t xml:space="preserve">, </w:t>
      </w:r>
      <w:r w:rsidRPr="00CC5A43">
        <w:rPr>
          <w:rFonts w:ascii="Arial" w:hAnsi="Arial" w:cs="Arial"/>
          <w:sz w:val="20"/>
          <w:szCs w:val="20"/>
          <w:lang w:val="en-GB"/>
        </w:rPr>
        <w:t>M. Rose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8</w:t>
      </w:r>
      <w:r w:rsidRPr="00CC5A43">
        <w:rPr>
          <w:rFonts w:ascii="Arial" w:hAnsi="Arial" w:cs="Arial"/>
          <w:sz w:val="20"/>
          <w:szCs w:val="20"/>
          <w:lang w:val="en-GB"/>
        </w:rPr>
        <w:t xml:space="preserve">, </w:t>
      </w:r>
      <w:r w:rsidR="00896CC3" w:rsidRPr="00CC5A43">
        <w:rPr>
          <w:rFonts w:ascii="Arial" w:hAnsi="Arial" w:cs="Arial"/>
          <w:sz w:val="20"/>
          <w:szCs w:val="20"/>
          <w:lang w:val="en-GB"/>
        </w:rPr>
        <w:t>A. Whitworth</w:t>
      </w:r>
      <w:r w:rsidR="00896CC3" w:rsidRPr="00CC5A43">
        <w:rPr>
          <w:rFonts w:ascii="Arial" w:hAnsi="Arial" w:cs="Arial"/>
          <w:sz w:val="20"/>
          <w:szCs w:val="20"/>
          <w:vertAlign w:val="superscript"/>
          <w:lang w:val="en-GB"/>
        </w:rPr>
        <w:t>7</w:t>
      </w:r>
      <w:r w:rsidR="00896CC3" w:rsidRPr="00CC5A43">
        <w:rPr>
          <w:rFonts w:ascii="Arial" w:hAnsi="Arial" w:cs="Arial"/>
          <w:sz w:val="20"/>
          <w:szCs w:val="20"/>
          <w:lang w:val="en-GB"/>
        </w:rPr>
        <w:t>,</w:t>
      </w:r>
      <w:r w:rsidRPr="00CC5A43">
        <w:rPr>
          <w:rFonts w:ascii="Arial" w:hAnsi="Arial" w:cs="Arial"/>
          <w:sz w:val="20"/>
          <w:szCs w:val="20"/>
          <w:lang w:val="en-GB"/>
        </w:rPr>
        <w:t xml:space="preserve">GJ. </w:t>
      </w:r>
      <w:bookmarkEnd w:id="0"/>
      <w:r w:rsidRPr="00CC5A43">
        <w:rPr>
          <w:rFonts w:ascii="Arial" w:hAnsi="Arial" w:cs="Arial"/>
          <w:sz w:val="20"/>
          <w:szCs w:val="20"/>
          <w:lang w:val="en-GB"/>
        </w:rPr>
        <w:t>Hankey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9</w:t>
      </w:r>
      <w:proofErr w:type="gramStart"/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,10</w:t>
      </w:r>
      <w:proofErr w:type="gramEnd"/>
      <w:r w:rsidR="004E335C" w:rsidRPr="004E335C">
        <w:rPr>
          <w:rFonts w:ascii="Arial" w:hAnsi="Arial" w:cs="Arial"/>
          <w:sz w:val="20"/>
          <w:szCs w:val="20"/>
          <w:lang w:val="en-GB"/>
        </w:rPr>
        <w:t>,</w:t>
      </w:r>
      <w:r w:rsidR="004E335C">
        <w:rPr>
          <w:rFonts w:ascii="Arial" w:hAnsi="Arial" w:cs="Arial"/>
          <w:sz w:val="20"/>
          <w:szCs w:val="20"/>
          <w:lang w:val="en-GB"/>
        </w:rPr>
        <w:t xml:space="preserve"> F. Ellery</w:t>
      </w:r>
      <w:r w:rsidRPr="00CC5A43">
        <w:rPr>
          <w:rFonts w:ascii="Arial" w:hAnsi="Arial" w:cs="Arial"/>
          <w:sz w:val="20"/>
          <w:szCs w:val="20"/>
          <w:lang w:val="en-GB"/>
        </w:rPr>
        <w:t xml:space="preserve"> and J. Bernhardt</w:t>
      </w:r>
      <w:r w:rsidRPr="00CC5A43">
        <w:rPr>
          <w:rFonts w:ascii="Arial" w:hAnsi="Arial" w:cs="Arial"/>
          <w:sz w:val="20"/>
          <w:szCs w:val="20"/>
          <w:vertAlign w:val="superscript"/>
          <w:lang w:val="en-GB"/>
        </w:rPr>
        <w:t>11</w:t>
      </w:r>
    </w:p>
    <w:p w14:paraId="736C4AF7" w14:textId="02B30065" w:rsidR="00C56F13" w:rsidRPr="008F3D3F" w:rsidRDefault="008F3D3F" w:rsidP="001A3B80">
      <w:pPr>
        <w:tabs>
          <w:tab w:val="left" w:pos="34"/>
        </w:tabs>
        <w:spacing w:after="0" w:line="240" w:lineRule="auto"/>
        <w:ind w:firstLine="34"/>
        <w:rPr>
          <w:sz w:val="24"/>
          <w:szCs w:val="24"/>
        </w:rPr>
      </w:pPr>
      <w:r w:rsidRPr="008F3D3F">
        <w:rPr>
          <w:b/>
          <w:sz w:val="24"/>
          <w:szCs w:val="24"/>
        </w:rPr>
        <w:t xml:space="preserve">Keywords: </w:t>
      </w:r>
      <w:r>
        <w:rPr>
          <w:sz w:val="24"/>
          <w:szCs w:val="24"/>
        </w:rPr>
        <w:t xml:space="preserve"> Aphasia, early rehabilitation, therapy fidelity</w:t>
      </w:r>
    </w:p>
    <w:p w14:paraId="2F1D0EAD" w14:textId="3ABD26CC" w:rsidR="00C555F9" w:rsidRDefault="00C555F9" w:rsidP="00C56F1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</w:p>
    <w:p w14:paraId="08C8D51F" w14:textId="1F242EA2" w:rsidR="00C555F9" w:rsidRPr="002A025B" w:rsidRDefault="00417E7C" w:rsidP="00C56F1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  <w:bookmarkStart w:id="1" w:name="_GoBack"/>
      <w:r w:rsidRPr="00284AF5">
        <w:rPr>
          <w:b/>
          <w:sz w:val="24"/>
          <w:szCs w:val="24"/>
        </w:rPr>
        <w:t>Background</w:t>
      </w:r>
      <w:r>
        <w:rPr>
          <w:sz w:val="24"/>
          <w:szCs w:val="24"/>
        </w:rPr>
        <w:t xml:space="preserve">: </w:t>
      </w:r>
      <w:r w:rsidR="00C555F9">
        <w:rPr>
          <w:sz w:val="24"/>
          <w:szCs w:val="24"/>
        </w:rPr>
        <w:t xml:space="preserve">Therapy fidelity is rarely reported in aphasia research. This omission contributes to the lack of clarity surrounding </w:t>
      </w:r>
      <w:r w:rsidR="00543FC9">
        <w:rPr>
          <w:sz w:val="24"/>
          <w:szCs w:val="24"/>
        </w:rPr>
        <w:t xml:space="preserve">the </w:t>
      </w:r>
      <w:r w:rsidR="00C555F9">
        <w:rPr>
          <w:sz w:val="24"/>
          <w:szCs w:val="24"/>
        </w:rPr>
        <w:t>efficacy of aphasia therapy. This paper reports the processes</w:t>
      </w:r>
      <w:r w:rsidR="00113D96">
        <w:rPr>
          <w:sz w:val="24"/>
          <w:szCs w:val="24"/>
        </w:rPr>
        <w:t xml:space="preserve"> developed</w:t>
      </w:r>
      <w:r w:rsidR="007B072E">
        <w:rPr>
          <w:sz w:val="24"/>
          <w:szCs w:val="24"/>
        </w:rPr>
        <w:t>,</w:t>
      </w:r>
      <w:r w:rsidR="00C555F9">
        <w:rPr>
          <w:sz w:val="24"/>
          <w:szCs w:val="24"/>
        </w:rPr>
        <w:t xml:space="preserve"> </w:t>
      </w:r>
      <w:r w:rsidR="00113D96">
        <w:rPr>
          <w:sz w:val="24"/>
          <w:szCs w:val="24"/>
        </w:rPr>
        <w:t xml:space="preserve">and the </w:t>
      </w:r>
      <w:r w:rsidR="007B072E">
        <w:rPr>
          <w:sz w:val="24"/>
          <w:szCs w:val="24"/>
        </w:rPr>
        <w:t xml:space="preserve">barriers and facilitators </w:t>
      </w:r>
      <w:r w:rsidR="00C555F9">
        <w:rPr>
          <w:sz w:val="24"/>
          <w:szCs w:val="24"/>
        </w:rPr>
        <w:t xml:space="preserve">involved in measuring therapy fidelity in </w:t>
      </w:r>
      <w:r w:rsidR="007B072E">
        <w:rPr>
          <w:sz w:val="24"/>
          <w:szCs w:val="24"/>
        </w:rPr>
        <w:t xml:space="preserve">a complex clinical trial - </w:t>
      </w:r>
      <w:r w:rsidR="00D452FB">
        <w:rPr>
          <w:sz w:val="24"/>
          <w:szCs w:val="24"/>
        </w:rPr>
        <w:t xml:space="preserve">VERSE, </w:t>
      </w:r>
      <w:r w:rsidR="00C555F9">
        <w:rPr>
          <w:sz w:val="24"/>
          <w:szCs w:val="24"/>
        </w:rPr>
        <w:t>an Australian three arm RCT</w:t>
      </w:r>
      <w:r w:rsidR="00830A20">
        <w:rPr>
          <w:sz w:val="24"/>
          <w:szCs w:val="24"/>
        </w:rPr>
        <w:t xml:space="preserve"> </w:t>
      </w:r>
      <w:r w:rsidR="00C555F9">
        <w:rPr>
          <w:sz w:val="24"/>
          <w:szCs w:val="24"/>
        </w:rPr>
        <w:t xml:space="preserve">investigating the efficacy of </w:t>
      </w:r>
      <w:r w:rsidR="007B072E">
        <w:rPr>
          <w:sz w:val="24"/>
          <w:szCs w:val="24"/>
        </w:rPr>
        <w:t xml:space="preserve">early post stroke </w:t>
      </w:r>
      <w:r w:rsidR="00C555F9">
        <w:rPr>
          <w:sz w:val="24"/>
          <w:szCs w:val="24"/>
        </w:rPr>
        <w:t xml:space="preserve">aphasia intervention. </w:t>
      </w:r>
    </w:p>
    <w:p w14:paraId="1BA4CAAC" w14:textId="77777777" w:rsidR="001A3B80" w:rsidRDefault="001A3B80" w:rsidP="001A3B80">
      <w:pPr>
        <w:tabs>
          <w:tab w:val="left" w:pos="34"/>
        </w:tabs>
        <w:spacing w:after="0" w:line="240" w:lineRule="auto"/>
        <w:ind w:firstLine="34"/>
        <w:rPr>
          <w:sz w:val="24"/>
          <w:szCs w:val="24"/>
        </w:rPr>
      </w:pPr>
    </w:p>
    <w:p w14:paraId="1BFFFC1B" w14:textId="4417B8E9" w:rsidR="001A3B80" w:rsidRDefault="001A3B80" w:rsidP="00CA219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  <w:r w:rsidRPr="00284AF5">
        <w:rPr>
          <w:b/>
          <w:sz w:val="24"/>
          <w:szCs w:val="24"/>
        </w:rPr>
        <w:t>Methods</w:t>
      </w:r>
      <w:r>
        <w:rPr>
          <w:sz w:val="24"/>
          <w:szCs w:val="24"/>
        </w:rPr>
        <w:t>:</w:t>
      </w:r>
      <w:r w:rsidR="00830A20">
        <w:rPr>
          <w:sz w:val="24"/>
          <w:szCs w:val="24"/>
        </w:rPr>
        <w:t xml:space="preserve"> </w:t>
      </w:r>
      <w:r w:rsidR="00EE56D9">
        <w:rPr>
          <w:sz w:val="24"/>
          <w:szCs w:val="24"/>
        </w:rPr>
        <w:t>Investigators</w:t>
      </w:r>
      <w:r w:rsidR="008076A8">
        <w:rPr>
          <w:sz w:val="24"/>
          <w:szCs w:val="24"/>
        </w:rPr>
        <w:t xml:space="preserve"> are asked to record </w:t>
      </w:r>
      <w:r w:rsidR="00EE56D9">
        <w:rPr>
          <w:sz w:val="24"/>
          <w:szCs w:val="24"/>
        </w:rPr>
        <w:t xml:space="preserve">one </w:t>
      </w:r>
      <w:r w:rsidR="00E614FA">
        <w:rPr>
          <w:sz w:val="24"/>
          <w:szCs w:val="24"/>
        </w:rPr>
        <w:t xml:space="preserve">therapy </w:t>
      </w:r>
      <w:r w:rsidR="008076A8">
        <w:rPr>
          <w:sz w:val="24"/>
          <w:szCs w:val="24"/>
        </w:rPr>
        <w:t xml:space="preserve">session per week for all trial patients. </w:t>
      </w:r>
      <w:r w:rsidR="00830A20">
        <w:rPr>
          <w:sz w:val="24"/>
          <w:szCs w:val="24"/>
        </w:rPr>
        <w:t xml:space="preserve">An independent evaluator will assess therapy fidelity from 4-5 video-recorded sessions (per participant) in </w:t>
      </w:r>
      <w:r w:rsidR="008076A8">
        <w:rPr>
          <w:sz w:val="24"/>
          <w:szCs w:val="24"/>
        </w:rPr>
        <w:t xml:space="preserve">the treatment </w:t>
      </w:r>
      <w:r w:rsidR="00543FC9">
        <w:rPr>
          <w:sz w:val="24"/>
          <w:szCs w:val="24"/>
        </w:rPr>
        <w:t>arms of the study</w:t>
      </w:r>
      <w:r w:rsidR="00830A20">
        <w:rPr>
          <w:sz w:val="24"/>
          <w:szCs w:val="24"/>
        </w:rPr>
        <w:t xml:space="preserve">. </w:t>
      </w:r>
      <w:r w:rsidR="001E05F4">
        <w:rPr>
          <w:sz w:val="24"/>
          <w:szCs w:val="24"/>
        </w:rPr>
        <w:t xml:space="preserve">Sessions from the </w:t>
      </w:r>
      <w:r w:rsidR="00543FC9">
        <w:rPr>
          <w:sz w:val="24"/>
          <w:szCs w:val="24"/>
        </w:rPr>
        <w:t>3rd arm</w:t>
      </w:r>
      <w:r w:rsidR="00830A20">
        <w:rPr>
          <w:sz w:val="24"/>
          <w:szCs w:val="24"/>
        </w:rPr>
        <w:t xml:space="preserve"> will be video-recorded and evaluated as completed.</w:t>
      </w:r>
      <w:r w:rsidR="00D452FB">
        <w:rPr>
          <w:sz w:val="24"/>
          <w:szCs w:val="24"/>
        </w:rPr>
        <w:t xml:space="preserve"> </w:t>
      </w:r>
      <w:r w:rsidR="00830A20">
        <w:rPr>
          <w:sz w:val="24"/>
          <w:szCs w:val="24"/>
        </w:rPr>
        <w:t xml:space="preserve">All </w:t>
      </w:r>
      <w:r w:rsidR="008076A8">
        <w:rPr>
          <w:sz w:val="24"/>
          <w:szCs w:val="24"/>
        </w:rPr>
        <w:t>therapy sessions</w:t>
      </w:r>
      <w:r w:rsidR="00830A20">
        <w:rPr>
          <w:sz w:val="24"/>
          <w:szCs w:val="24"/>
        </w:rPr>
        <w:t xml:space="preserve"> are </w:t>
      </w:r>
      <w:r w:rsidR="00830A20" w:rsidRPr="00CC5A43">
        <w:rPr>
          <w:sz w:val="24"/>
          <w:szCs w:val="24"/>
        </w:rPr>
        <w:t xml:space="preserve">documented in </w:t>
      </w:r>
      <w:r w:rsidR="00830A20">
        <w:rPr>
          <w:sz w:val="24"/>
          <w:szCs w:val="24"/>
        </w:rPr>
        <w:t>the REDCap</w:t>
      </w:r>
      <w:r w:rsidR="00830A20" w:rsidRPr="00DA07E1">
        <w:rPr>
          <w:sz w:val="24"/>
          <w:szCs w:val="24"/>
          <w:vertAlign w:val="superscript"/>
        </w:rPr>
        <w:t>TM</w:t>
      </w:r>
      <w:r w:rsidR="00830A20">
        <w:rPr>
          <w:sz w:val="24"/>
          <w:szCs w:val="24"/>
        </w:rPr>
        <w:t xml:space="preserve"> online database</w:t>
      </w:r>
      <w:r w:rsidR="001E05F4">
        <w:rPr>
          <w:sz w:val="24"/>
          <w:szCs w:val="24"/>
        </w:rPr>
        <w:t>, with data cross</w:t>
      </w:r>
      <w:r w:rsidR="003562DB">
        <w:rPr>
          <w:sz w:val="24"/>
          <w:szCs w:val="24"/>
        </w:rPr>
        <w:t>-</w:t>
      </w:r>
      <w:r w:rsidR="001E05F4">
        <w:rPr>
          <w:sz w:val="24"/>
          <w:szCs w:val="24"/>
        </w:rPr>
        <w:t>checked with the video recorded sessions</w:t>
      </w:r>
      <w:r w:rsidR="000C1FD4">
        <w:rPr>
          <w:sz w:val="24"/>
          <w:szCs w:val="24"/>
        </w:rPr>
        <w:t>.</w:t>
      </w:r>
      <w:r w:rsidR="00830A20">
        <w:rPr>
          <w:sz w:val="24"/>
          <w:szCs w:val="24"/>
        </w:rPr>
        <w:t xml:space="preserve"> </w:t>
      </w:r>
      <w:r w:rsidR="000C1FD4">
        <w:rPr>
          <w:sz w:val="24"/>
          <w:szCs w:val="24"/>
        </w:rPr>
        <w:t xml:space="preserve">The primary outcome is </w:t>
      </w:r>
      <w:r w:rsidR="003562DB">
        <w:rPr>
          <w:sz w:val="24"/>
          <w:szCs w:val="24"/>
        </w:rPr>
        <w:t xml:space="preserve">the </w:t>
      </w:r>
      <w:r w:rsidR="000C1FD4">
        <w:rPr>
          <w:sz w:val="24"/>
          <w:szCs w:val="24"/>
        </w:rPr>
        <w:t xml:space="preserve">amount of </w:t>
      </w:r>
      <w:r w:rsidR="00EC6B60">
        <w:rPr>
          <w:sz w:val="24"/>
          <w:szCs w:val="24"/>
        </w:rPr>
        <w:t xml:space="preserve">time in </w:t>
      </w:r>
      <w:r w:rsidR="000C1FD4">
        <w:rPr>
          <w:sz w:val="24"/>
          <w:szCs w:val="24"/>
        </w:rPr>
        <w:t>therapy</w:t>
      </w:r>
      <w:r w:rsidR="003562DB">
        <w:rPr>
          <w:sz w:val="24"/>
          <w:szCs w:val="24"/>
        </w:rPr>
        <w:t>;</w:t>
      </w:r>
      <w:r w:rsidR="000C1FD4">
        <w:rPr>
          <w:sz w:val="24"/>
          <w:szCs w:val="24"/>
        </w:rPr>
        <w:t xml:space="preserve"> secondary outcomes are therapist adherence to therapy </w:t>
      </w:r>
      <w:r w:rsidR="00284AF5">
        <w:rPr>
          <w:sz w:val="24"/>
          <w:szCs w:val="24"/>
        </w:rPr>
        <w:t>protocol</w:t>
      </w:r>
      <w:r w:rsidR="000C1FD4">
        <w:rPr>
          <w:sz w:val="24"/>
          <w:szCs w:val="24"/>
        </w:rPr>
        <w:t xml:space="preserve">. </w:t>
      </w:r>
      <w:r w:rsidR="00830A20">
        <w:rPr>
          <w:sz w:val="24"/>
          <w:szCs w:val="24"/>
        </w:rPr>
        <w:t xml:space="preserve"> </w:t>
      </w:r>
    </w:p>
    <w:p w14:paraId="4677668F" w14:textId="77777777" w:rsidR="00CA2193" w:rsidRDefault="00CA2193" w:rsidP="00CA219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</w:p>
    <w:p w14:paraId="6DA6521D" w14:textId="1CE75020" w:rsidR="00CA2193" w:rsidRPr="00766984" w:rsidRDefault="00CA2193" w:rsidP="00CA219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  <w:r w:rsidRPr="00DF0C95">
        <w:rPr>
          <w:b/>
          <w:sz w:val="24"/>
          <w:szCs w:val="24"/>
        </w:rPr>
        <w:t>Results</w:t>
      </w:r>
      <w:r w:rsidRPr="00766984">
        <w:rPr>
          <w:sz w:val="24"/>
          <w:szCs w:val="24"/>
        </w:rPr>
        <w:t xml:space="preserve">: </w:t>
      </w:r>
      <w:r w:rsidR="00623DEC">
        <w:rPr>
          <w:sz w:val="24"/>
          <w:szCs w:val="24"/>
        </w:rPr>
        <w:t>57</w:t>
      </w:r>
      <w:r w:rsidR="00F8179F">
        <w:rPr>
          <w:sz w:val="24"/>
          <w:szCs w:val="24"/>
        </w:rPr>
        <w:t xml:space="preserve"> vide</w:t>
      </w:r>
      <w:r w:rsidR="00C830CF">
        <w:rPr>
          <w:sz w:val="24"/>
          <w:szCs w:val="24"/>
        </w:rPr>
        <w:t>os have been received and cross-</w:t>
      </w:r>
      <w:r w:rsidR="00F8179F">
        <w:rPr>
          <w:sz w:val="24"/>
          <w:szCs w:val="24"/>
        </w:rPr>
        <w:t xml:space="preserve">checked. </w:t>
      </w:r>
      <w:r w:rsidRPr="00766984">
        <w:rPr>
          <w:sz w:val="24"/>
          <w:szCs w:val="24"/>
        </w:rPr>
        <w:t>Barriers</w:t>
      </w:r>
      <w:r w:rsidR="0062255D" w:rsidRPr="00766984">
        <w:rPr>
          <w:sz w:val="24"/>
          <w:szCs w:val="24"/>
        </w:rPr>
        <w:t xml:space="preserve"> encountered</w:t>
      </w:r>
      <w:r w:rsidRPr="00766984">
        <w:rPr>
          <w:sz w:val="24"/>
          <w:szCs w:val="24"/>
        </w:rPr>
        <w:t xml:space="preserve"> </w:t>
      </w:r>
      <w:r w:rsidR="0062255D" w:rsidRPr="00766984">
        <w:rPr>
          <w:sz w:val="24"/>
          <w:szCs w:val="24"/>
        </w:rPr>
        <w:t>relate to</w:t>
      </w:r>
      <w:r w:rsidR="00766984" w:rsidRPr="00766984">
        <w:rPr>
          <w:sz w:val="24"/>
          <w:szCs w:val="24"/>
        </w:rPr>
        <w:t xml:space="preserve"> systems </w:t>
      </w:r>
      <w:r w:rsidR="00543FC9">
        <w:rPr>
          <w:sz w:val="24"/>
          <w:szCs w:val="24"/>
        </w:rPr>
        <w:t xml:space="preserve">used to </w:t>
      </w:r>
      <w:r w:rsidR="00766984" w:rsidRPr="00766984">
        <w:rPr>
          <w:sz w:val="24"/>
          <w:szCs w:val="24"/>
        </w:rPr>
        <w:t>transfer large video</w:t>
      </w:r>
      <w:r w:rsidR="00543FC9">
        <w:rPr>
          <w:sz w:val="24"/>
          <w:szCs w:val="24"/>
        </w:rPr>
        <w:t xml:space="preserve"> files</w:t>
      </w:r>
      <w:r w:rsidR="00766984" w:rsidRPr="00766984">
        <w:rPr>
          <w:sz w:val="24"/>
          <w:szCs w:val="24"/>
        </w:rPr>
        <w:t xml:space="preserve"> from sites to </w:t>
      </w:r>
      <w:r w:rsidR="00543FC9">
        <w:rPr>
          <w:sz w:val="24"/>
          <w:szCs w:val="24"/>
        </w:rPr>
        <w:t xml:space="preserve">the </w:t>
      </w:r>
      <w:r w:rsidR="00766984" w:rsidRPr="00766984">
        <w:rPr>
          <w:sz w:val="24"/>
          <w:szCs w:val="24"/>
        </w:rPr>
        <w:t>central research office</w:t>
      </w:r>
      <w:r w:rsidR="00F8179F">
        <w:rPr>
          <w:sz w:val="24"/>
          <w:szCs w:val="24"/>
        </w:rPr>
        <w:t xml:space="preserve"> and </w:t>
      </w:r>
      <w:r w:rsidR="00766984" w:rsidRPr="00766984">
        <w:rPr>
          <w:sz w:val="24"/>
          <w:szCs w:val="24"/>
        </w:rPr>
        <w:t>time required to analyse</w:t>
      </w:r>
      <w:r w:rsidR="00543FC9">
        <w:rPr>
          <w:sz w:val="24"/>
          <w:szCs w:val="24"/>
        </w:rPr>
        <w:t xml:space="preserve"> videos</w:t>
      </w:r>
      <w:r w:rsidR="00766984" w:rsidRPr="00766984">
        <w:rPr>
          <w:sz w:val="24"/>
          <w:szCs w:val="24"/>
        </w:rPr>
        <w:t xml:space="preserve"> due to complex nature of intervention</w:t>
      </w:r>
      <w:r w:rsidR="00F8179F">
        <w:rPr>
          <w:sz w:val="24"/>
          <w:szCs w:val="24"/>
        </w:rPr>
        <w:t xml:space="preserve">. </w:t>
      </w:r>
      <w:r w:rsidRPr="00766984">
        <w:rPr>
          <w:sz w:val="24"/>
          <w:szCs w:val="24"/>
        </w:rPr>
        <w:t xml:space="preserve">Facilitators </w:t>
      </w:r>
      <w:r w:rsidR="00BD442D" w:rsidRPr="00766984">
        <w:rPr>
          <w:sz w:val="24"/>
          <w:szCs w:val="24"/>
        </w:rPr>
        <w:t>relate to ‘people characteristics’ including problem solving skills</w:t>
      </w:r>
      <w:r w:rsidR="00F8179F">
        <w:rPr>
          <w:sz w:val="24"/>
          <w:szCs w:val="24"/>
        </w:rPr>
        <w:t xml:space="preserve"> and innovative thinking </w:t>
      </w:r>
      <w:r w:rsidR="00BD442D" w:rsidRPr="00766984">
        <w:rPr>
          <w:sz w:val="24"/>
          <w:szCs w:val="24"/>
        </w:rPr>
        <w:t xml:space="preserve">and ‘system </w:t>
      </w:r>
      <w:proofErr w:type="gramStart"/>
      <w:r w:rsidR="00BD442D" w:rsidRPr="00766984">
        <w:rPr>
          <w:sz w:val="24"/>
          <w:szCs w:val="24"/>
        </w:rPr>
        <w:t>characteristics’ includ</w:t>
      </w:r>
      <w:r w:rsidR="00C830CF">
        <w:rPr>
          <w:sz w:val="24"/>
          <w:szCs w:val="24"/>
        </w:rPr>
        <w:t>ing</w:t>
      </w:r>
      <w:proofErr w:type="gramEnd"/>
      <w:r w:rsidR="00BD442D" w:rsidRPr="00766984">
        <w:rPr>
          <w:sz w:val="24"/>
          <w:szCs w:val="24"/>
        </w:rPr>
        <w:t xml:space="preserve"> </w:t>
      </w:r>
      <w:r w:rsidR="007F76EC" w:rsidRPr="00766984">
        <w:rPr>
          <w:sz w:val="24"/>
          <w:szCs w:val="24"/>
        </w:rPr>
        <w:t xml:space="preserve">clear </w:t>
      </w:r>
      <w:r w:rsidR="00F8179F" w:rsidRPr="00766984">
        <w:rPr>
          <w:sz w:val="24"/>
          <w:szCs w:val="24"/>
        </w:rPr>
        <w:t>procedure manuals</w:t>
      </w:r>
      <w:r w:rsidR="00543FC9">
        <w:rPr>
          <w:sz w:val="24"/>
          <w:szCs w:val="24"/>
        </w:rPr>
        <w:t>,</w:t>
      </w:r>
      <w:r w:rsidR="00DF0C95">
        <w:rPr>
          <w:sz w:val="24"/>
          <w:szCs w:val="24"/>
        </w:rPr>
        <w:t xml:space="preserve"> </w:t>
      </w:r>
      <w:r w:rsidR="00F8179F">
        <w:rPr>
          <w:sz w:val="24"/>
          <w:szCs w:val="24"/>
        </w:rPr>
        <w:t xml:space="preserve">measurement </w:t>
      </w:r>
      <w:r w:rsidR="0062255D" w:rsidRPr="00766984">
        <w:rPr>
          <w:sz w:val="24"/>
          <w:szCs w:val="24"/>
        </w:rPr>
        <w:t>tools</w:t>
      </w:r>
      <w:r w:rsidR="00F8179F">
        <w:rPr>
          <w:sz w:val="24"/>
          <w:szCs w:val="24"/>
        </w:rPr>
        <w:t xml:space="preserve"> and systematized operating procedures</w:t>
      </w:r>
      <w:r w:rsidR="0062255D" w:rsidRPr="00766984">
        <w:rPr>
          <w:sz w:val="24"/>
          <w:szCs w:val="24"/>
        </w:rPr>
        <w:t>.</w:t>
      </w:r>
    </w:p>
    <w:p w14:paraId="20A91E65" w14:textId="77777777" w:rsidR="00CA2193" w:rsidRPr="00766984" w:rsidRDefault="00CA2193" w:rsidP="00CA219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</w:p>
    <w:p w14:paraId="12FFC5E9" w14:textId="3C023EAE" w:rsidR="00CA2193" w:rsidRDefault="00CA2193" w:rsidP="00CA2193">
      <w:pPr>
        <w:tabs>
          <w:tab w:val="left" w:pos="284"/>
        </w:tabs>
        <w:spacing w:after="0" w:line="240" w:lineRule="auto"/>
        <w:ind w:left="284"/>
        <w:rPr>
          <w:sz w:val="24"/>
          <w:szCs w:val="24"/>
        </w:rPr>
      </w:pPr>
      <w:r w:rsidRPr="00D25B51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This level of </w:t>
      </w:r>
      <w:r w:rsidR="00F02C28">
        <w:rPr>
          <w:sz w:val="24"/>
          <w:szCs w:val="24"/>
        </w:rPr>
        <w:t xml:space="preserve">assessment </w:t>
      </w:r>
      <w:r w:rsidR="00964441">
        <w:rPr>
          <w:sz w:val="24"/>
          <w:szCs w:val="24"/>
        </w:rPr>
        <w:t xml:space="preserve">of </w:t>
      </w:r>
      <w:r>
        <w:rPr>
          <w:sz w:val="24"/>
          <w:szCs w:val="24"/>
        </w:rPr>
        <w:t>treatment fidelity in a large scale aphasia clinical trial has previously not been completed.  Problem solving and documentation of data management processes</w:t>
      </w:r>
      <w:r w:rsidR="00F02C28">
        <w:rPr>
          <w:rStyle w:val="bumpedfont15"/>
          <w:rFonts w:eastAsia="Times New Roman"/>
          <w:sz w:val="24"/>
          <w:szCs w:val="24"/>
        </w:rPr>
        <w:t xml:space="preserve"> ratify</w:t>
      </w:r>
      <w:r w:rsidR="00F02C28" w:rsidRPr="00F02C28">
        <w:rPr>
          <w:rStyle w:val="bumpedfont15"/>
          <w:rFonts w:eastAsia="Times New Roman"/>
          <w:sz w:val="24"/>
          <w:szCs w:val="24"/>
        </w:rPr>
        <w:t xml:space="preserve"> successful monitoring of ongoing therapy fidelity and will contribute significantly to translation of trial findings</w:t>
      </w:r>
      <w:r>
        <w:rPr>
          <w:sz w:val="24"/>
          <w:szCs w:val="24"/>
        </w:rPr>
        <w:t xml:space="preserve">. </w:t>
      </w:r>
    </w:p>
    <w:bookmarkEnd w:id="1"/>
    <w:p w14:paraId="79583E7A" w14:textId="77777777" w:rsidR="00C56F13" w:rsidRDefault="00C56F13" w:rsidP="001A3B80">
      <w:pPr>
        <w:tabs>
          <w:tab w:val="left" w:pos="34"/>
        </w:tabs>
        <w:spacing w:after="0" w:line="240" w:lineRule="auto"/>
        <w:ind w:firstLine="34"/>
        <w:rPr>
          <w:sz w:val="24"/>
          <w:szCs w:val="24"/>
        </w:rPr>
      </w:pPr>
    </w:p>
    <w:sectPr w:rsidR="00C56F13" w:rsidSect="0053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80"/>
    <w:rsid w:val="000B71E9"/>
    <w:rsid w:val="000C1FD4"/>
    <w:rsid w:val="000C3AF4"/>
    <w:rsid w:val="000D6809"/>
    <w:rsid w:val="000D7C9A"/>
    <w:rsid w:val="00113D96"/>
    <w:rsid w:val="00161DA9"/>
    <w:rsid w:val="001A3B80"/>
    <w:rsid w:val="001E05F4"/>
    <w:rsid w:val="00284AF5"/>
    <w:rsid w:val="002A1A82"/>
    <w:rsid w:val="002E2609"/>
    <w:rsid w:val="002E2AFA"/>
    <w:rsid w:val="0033357E"/>
    <w:rsid w:val="003562DB"/>
    <w:rsid w:val="00417E7C"/>
    <w:rsid w:val="00420F81"/>
    <w:rsid w:val="004E335C"/>
    <w:rsid w:val="0053590C"/>
    <w:rsid w:val="00543FC9"/>
    <w:rsid w:val="0062255D"/>
    <w:rsid w:val="00623DEC"/>
    <w:rsid w:val="006C349F"/>
    <w:rsid w:val="006C6ECE"/>
    <w:rsid w:val="00766984"/>
    <w:rsid w:val="007B072E"/>
    <w:rsid w:val="007F76EC"/>
    <w:rsid w:val="008076A8"/>
    <w:rsid w:val="00815F74"/>
    <w:rsid w:val="00830A20"/>
    <w:rsid w:val="00896CC3"/>
    <w:rsid w:val="008B287E"/>
    <w:rsid w:val="008F3D3F"/>
    <w:rsid w:val="00905FC5"/>
    <w:rsid w:val="00964441"/>
    <w:rsid w:val="00A53AFD"/>
    <w:rsid w:val="00B3732E"/>
    <w:rsid w:val="00BA0E6A"/>
    <w:rsid w:val="00BC0517"/>
    <w:rsid w:val="00BD442D"/>
    <w:rsid w:val="00BE08CD"/>
    <w:rsid w:val="00C555F9"/>
    <w:rsid w:val="00C56F13"/>
    <w:rsid w:val="00C830CF"/>
    <w:rsid w:val="00CA2193"/>
    <w:rsid w:val="00D452FB"/>
    <w:rsid w:val="00D72F16"/>
    <w:rsid w:val="00DF0C95"/>
    <w:rsid w:val="00E614FA"/>
    <w:rsid w:val="00E874D0"/>
    <w:rsid w:val="00EC6B60"/>
    <w:rsid w:val="00EE56D9"/>
    <w:rsid w:val="00F02C28"/>
    <w:rsid w:val="00F433AF"/>
    <w:rsid w:val="00F8179F"/>
    <w:rsid w:val="00FB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8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5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5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5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DefaultParagraphFont"/>
    <w:rsid w:val="00F02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8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2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5D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5D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5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DefaultParagraphFont"/>
    <w:rsid w:val="00F0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08B9-3736-4963-8B43-F0D854EB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Godecke</dc:creator>
  <cp:lastModifiedBy>dell1</cp:lastModifiedBy>
  <cp:revision>13</cp:revision>
  <dcterms:created xsi:type="dcterms:W3CDTF">2015-02-20T02:26:00Z</dcterms:created>
  <dcterms:modified xsi:type="dcterms:W3CDTF">2015-02-20T05:55:00Z</dcterms:modified>
</cp:coreProperties>
</file>