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406" w:rsidRDefault="003D7406" w:rsidP="003D7406">
      <w:pPr>
        <w:spacing w:line="240" w:lineRule="auto"/>
        <w:jc w:val="center"/>
        <w:rPr>
          <w:rFonts w:eastAsia="Times New Roman" w:cs="Times New Roman"/>
          <w:b/>
          <w:sz w:val="32"/>
          <w:szCs w:val="32"/>
          <w:lang w:val="en-US"/>
        </w:rPr>
      </w:pPr>
      <w:bookmarkStart w:id="0" w:name="_GoBack"/>
      <w:bookmarkEnd w:id="0"/>
    </w:p>
    <w:p w:rsidR="003D7406" w:rsidRDefault="003D7406" w:rsidP="007F0A97">
      <w:pPr>
        <w:spacing w:line="240" w:lineRule="auto"/>
        <w:ind w:firstLine="0"/>
        <w:jc w:val="center"/>
        <w:rPr>
          <w:rFonts w:eastAsia="Times New Roman" w:cs="Times New Roman"/>
          <w:b/>
          <w:sz w:val="32"/>
          <w:szCs w:val="32"/>
          <w:lang w:val="en-US"/>
        </w:rPr>
      </w:pPr>
    </w:p>
    <w:p w:rsidR="003D7406" w:rsidRDefault="003D7406" w:rsidP="007F0A97">
      <w:pPr>
        <w:spacing w:line="240" w:lineRule="auto"/>
        <w:ind w:firstLine="0"/>
        <w:jc w:val="center"/>
        <w:rPr>
          <w:rFonts w:eastAsia="Times New Roman" w:cs="Times New Roman"/>
          <w:b/>
          <w:sz w:val="32"/>
          <w:szCs w:val="32"/>
          <w:lang w:val="en-US"/>
        </w:rPr>
      </w:pPr>
      <w:r>
        <w:rPr>
          <w:rFonts w:eastAsia="Times New Roman" w:cs="Times New Roman"/>
          <w:b/>
          <w:sz w:val="32"/>
          <w:szCs w:val="32"/>
          <w:lang w:val="en-US"/>
        </w:rPr>
        <w:t>Global Information Distribution</w:t>
      </w:r>
      <w:r w:rsidR="00F9485A" w:rsidRPr="0099458E">
        <w:rPr>
          <w:rFonts w:eastAsia="Times New Roman" w:cs="Times New Roman"/>
          <w:b/>
          <w:sz w:val="32"/>
          <w:szCs w:val="32"/>
          <w:lang w:val="en-US"/>
        </w:rPr>
        <w:t xml:space="preserve"> </w:t>
      </w:r>
      <w:r>
        <w:rPr>
          <w:rFonts w:eastAsia="Times New Roman" w:cs="Times New Roman"/>
          <w:b/>
          <w:sz w:val="32"/>
          <w:szCs w:val="32"/>
          <w:lang w:val="en-US"/>
        </w:rPr>
        <w:t>in</w:t>
      </w:r>
    </w:p>
    <w:p w:rsidR="000E59E6" w:rsidRDefault="00F9485A" w:rsidP="007F0A97">
      <w:pPr>
        <w:ind w:firstLine="0"/>
        <w:jc w:val="center"/>
        <w:rPr>
          <w:rFonts w:eastAsia="Times New Roman" w:cs="Times New Roman"/>
          <w:szCs w:val="20"/>
          <w:lang w:val="en-US"/>
        </w:rPr>
      </w:pPr>
      <w:proofErr w:type="gramStart"/>
      <w:r w:rsidRPr="0099458E">
        <w:rPr>
          <w:rFonts w:eastAsia="Times New Roman" w:cs="Times New Roman"/>
          <w:b/>
          <w:sz w:val="32"/>
          <w:szCs w:val="32"/>
          <w:lang w:val="en-US"/>
        </w:rPr>
        <w:t>the</w:t>
      </w:r>
      <w:proofErr w:type="gramEnd"/>
      <w:r w:rsidRPr="0099458E">
        <w:rPr>
          <w:rFonts w:eastAsia="Times New Roman" w:cs="Times New Roman"/>
          <w:b/>
          <w:sz w:val="32"/>
          <w:szCs w:val="32"/>
          <w:lang w:val="en-US"/>
        </w:rPr>
        <w:t xml:space="preserve"> Gold</w:t>
      </w:r>
      <w:r w:rsidR="003D7406">
        <w:rPr>
          <w:rFonts w:eastAsia="Times New Roman" w:cs="Times New Roman"/>
          <w:b/>
          <w:sz w:val="32"/>
          <w:szCs w:val="32"/>
          <w:lang w:val="en-US"/>
        </w:rPr>
        <w:t xml:space="preserve"> OTC</w:t>
      </w:r>
      <w:r w:rsidRPr="0099458E">
        <w:rPr>
          <w:rFonts w:eastAsia="Times New Roman" w:cs="Times New Roman"/>
          <w:b/>
          <w:sz w:val="32"/>
          <w:szCs w:val="32"/>
          <w:lang w:val="en-US"/>
        </w:rPr>
        <w:t xml:space="preserve"> Market</w:t>
      </w:r>
      <w:r w:rsidR="0008625D">
        <w:rPr>
          <w:rFonts w:eastAsia="Times New Roman" w:cs="Times New Roman"/>
          <w:b/>
          <w:sz w:val="32"/>
          <w:szCs w:val="32"/>
          <w:lang w:val="en-US"/>
        </w:rPr>
        <w:t>s</w:t>
      </w:r>
      <w:r w:rsidRPr="0099458E">
        <w:rPr>
          <w:rFonts w:eastAsia="Times New Roman" w:cs="Times New Roman"/>
          <w:b/>
          <w:sz w:val="32"/>
          <w:szCs w:val="32"/>
          <w:lang w:val="en-US"/>
        </w:rPr>
        <w:br/>
      </w:r>
      <w:r w:rsidR="00D8387B">
        <w:rPr>
          <w:rFonts w:eastAsia="Times New Roman" w:cs="Times New Roman"/>
          <w:szCs w:val="20"/>
          <w:lang w:val="en-US"/>
        </w:rPr>
        <w:br/>
        <w:t>E</w:t>
      </w:r>
      <w:r w:rsidR="00D37539">
        <w:rPr>
          <w:rFonts w:eastAsia="Times New Roman" w:cs="Times New Roman"/>
          <w:szCs w:val="20"/>
          <w:lang w:val="en-US"/>
        </w:rPr>
        <w:t>dwina</w:t>
      </w:r>
      <w:r w:rsidR="007C3610">
        <w:rPr>
          <w:rFonts w:eastAsia="Times New Roman" w:cs="Times New Roman"/>
          <w:szCs w:val="20"/>
          <w:lang w:val="en-US"/>
        </w:rPr>
        <w:t xml:space="preserve"> </w:t>
      </w:r>
      <w:proofErr w:type="spellStart"/>
      <w:r w:rsidR="00D37539">
        <w:rPr>
          <w:rFonts w:eastAsia="Times New Roman" w:cs="Times New Roman"/>
          <w:szCs w:val="20"/>
          <w:lang w:val="en-US"/>
        </w:rPr>
        <w:t>F.L.Chai</w:t>
      </w:r>
      <w:r w:rsidR="00117ADC">
        <w:rPr>
          <w:rFonts w:eastAsia="Times New Roman" w:cs="Times New Roman"/>
          <w:szCs w:val="20"/>
          <w:vertAlign w:val="superscript"/>
          <w:lang w:val="en-US"/>
        </w:rPr>
        <w:t>a</w:t>
      </w:r>
      <w:proofErr w:type="spellEnd"/>
      <w:r w:rsidR="00D37539">
        <w:rPr>
          <w:rFonts w:eastAsia="Times New Roman" w:cs="Times New Roman"/>
          <w:szCs w:val="20"/>
          <w:lang w:val="en-US"/>
        </w:rPr>
        <w:t xml:space="preserve">, Adrian D. </w:t>
      </w:r>
      <w:proofErr w:type="spellStart"/>
      <w:r w:rsidR="00D37539">
        <w:rPr>
          <w:rFonts w:eastAsia="Times New Roman" w:cs="Times New Roman"/>
          <w:szCs w:val="20"/>
          <w:lang w:val="en-US"/>
        </w:rPr>
        <w:t>Lee</w:t>
      </w:r>
      <w:r w:rsidR="00117ADC">
        <w:rPr>
          <w:rFonts w:eastAsia="Times New Roman" w:cs="Times New Roman"/>
          <w:szCs w:val="20"/>
          <w:vertAlign w:val="superscript"/>
          <w:lang w:val="en-US"/>
        </w:rPr>
        <w:t>a</w:t>
      </w:r>
      <w:proofErr w:type="spellEnd"/>
      <w:r w:rsidR="00D37539">
        <w:rPr>
          <w:rFonts w:eastAsia="Times New Roman" w:cs="Times New Roman"/>
          <w:szCs w:val="20"/>
          <w:lang w:val="en-US"/>
        </w:rPr>
        <w:t xml:space="preserve">, Jianxin </w:t>
      </w:r>
      <w:proofErr w:type="spellStart"/>
      <w:r w:rsidR="00D37539">
        <w:rPr>
          <w:rFonts w:eastAsia="Times New Roman" w:cs="Times New Roman"/>
          <w:szCs w:val="20"/>
          <w:lang w:val="en-US"/>
        </w:rPr>
        <w:t>Wang</w:t>
      </w:r>
      <w:r w:rsidR="00117ADC">
        <w:rPr>
          <w:rFonts w:eastAsia="Times New Roman" w:cs="Times New Roman"/>
          <w:szCs w:val="20"/>
          <w:vertAlign w:val="superscript"/>
          <w:lang w:val="en-US"/>
        </w:rPr>
        <w:t>a</w:t>
      </w:r>
      <w:proofErr w:type="spellEnd"/>
      <w:r w:rsidR="00117ADC">
        <w:rPr>
          <w:rFonts w:eastAsia="Times New Roman" w:cs="Times New Roman"/>
          <w:szCs w:val="20"/>
          <w:vertAlign w:val="superscript"/>
          <w:lang w:val="en-US"/>
        </w:rPr>
        <w:t>,</w:t>
      </w:r>
      <w:r w:rsidR="000E59E6">
        <w:rPr>
          <w:rStyle w:val="FootnoteReference"/>
          <w:rFonts w:eastAsia="Times New Roman" w:cs="Times New Roman"/>
          <w:szCs w:val="20"/>
          <w:lang w:val="en-US"/>
        </w:rPr>
        <w:footnoteReference w:customMarkFollows="1" w:id="1"/>
        <w:t>*</w:t>
      </w:r>
    </w:p>
    <w:p w:rsidR="00E80523" w:rsidRDefault="005D38BA" w:rsidP="007F0A97">
      <w:pPr>
        <w:ind w:firstLine="0"/>
        <w:jc w:val="center"/>
        <w:rPr>
          <w:rFonts w:eastAsia="Times New Roman" w:cs="Times New Roman"/>
          <w:szCs w:val="20"/>
          <w:lang w:val="en-US"/>
        </w:rPr>
      </w:pPr>
      <w:r>
        <w:rPr>
          <w:rFonts w:eastAsia="Times New Roman" w:cs="Times New Roman"/>
          <w:szCs w:val="20"/>
          <w:lang w:val="en-US"/>
        </w:rPr>
        <w:t>March</w:t>
      </w:r>
      <w:r w:rsidR="004E5290">
        <w:rPr>
          <w:rFonts w:eastAsia="Times New Roman" w:cs="Times New Roman"/>
          <w:szCs w:val="20"/>
          <w:lang w:val="en-US"/>
        </w:rPr>
        <w:t xml:space="preserve"> 2015</w:t>
      </w:r>
    </w:p>
    <w:p w:rsidR="00867BE0" w:rsidRDefault="00117ADC" w:rsidP="00867BE0">
      <w:pPr>
        <w:jc w:val="center"/>
        <w:rPr>
          <w:rFonts w:eastAsia="Times New Roman" w:cs="Times New Roman"/>
          <w:szCs w:val="24"/>
          <w:lang w:val="en-US"/>
        </w:rPr>
      </w:pPr>
      <w:proofErr w:type="gramStart"/>
      <w:r>
        <w:rPr>
          <w:sz w:val="22"/>
          <w:vertAlign w:val="superscript"/>
        </w:rPr>
        <w:t>a</w:t>
      </w:r>
      <w:proofErr w:type="gramEnd"/>
      <w:r>
        <w:rPr>
          <w:sz w:val="22"/>
          <w:vertAlign w:val="superscript"/>
        </w:rPr>
        <w:t xml:space="preserve"> </w:t>
      </w:r>
      <w:r w:rsidRPr="005531F0">
        <w:rPr>
          <w:sz w:val="22"/>
        </w:rPr>
        <w:t>Finance Discipline Group, University of Technology Sydney, Sydney NSW 2007, AUSTRALI</w:t>
      </w:r>
      <w:r w:rsidRPr="00117ADC">
        <w:rPr>
          <w:sz w:val="22"/>
        </w:rPr>
        <w:t>A</w:t>
      </w:r>
      <w:r w:rsidR="00F9485A" w:rsidRPr="0099458E">
        <w:rPr>
          <w:rFonts w:eastAsia="Times New Roman" w:cs="Times New Roman"/>
          <w:szCs w:val="20"/>
          <w:lang w:val="en-US"/>
        </w:rPr>
        <w:br/>
      </w:r>
    </w:p>
    <w:p w:rsidR="00792F9F" w:rsidRDefault="000A0F65" w:rsidP="00133D23">
      <w:pPr>
        <w:pStyle w:val="Abstract"/>
        <w:pBdr>
          <w:top w:val="single" w:sz="4" w:space="1" w:color="auto"/>
          <w:bottom w:val="single" w:sz="4" w:space="1" w:color="auto"/>
        </w:pBdr>
      </w:pPr>
      <w:r>
        <w:rPr>
          <w:b/>
          <w:szCs w:val="20"/>
        </w:rPr>
        <w:t>ABSTRACT</w:t>
      </w:r>
    </w:p>
    <w:p w:rsidR="00373ACA" w:rsidRDefault="00934CBA">
      <w:pPr>
        <w:pStyle w:val="Abstract"/>
        <w:pBdr>
          <w:top w:val="single" w:sz="4" w:space="1" w:color="auto"/>
          <w:bottom w:val="single" w:sz="4" w:space="1" w:color="auto"/>
        </w:pBdr>
        <w:spacing w:line="240" w:lineRule="auto"/>
      </w:pPr>
      <w:r>
        <w:t xml:space="preserve">This paper </w:t>
      </w:r>
      <w:r w:rsidR="001432DB">
        <w:t xml:space="preserve">aims to </w:t>
      </w:r>
      <w:r w:rsidR="00373ACA">
        <w:t>estimate the global information distribution in the OTC gold market</w:t>
      </w:r>
      <w:r w:rsidR="001432DB">
        <w:t>.</w:t>
      </w:r>
      <w:r w:rsidR="00373ACA">
        <w:t xml:space="preserve">  Using the two-scale realized variance as a proxy for information flow, </w:t>
      </w:r>
      <w:r>
        <w:t xml:space="preserve">we estimate </w:t>
      </w:r>
      <w:r w:rsidR="00BC5303">
        <w:t xml:space="preserve">the </w:t>
      </w:r>
      <w:r>
        <w:t xml:space="preserve">information shares </w:t>
      </w:r>
      <w:r w:rsidR="00373ACA">
        <w:t xml:space="preserve">of </w:t>
      </w:r>
      <w:r>
        <w:t>Asia, Europe,</w:t>
      </w:r>
      <w:r w:rsidR="00A45E24">
        <w:t xml:space="preserve"> London/New York</w:t>
      </w:r>
      <w:r>
        <w:t xml:space="preserve"> and the United States</w:t>
      </w:r>
      <w:r w:rsidR="00373ACA">
        <w:t>, with London/New York covering the two-hour overlapping trading in London</w:t>
      </w:r>
      <w:r w:rsidR="00EE292A">
        <w:t xml:space="preserve"> afternoon</w:t>
      </w:r>
      <w:r w:rsidR="00373ACA">
        <w:t xml:space="preserve"> and New York</w:t>
      </w:r>
      <w:r w:rsidR="00EE292A">
        <w:t xml:space="preserve"> morning</w:t>
      </w:r>
      <w:r>
        <w:t xml:space="preserve">. </w:t>
      </w:r>
      <w:r w:rsidR="00373ACA">
        <w:t>We find that over the sample period</w:t>
      </w:r>
      <w:r w:rsidR="001432DB">
        <w:t xml:space="preserve"> of 1996 to 2012</w:t>
      </w:r>
      <w:r w:rsidR="00373ACA">
        <w:t xml:space="preserve">, the average daily information shares are 17%, 31%, 22%, and 30% </w:t>
      </w:r>
      <w:r w:rsidR="009A3659">
        <w:t>for Asia, Europe, London/New York and U.S.</w:t>
      </w:r>
      <w:r w:rsidR="00F758F4">
        <w:t>,</w:t>
      </w:r>
      <w:r w:rsidR="009A3659">
        <w:t xml:space="preserve"> respectively. On a per-hour basis, the information </w:t>
      </w:r>
      <w:r w:rsidR="00EE292A">
        <w:t>share</w:t>
      </w:r>
      <w:r w:rsidR="009A3659">
        <w:t xml:space="preserve"> </w:t>
      </w:r>
      <w:r w:rsidR="00EE292A">
        <w:t xml:space="preserve">of </w:t>
      </w:r>
      <w:r w:rsidR="009A3659">
        <w:t xml:space="preserve">London/New York is over two and half times of </w:t>
      </w:r>
      <w:r w:rsidR="00EE292A">
        <w:t xml:space="preserve">those of the rest of </w:t>
      </w:r>
      <w:r w:rsidR="009A3659">
        <w:t xml:space="preserve">Europe and </w:t>
      </w:r>
      <w:r w:rsidR="00EE292A">
        <w:t>U.S.</w:t>
      </w:r>
      <w:r w:rsidR="009A3659">
        <w:t xml:space="preserve">, and over five times of </w:t>
      </w:r>
      <w:r w:rsidR="00EE292A">
        <w:t xml:space="preserve">the information share of </w:t>
      </w:r>
      <w:r w:rsidR="009A3659">
        <w:t xml:space="preserve">Asia.  </w:t>
      </w:r>
      <w:r w:rsidR="00EE292A">
        <w:t xml:space="preserve">Despite doubling its share of OTC trading, </w:t>
      </w:r>
      <w:r w:rsidR="00953441">
        <w:t>Asia’s information share</w:t>
      </w:r>
      <w:r w:rsidR="00867EF0">
        <w:t xml:space="preserve"> actually</w:t>
      </w:r>
      <w:r w:rsidR="00953441">
        <w:t xml:space="preserve"> declined from about 20% in the late 1</w:t>
      </w:r>
      <w:r w:rsidR="000652BB">
        <w:t>990s to around 15% in 2009-2012, with the opposite trend for</w:t>
      </w:r>
      <w:r w:rsidR="00953441">
        <w:t xml:space="preserve"> </w:t>
      </w:r>
      <w:r w:rsidR="000652BB">
        <w:t>t</w:t>
      </w:r>
      <w:r w:rsidR="00BC5303">
        <w:t>he London/New York market</w:t>
      </w:r>
      <w:r w:rsidR="000652BB">
        <w:t xml:space="preserve">. Private information flow, measured by the volatility impact of unexpected order flows, has a flatter distribution across Asia, Europe, and U.S., possibly due to the presence of the same large gold dealers in different markets.  </w:t>
      </w:r>
      <w:r w:rsidR="009624AB">
        <w:t xml:space="preserve">The declining information share </w:t>
      </w:r>
      <w:r w:rsidR="002528CC">
        <w:t>of</w:t>
      </w:r>
      <w:r w:rsidR="009624AB">
        <w:t xml:space="preserve"> Asia and the concentration of information to the two-hour London/New York trading raise concerns for regional market development and global market stability.  </w:t>
      </w:r>
    </w:p>
    <w:p w:rsidR="00934CBA" w:rsidRDefault="00934CBA">
      <w:pPr>
        <w:pStyle w:val="Abstract"/>
        <w:pBdr>
          <w:top w:val="single" w:sz="4" w:space="1" w:color="auto"/>
          <w:bottom w:val="single" w:sz="4" w:space="1" w:color="auto"/>
        </w:pBdr>
        <w:spacing w:line="240" w:lineRule="auto"/>
      </w:pPr>
      <w:r>
        <w:t xml:space="preserve"> </w:t>
      </w:r>
    </w:p>
    <w:p w:rsidR="00656844" w:rsidRDefault="00656844" w:rsidP="00D15B8B">
      <w:pPr>
        <w:pStyle w:val="Abstract"/>
        <w:pBdr>
          <w:top w:val="single" w:sz="4" w:space="1" w:color="auto"/>
          <w:bottom w:val="single" w:sz="4" w:space="1" w:color="auto"/>
        </w:pBdr>
      </w:pPr>
    </w:p>
    <w:p w:rsidR="00867BE0" w:rsidRDefault="000A22BB" w:rsidP="00133D23">
      <w:pPr>
        <w:pStyle w:val="Abstract"/>
        <w:pBdr>
          <w:top w:val="single" w:sz="4" w:space="1" w:color="auto"/>
          <w:bottom w:val="single" w:sz="4" w:space="1" w:color="auto"/>
        </w:pBdr>
        <w:spacing w:line="240" w:lineRule="auto"/>
      </w:pPr>
      <w:r>
        <w:t xml:space="preserve">Keywords: </w:t>
      </w:r>
      <w:r w:rsidR="00990F54">
        <w:t>g</w:t>
      </w:r>
      <w:r>
        <w:t>old;</w:t>
      </w:r>
      <w:r w:rsidR="001F78E3">
        <w:t xml:space="preserve"> over-the-counter</w:t>
      </w:r>
      <w:r>
        <w:t>; price discovery;</w:t>
      </w:r>
      <w:r w:rsidR="009853AB">
        <w:t xml:space="preserve"> information share</w:t>
      </w:r>
      <w:r w:rsidR="002528CC">
        <w:t>; information concentration, market development</w:t>
      </w:r>
    </w:p>
    <w:p w:rsidR="00367E27" w:rsidRPr="00867BE0" w:rsidRDefault="00367E27" w:rsidP="00867BE0">
      <w:pPr>
        <w:pStyle w:val="Abstract"/>
        <w:pBdr>
          <w:top w:val="single" w:sz="4" w:space="1" w:color="auto"/>
          <w:bottom w:val="single" w:sz="4" w:space="1" w:color="auto"/>
        </w:pBdr>
      </w:pPr>
      <w:r>
        <w:t>JEL classification: G14;</w:t>
      </w:r>
      <w:r w:rsidR="000652BB">
        <w:t xml:space="preserve"> </w:t>
      </w:r>
      <w:r>
        <w:t>G15; C32</w:t>
      </w:r>
    </w:p>
    <w:p w:rsidR="00E9071B" w:rsidRDefault="00E9071B">
      <w:pPr>
        <w:pStyle w:val="TitlesCentred"/>
        <w:jc w:val="both"/>
      </w:pPr>
    </w:p>
    <w:p w:rsidR="00E9071B" w:rsidRDefault="00E9071B">
      <w:pPr>
        <w:pStyle w:val="TitlesCentred"/>
        <w:jc w:val="both"/>
        <w:rPr>
          <w:rFonts w:cstheme="minorBidi"/>
          <w:b w:val="0"/>
          <w:szCs w:val="22"/>
          <w:lang w:val="en-AU"/>
        </w:rPr>
      </w:pPr>
    </w:p>
    <w:p w:rsidR="00E9071B" w:rsidRDefault="00E9071B">
      <w:pPr>
        <w:pStyle w:val="TitlesCentred"/>
        <w:jc w:val="both"/>
        <w:rPr>
          <w:rFonts w:cstheme="minorBidi"/>
          <w:b w:val="0"/>
          <w:szCs w:val="22"/>
          <w:lang w:val="en-AU"/>
        </w:rPr>
      </w:pPr>
    </w:p>
    <w:p w:rsidR="002528CC" w:rsidRDefault="002528CC">
      <w:pPr>
        <w:spacing w:after="200" w:line="276" w:lineRule="auto"/>
        <w:ind w:firstLine="0"/>
        <w:jc w:val="left"/>
        <w:rPr>
          <w:rFonts w:cs="Times New Roman"/>
          <w:b/>
          <w:szCs w:val="28"/>
          <w:lang w:val="en-US"/>
        </w:rPr>
      </w:pPr>
      <w:r>
        <w:br w:type="page"/>
      </w:r>
    </w:p>
    <w:p w:rsidR="00382CCC" w:rsidRPr="00382CCC" w:rsidRDefault="00F94715" w:rsidP="00F94715">
      <w:pPr>
        <w:pStyle w:val="TitlesCentred"/>
        <w:numPr>
          <w:ilvl w:val="0"/>
          <w:numId w:val="2"/>
        </w:numPr>
        <w:jc w:val="both"/>
      </w:pPr>
      <w:r>
        <w:lastRenderedPageBreak/>
        <w:t>Introduction</w:t>
      </w:r>
    </w:p>
    <w:p w:rsidR="00B30742" w:rsidRDefault="00B30742" w:rsidP="00B30742">
      <w:pPr>
        <w:suppressAutoHyphens/>
        <w:rPr>
          <w:rFonts w:eastAsia="Times New Roman" w:cs="Times New Roman"/>
          <w:szCs w:val="20"/>
          <w:lang w:val="en-US"/>
        </w:rPr>
      </w:pPr>
      <w:r>
        <w:rPr>
          <w:rFonts w:eastAsia="Times New Roman" w:cs="Times New Roman"/>
          <w:szCs w:val="20"/>
          <w:lang w:val="en-US"/>
        </w:rPr>
        <w:t>According to the London Bullion Market Association, “the global bullion market is based on expertise and liquidity in London.</w:t>
      </w:r>
      <w:r w:rsidR="0008109C">
        <w:rPr>
          <w:rFonts w:eastAsia="Times New Roman" w:cs="Times New Roman"/>
          <w:szCs w:val="20"/>
          <w:lang w:val="en-US"/>
        </w:rPr>
        <w:t>"</w:t>
      </w:r>
      <w:r w:rsidRPr="002378EB">
        <w:rPr>
          <w:rStyle w:val="FootnoteReference"/>
        </w:rPr>
        <w:footnoteReference w:id="2"/>
      </w:r>
      <w:r>
        <w:rPr>
          <w:rFonts w:eastAsia="Times New Roman" w:cs="Times New Roman"/>
          <w:szCs w:val="20"/>
          <w:lang w:val="en-US"/>
        </w:rPr>
        <w:t xml:space="preserve"> The morning and afternoon fixings by the London Gold Fixing Company have been widely used as the benchmark price for almost 100 years. End-users, investors, and central banks around the world use the London fixing price to settle gold transactions, physical or financial.  However in the past two decades, the landscape of the global financial markets has changed significantly largely due to new technologies for information transmission and processing.  Equity and bond trading has moved away from the traditional exchanges such as the New York Stock Exchange and the London Stock Exchange to networks of trading venues catering to institutional investors trading at fast speed.  This decentralization of trading venues has a significant impact on investor behavior and welfare as well as on market regulation.  In the global gold markets, there are two noteworthy trends started in the past decade.  The first is the financialization of gold and other commodities.  Trading of gold ETFs has risen sharply since 2005, mostly in the United States but also in Asia (Figure 1a).  The second is the rise of China as a significant market for gold-related financial products. The combined volumes on the Shanghai Gold Exchange and the Shanghai Futures Exchange have long passed the combined volumes on the Tokyo Commodity Exchange and NYSE Liffe, and are second only to the Commodity Exchange in New York.</w:t>
      </w:r>
      <w:r>
        <w:rPr>
          <w:rStyle w:val="FootnoteReference"/>
          <w:rFonts w:eastAsia="Times New Roman" w:cs="Times New Roman"/>
          <w:szCs w:val="20"/>
          <w:lang w:val="en-US"/>
        </w:rPr>
        <w:footnoteReference w:id="3"/>
      </w:r>
      <w:r>
        <w:rPr>
          <w:rFonts w:eastAsia="Times New Roman" w:cs="Times New Roman"/>
          <w:szCs w:val="20"/>
          <w:lang w:val="en-US"/>
        </w:rPr>
        <w:t xml:space="preserve">  </w:t>
      </w:r>
      <w:r w:rsidR="009C4101">
        <w:rPr>
          <w:rFonts w:eastAsia="Times New Roman" w:cs="Times New Roman"/>
          <w:szCs w:val="20"/>
          <w:lang w:val="en-US"/>
        </w:rPr>
        <w:t xml:space="preserve">Have </w:t>
      </w:r>
      <w:r>
        <w:rPr>
          <w:rFonts w:eastAsia="Times New Roman" w:cs="Times New Roman"/>
          <w:szCs w:val="20"/>
          <w:lang w:val="en-US"/>
        </w:rPr>
        <w:t>these trends made a significant impact on the landscape of global gold trading?  Is London still the global center of gold trading and pricing?</w:t>
      </w:r>
    </w:p>
    <w:p w:rsidR="006B6E49" w:rsidRDefault="00F77F12" w:rsidP="006B6E49">
      <w:pPr>
        <w:suppressAutoHyphens/>
        <w:rPr>
          <w:rFonts w:eastAsia="Times New Roman" w:cs="Times New Roman"/>
          <w:szCs w:val="20"/>
          <w:lang w:val="en-US"/>
        </w:rPr>
      </w:pPr>
      <w:r>
        <w:rPr>
          <w:rFonts w:eastAsia="Times New Roman" w:cs="Times New Roman"/>
          <w:szCs w:val="20"/>
          <w:lang w:val="en-US"/>
        </w:rPr>
        <w:t>While m</w:t>
      </w:r>
      <w:r w:rsidR="006B6E49">
        <w:rPr>
          <w:rFonts w:eastAsia="Times New Roman" w:cs="Times New Roman"/>
          <w:szCs w:val="20"/>
          <w:lang w:val="en-US"/>
        </w:rPr>
        <w:t xml:space="preserve">any industry bodies </w:t>
      </w:r>
      <w:r w:rsidR="00F81309">
        <w:rPr>
          <w:rFonts w:eastAsia="Times New Roman" w:cs="Times New Roman"/>
          <w:szCs w:val="20"/>
          <w:lang w:val="en-US"/>
        </w:rPr>
        <w:t>provide statistics</w:t>
      </w:r>
      <w:r w:rsidR="006B6E49">
        <w:rPr>
          <w:rFonts w:eastAsia="Times New Roman" w:cs="Times New Roman"/>
          <w:szCs w:val="20"/>
          <w:lang w:val="en-US"/>
        </w:rPr>
        <w:t xml:space="preserve"> on the global distribution of gold-based financial products and trading activities</w:t>
      </w:r>
      <w:r w:rsidR="00F81309">
        <w:rPr>
          <w:rFonts w:eastAsia="Times New Roman" w:cs="Times New Roman"/>
          <w:szCs w:val="20"/>
          <w:lang w:val="en-US"/>
        </w:rPr>
        <w:t>, t</w:t>
      </w:r>
      <w:r w:rsidR="006B6E49">
        <w:rPr>
          <w:rFonts w:eastAsia="Times New Roman" w:cs="Times New Roman"/>
          <w:szCs w:val="20"/>
          <w:lang w:val="en-US"/>
        </w:rPr>
        <w:t>his paper provides a new perspective on the global structure of the gold market.  We estimate the global distribution of price-relevant information in the global over-the-counter (OTC) market for spot gold</w:t>
      </w:r>
      <w:r w:rsidR="007F74F7">
        <w:rPr>
          <w:rFonts w:eastAsia="Times New Roman" w:cs="Times New Roman"/>
          <w:szCs w:val="20"/>
          <w:lang w:val="en-US"/>
        </w:rPr>
        <w:t xml:space="preserve"> and examine how this distribution has shifted since mid-1990s</w:t>
      </w:r>
      <w:r w:rsidR="006B6E49">
        <w:rPr>
          <w:rFonts w:eastAsia="Times New Roman" w:cs="Times New Roman"/>
          <w:szCs w:val="20"/>
          <w:lang w:val="en-US"/>
        </w:rPr>
        <w:t xml:space="preserve">.  An empirical measure of global information distribution can be a valuable tool for investors and market regulators. It can shed light on the questions raised above and lead to </w:t>
      </w:r>
      <w:r w:rsidR="009C4101">
        <w:rPr>
          <w:rFonts w:eastAsia="Times New Roman" w:cs="Times New Roman"/>
          <w:szCs w:val="20"/>
          <w:lang w:val="en-US"/>
        </w:rPr>
        <w:t xml:space="preserve">a </w:t>
      </w:r>
      <w:r w:rsidR="006B6E49">
        <w:rPr>
          <w:rFonts w:eastAsia="Times New Roman" w:cs="Times New Roman"/>
          <w:szCs w:val="20"/>
          <w:lang w:val="en-US"/>
        </w:rPr>
        <w:lastRenderedPageBreak/>
        <w:t>new understanding of the global gold market</w:t>
      </w:r>
      <w:r w:rsidR="001671F0">
        <w:rPr>
          <w:rFonts w:eastAsia="Times New Roman" w:cs="Times New Roman"/>
          <w:szCs w:val="20"/>
          <w:lang w:val="en-US"/>
        </w:rPr>
        <w:t xml:space="preserve">.  </w:t>
      </w:r>
      <w:r w:rsidR="006B6E49">
        <w:rPr>
          <w:rFonts w:eastAsia="Times New Roman" w:cs="Times New Roman"/>
          <w:szCs w:val="20"/>
          <w:lang w:val="en-US"/>
        </w:rPr>
        <w:t xml:space="preserve">Is the </w:t>
      </w:r>
      <w:r w:rsidR="007F74F7">
        <w:rPr>
          <w:rFonts w:eastAsia="Times New Roman" w:cs="Times New Roman"/>
          <w:szCs w:val="20"/>
          <w:lang w:val="en-US"/>
        </w:rPr>
        <w:t xml:space="preserve">global </w:t>
      </w:r>
      <w:r w:rsidR="006B6E49">
        <w:rPr>
          <w:rFonts w:eastAsia="Times New Roman" w:cs="Times New Roman"/>
          <w:szCs w:val="20"/>
          <w:lang w:val="en-US"/>
        </w:rPr>
        <w:t xml:space="preserve">distribution of information the same as the </w:t>
      </w:r>
      <w:r w:rsidR="007F74F7">
        <w:rPr>
          <w:rFonts w:eastAsia="Times New Roman" w:cs="Times New Roman"/>
          <w:szCs w:val="20"/>
          <w:lang w:val="en-US"/>
        </w:rPr>
        <w:t xml:space="preserve">global </w:t>
      </w:r>
      <w:r w:rsidR="006B6E49">
        <w:rPr>
          <w:rFonts w:eastAsia="Times New Roman" w:cs="Times New Roman"/>
          <w:szCs w:val="20"/>
          <w:lang w:val="en-US"/>
        </w:rPr>
        <w:t xml:space="preserve">distribution of trading volume? Does the rise in gold ETF trading represent a shift in the global information distribution?  </w:t>
      </w:r>
      <w:r w:rsidR="00C30205">
        <w:rPr>
          <w:rFonts w:eastAsia="Times New Roman" w:cs="Times New Roman"/>
          <w:szCs w:val="20"/>
          <w:lang w:val="en-US"/>
        </w:rPr>
        <w:t>Does</w:t>
      </w:r>
      <w:r w:rsidR="006B6E49">
        <w:rPr>
          <w:rFonts w:eastAsia="Times New Roman" w:cs="Times New Roman"/>
          <w:szCs w:val="20"/>
          <w:lang w:val="en-US"/>
        </w:rPr>
        <w:t xml:space="preserve"> the </w:t>
      </w:r>
      <w:r w:rsidR="007F74F7">
        <w:rPr>
          <w:rFonts w:eastAsia="Times New Roman" w:cs="Times New Roman"/>
          <w:szCs w:val="20"/>
          <w:lang w:val="en-US"/>
        </w:rPr>
        <w:t>rising volume</w:t>
      </w:r>
      <w:r w:rsidR="006B6E49">
        <w:rPr>
          <w:rFonts w:eastAsia="Times New Roman" w:cs="Times New Roman"/>
          <w:szCs w:val="20"/>
          <w:lang w:val="en-US"/>
        </w:rPr>
        <w:t xml:space="preserve"> in spot gold and derivative</w:t>
      </w:r>
      <w:r w:rsidR="007F74F7">
        <w:rPr>
          <w:rFonts w:eastAsia="Times New Roman" w:cs="Times New Roman"/>
          <w:szCs w:val="20"/>
          <w:lang w:val="en-US"/>
        </w:rPr>
        <w:t xml:space="preserve"> trading in Asia</w:t>
      </w:r>
      <w:r w:rsidR="006B6E49">
        <w:rPr>
          <w:rFonts w:eastAsia="Times New Roman" w:cs="Times New Roman"/>
          <w:szCs w:val="20"/>
          <w:lang w:val="en-US"/>
        </w:rPr>
        <w:t xml:space="preserve"> </w:t>
      </w:r>
      <w:r w:rsidR="00C30205">
        <w:rPr>
          <w:rFonts w:eastAsia="Times New Roman" w:cs="Times New Roman"/>
          <w:szCs w:val="20"/>
          <w:lang w:val="en-US"/>
        </w:rPr>
        <w:t>indicate that markets in Asia have greater information flow and pricing power than before</w:t>
      </w:r>
      <w:r w:rsidR="006B6E49">
        <w:rPr>
          <w:rFonts w:eastAsia="Times New Roman" w:cs="Times New Roman"/>
          <w:szCs w:val="20"/>
          <w:lang w:val="en-US"/>
        </w:rPr>
        <w:t xml:space="preserve">? </w:t>
      </w:r>
    </w:p>
    <w:p w:rsidR="00E54899" w:rsidRDefault="00890C8E" w:rsidP="00C03101">
      <w:pPr>
        <w:suppressAutoHyphens/>
        <w:rPr>
          <w:rFonts w:eastAsia="Times New Roman" w:cs="Times New Roman"/>
          <w:szCs w:val="20"/>
          <w:lang w:val="en-US"/>
        </w:rPr>
      </w:pPr>
      <w:r>
        <w:rPr>
          <w:rFonts w:eastAsia="Times New Roman" w:cs="Times New Roman"/>
          <w:szCs w:val="20"/>
          <w:lang w:val="en-US"/>
        </w:rPr>
        <w:t xml:space="preserve">While the perspective is on the global or macro structure, </w:t>
      </w:r>
      <w:r w:rsidR="00351981">
        <w:rPr>
          <w:rFonts w:eastAsia="Times New Roman" w:cs="Times New Roman"/>
          <w:szCs w:val="20"/>
          <w:lang w:val="en-US"/>
        </w:rPr>
        <w:t>our analyses are</w:t>
      </w:r>
      <w:r>
        <w:rPr>
          <w:rFonts w:eastAsia="Times New Roman" w:cs="Times New Roman"/>
          <w:szCs w:val="20"/>
          <w:lang w:val="en-US"/>
        </w:rPr>
        <w:t xml:space="preserve"> based on methodologies developed in the market microstructure literature. </w:t>
      </w:r>
      <w:r w:rsidR="00351981">
        <w:rPr>
          <w:rFonts w:eastAsia="Times New Roman" w:cs="Times New Roman"/>
          <w:szCs w:val="20"/>
          <w:lang w:val="en-US"/>
        </w:rPr>
        <w:t>A key focus of the literature is the price discovery process that incorporates new information into the asset prices.</w:t>
      </w:r>
      <w:r w:rsidR="00DB2ABB">
        <w:rPr>
          <w:rFonts w:eastAsia="Times New Roman" w:cs="Times New Roman"/>
          <w:szCs w:val="20"/>
          <w:lang w:val="en-US"/>
        </w:rPr>
        <w:t xml:space="preserve"> </w:t>
      </w:r>
      <w:r w:rsidR="00F27C06">
        <w:rPr>
          <w:rFonts w:eastAsia="Times New Roman" w:cs="Times New Roman"/>
          <w:szCs w:val="20"/>
          <w:lang w:val="en-US"/>
        </w:rPr>
        <w:t>Several methods have been proposed to estimate the distribution of price discovery across different trading venues.</w:t>
      </w:r>
      <w:r w:rsidR="00CE6D96">
        <w:rPr>
          <w:rFonts w:eastAsia="Times New Roman" w:cs="Times New Roman"/>
          <w:szCs w:val="20"/>
          <w:lang w:val="en-US"/>
        </w:rPr>
        <w:t xml:space="preserve"> </w:t>
      </w:r>
      <w:r w:rsidR="005A0281">
        <w:rPr>
          <w:rFonts w:eastAsia="Times New Roman" w:cs="Times New Roman"/>
          <w:szCs w:val="20"/>
          <w:lang w:val="en-US"/>
        </w:rPr>
        <w:t xml:space="preserve"> They have been adopted to examine a wide range of issues and have become “a mid-size cottage industry”</w:t>
      </w:r>
      <w:r w:rsidR="00DB2ABB">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&lt;EndNote&gt;&lt;Cite&gt;&lt;Author&gt;Lehmann&lt;/Author&gt;&lt;Year&gt;2002&lt;/Year&gt;&lt;RecNum&gt;728&lt;/RecNum&gt;&lt;DisplayText&gt;Lehmann (2002)&lt;/DisplayText&gt;&lt;record&gt;&lt;rec-number&gt;728&lt;/rec-number&gt;&lt;foreign-keys&gt;&lt;key app="EN" db-id="szetpsas1ep5veesd5xvva5qdxwetsvpfs5x"&gt;728&lt;/key&gt;&lt;/foreign-keys&gt;&lt;ref-type name="Journal Article"&gt;17&lt;/ref-type&gt;&lt;contributors&gt;&lt;authors&gt;&lt;author&gt;Lehmann, Bruce N&lt;/author&gt;&lt;/authors&gt;&lt;/contributors&gt;&lt;titles&gt;&lt;title&gt;Some desiderata for the measurement of price discovery across markets&lt;/title&gt;&lt;secondary-title&gt;Journal of Financial Markets&lt;/secondary-title&gt;&lt;/titles&gt;&lt;periodical&gt;&lt;full-title&gt;Journal of Financial Markets&lt;/full-title&gt;&lt;/periodical&gt;&lt;pages&gt;259-276&lt;/pages&gt;&lt;volume&gt;5&lt;/volume&gt;&lt;number&gt;3&lt;/number&gt;&lt;dates&gt;&lt;year&gt;2002&lt;/year&gt;&lt;/dates&gt;&lt;isbn&gt;1386-4181&lt;/isbn&gt;&lt;urls&gt;&lt;/urls&gt;&lt;/record&gt;&lt;/Cite&gt;&lt;/EndNote&gt;</w:instrText>
      </w:r>
      <w:r w:rsidR="00ED311F">
        <w:rPr>
          <w:rFonts w:eastAsia="Times New Roman" w:cs="Times New Roman"/>
          <w:szCs w:val="20"/>
          <w:lang w:val="en-US"/>
        </w:rPr>
        <w:fldChar w:fldCharType="separate"/>
      </w:r>
      <w:hyperlink w:anchor="_ENREF_26" w:tooltip="Lehmann, 2002 #728" w:history="1">
        <w:r w:rsidR="00C419D5">
          <w:rPr>
            <w:rFonts w:eastAsia="Times New Roman" w:cs="Times New Roman"/>
            <w:noProof/>
            <w:szCs w:val="20"/>
            <w:lang w:val="en-US"/>
          </w:rPr>
          <w:t>Lehmann (2002</w:t>
        </w:r>
      </w:hyperlink>
      <w:r w:rsidR="00DB2ABB">
        <w:rPr>
          <w:rFonts w:eastAsia="Times New Roman" w:cs="Times New Roman"/>
          <w:noProof/>
          <w:szCs w:val="20"/>
          <w:lang w:val="en-US"/>
        </w:rPr>
        <w:t>)</w:t>
      </w:r>
      <w:r w:rsidR="00ED311F">
        <w:rPr>
          <w:rFonts w:eastAsia="Times New Roman" w:cs="Times New Roman"/>
          <w:szCs w:val="20"/>
          <w:lang w:val="en-US"/>
        </w:rPr>
        <w:fldChar w:fldCharType="end"/>
      </w:r>
      <w:r w:rsidR="005A0281">
        <w:rPr>
          <w:rFonts w:eastAsia="Times New Roman" w:cs="Times New Roman"/>
          <w:szCs w:val="20"/>
          <w:lang w:val="en-US"/>
        </w:rPr>
        <w:t>).</w:t>
      </w:r>
      <w:r w:rsidR="00CE6D96">
        <w:rPr>
          <w:rFonts w:eastAsia="Times New Roman" w:cs="Times New Roman"/>
          <w:szCs w:val="20"/>
          <w:lang w:val="en-US"/>
        </w:rPr>
        <w:t xml:space="preserve"> </w:t>
      </w:r>
      <w:r w:rsidR="00116DCF">
        <w:rPr>
          <w:rFonts w:eastAsia="Times New Roman" w:cs="Times New Roman"/>
          <w:szCs w:val="20"/>
          <w:lang w:val="en-US"/>
        </w:rPr>
        <w:t xml:space="preserve"> </w:t>
      </w:r>
      <w:r w:rsidR="001671F0">
        <w:rPr>
          <w:rFonts w:eastAsia="Times New Roman" w:cs="Times New Roman"/>
          <w:szCs w:val="20"/>
          <w:lang w:val="en-US"/>
        </w:rPr>
        <w:t>T</w:t>
      </w:r>
      <w:r w:rsidR="00C03101">
        <w:rPr>
          <w:rFonts w:eastAsia="Times New Roman" w:cs="Times New Roman"/>
          <w:szCs w:val="20"/>
          <w:lang w:val="en-US"/>
        </w:rPr>
        <w:t>hese measures have found their way into studies of gold markets</w:t>
      </w:r>
      <w:r w:rsidR="00E54899">
        <w:rPr>
          <w:rFonts w:eastAsia="Times New Roman" w:cs="Times New Roman"/>
          <w:szCs w:val="20"/>
          <w:lang w:val="en-US"/>
        </w:rPr>
        <w:t>.</w:t>
      </w:r>
      <w:r w:rsidR="0016062A">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&lt;EndNote&gt;&lt;Cite&gt;&lt;Author&gt;Zhang&lt;/Author&gt;&lt;Year&gt;2005&lt;/Year&gt;&lt;RecNum&gt;729&lt;/RecNum&gt;&lt;DisplayText&gt;Zhang (2005)&lt;/DisplayText&gt;&lt;record&gt;&lt;rec-number&gt;729&lt;/rec-number&gt;&lt;foreign-keys&gt;&lt;key app="EN" db-id="szetpsas1ep5veesd5xvva5qdxwetsvpfs5x"&gt;729&lt;/key&gt;&lt;/foreign-keys&gt;&lt;ref-type name="Journal Article"&gt;17&lt;/ref-type&gt;&lt;contributors&gt;&lt;authors&gt;&lt;author&gt;Zhang, Dong&lt;/author&gt;&lt;/authors&gt;&lt;/contributors&gt;&lt;titles&gt;&lt;title&gt;Price discovery in gold markets: China and the US&lt;/title&gt;&lt;secondary-title&gt;Working Paper, Stockholm University School of Business&lt;/secondary-title&gt;&lt;/titles&gt;&lt;periodical&gt;&lt;full-title&gt;Working paper, Stockholm University School of Business&lt;/full-title&gt;&lt;/periodical&gt;&lt;dates&gt;&lt;year&gt;2005&lt;/year&gt;&lt;/dates&gt;&lt;urls&gt;&lt;/urls&gt;&lt;/record&gt;&lt;/Cite&gt;&lt;/EndNote&gt;</w:instrText>
      </w:r>
      <w:r w:rsidR="00ED311F">
        <w:rPr>
          <w:rFonts w:eastAsia="Times New Roman" w:cs="Times New Roman"/>
          <w:szCs w:val="20"/>
          <w:lang w:val="en-US"/>
        </w:rPr>
        <w:fldChar w:fldCharType="separate"/>
      </w:r>
      <w:hyperlink w:anchor="_ENREF_41" w:tooltip="Zhang, 2005 #729" w:history="1">
        <w:r w:rsidR="00C419D5">
          <w:rPr>
            <w:rFonts w:eastAsia="Times New Roman" w:cs="Times New Roman"/>
            <w:noProof/>
            <w:szCs w:val="20"/>
            <w:lang w:val="en-US"/>
          </w:rPr>
          <w:t>Zhang (2005</w:t>
        </w:r>
      </w:hyperlink>
      <w:r w:rsidR="00DB2ABB">
        <w:rPr>
          <w:rFonts w:eastAsia="Times New Roman" w:cs="Times New Roman"/>
          <w:noProof/>
          <w:szCs w:val="20"/>
          <w:lang w:val="en-US"/>
        </w:rPr>
        <w:t>)</w:t>
      </w:r>
      <w:r w:rsidR="00ED311F">
        <w:rPr>
          <w:rFonts w:eastAsia="Times New Roman" w:cs="Times New Roman"/>
          <w:szCs w:val="20"/>
          <w:lang w:val="en-US"/>
        </w:rPr>
        <w:fldChar w:fldCharType="end"/>
      </w:r>
      <w:r w:rsidR="0016062A">
        <w:rPr>
          <w:rFonts w:eastAsia="Times New Roman" w:cs="Times New Roman"/>
          <w:noProof/>
          <w:szCs w:val="20"/>
          <w:lang w:val="en-US"/>
        </w:rPr>
        <w:t xml:space="preserve"> and</w:t>
      </w:r>
      <w:r w:rsidR="00DB2ABB">
        <w:rPr>
          <w:rFonts w:eastAsia="Times New Roman" w:cs="Times New Roman"/>
          <w:noProof/>
          <w:szCs w:val="20"/>
          <w:lang w:val="en-US"/>
        </w:rPr>
        <w:t xml:space="preserve"> </w:t>
      </w:r>
      <w:r w:rsidR="00ED311F" w:rsidRPr="0099458E">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&lt;EndNote&gt;&lt;Cite&gt;&lt;Author&gt;Fuangkasem&lt;/Author&gt;&lt;Year&gt;2012&lt;/Year&gt;&lt;RecNum&gt;744&lt;/RecNum&gt;&lt;DisplayText&gt;Fuangkasem, Chunhachinda and Nathaphan (2012)&lt;/DisplayText&gt;&lt;record&gt;&lt;rec-number&gt;744&lt;/rec-number&gt;&lt;foreign-keys&gt;&lt;key app="EN" db-id="szetpsas1ep5veesd5xvva5qdxwetsvpfs5x"&gt;744&lt;/key&gt;&lt;/foreign-keys&gt;&lt;ref-type name="Journal Article"&gt;17&lt;/ref-type&gt;&lt;contributors&gt;&lt;authors&gt;&lt;author&gt;Fuangkasem, Rapeesorn&lt;/author&gt;&lt;author&gt;Chunhachinda, Pornchai&lt;/author&gt;&lt;author&gt;Nathaphan, Sarayut&lt;/author&gt;&lt;/authors&gt;&lt;/contributors&gt;&lt;titles&gt;&lt;title&gt;Information transmission among world major gold futures markets: evidence from high frequency synchronous trading data&lt;/title&gt;&lt;secondary-title&gt;Working Paper, Thammasat University. &lt;/secondary-title&gt;&lt;/titles&gt;&lt;periodical&gt;&lt;full-title&gt;Working paper, Thammasat University.&lt;/full-title&gt;&lt;/periodical&gt;&lt;dates&gt;&lt;year&gt;2012&lt;/year&gt;&lt;/dates&gt;&lt;urls&gt;&lt;/urls&gt;&lt;/record&gt;&lt;/Cite&gt;&lt;/EndNote&gt;</w:instrText>
      </w:r>
      <w:r w:rsidR="00ED311F" w:rsidRPr="0099458E">
        <w:rPr>
          <w:rFonts w:eastAsia="Times New Roman" w:cs="Times New Roman"/>
          <w:szCs w:val="20"/>
          <w:lang w:val="en-US"/>
        </w:rPr>
        <w:fldChar w:fldCharType="separate"/>
      </w:r>
      <w:hyperlink w:anchor="_ENREF_19" w:tooltip="Fuangkasem, 2012 #744" w:history="1">
        <w:r w:rsidR="00C419D5">
          <w:rPr>
            <w:rFonts w:eastAsia="Times New Roman" w:cs="Times New Roman"/>
            <w:noProof/>
            <w:szCs w:val="20"/>
            <w:lang w:val="en-US"/>
          </w:rPr>
          <w:t>Fuangkasem, Chunhachinda and Nathaphan (2012</w:t>
        </w:r>
      </w:hyperlink>
      <w:r w:rsidR="00DB2ABB">
        <w:rPr>
          <w:rFonts w:eastAsia="Times New Roman" w:cs="Times New Roman"/>
          <w:noProof/>
          <w:szCs w:val="20"/>
          <w:lang w:val="en-US"/>
        </w:rPr>
        <w:t>)</w:t>
      </w:r>
      <w:r w:rsidR="00ED311F" w:rsidRPr="0099458E">
        <w:rPr>
          <w:rFonts w:eastAsia="Times New Roman" w:cs="Times New Roman"/>
          <w:szCs w:val="20"/>
          <w:lang w:val="en-US"/>
        </w:rPr>
        <w:fldChar w:fldCharType="end"/>
      </w:r>
      <w:r w:rsidR="0016062A" w:rsidRPr="0099458E">
        <w:rPr>
          <w:rFonts w:eastAsia="Times New Roman" w:cs="Times New Roman"/>
          <w:szCs w:val="20"/>
          <w:lang w:val="en-US"/>
        </w:rPr>
        <w:t xml:space="preserve"> show that futures exchanges in ot</w:t>
      </w:r>
      <w:r w:rsidR="0016062A">
        <w:rPr>
          <w:rFonts w:eastAsia="Times New Roman" w:cs="Times New Roman"/>
          <w:szCs w:val="20"/>
          <w:lang w:val="en-US"/>
        </w:rPr>
        <w:t>her regions are gaining price discovery</w:t>
      </w:r>
      <w:r w:rsidR="0016062A" w:rsidRPr="0099458E">
        <w:rPr>
          <w:rFonts w:eastAsia="Times New Roman" w:cs="Times New Roman"/>
          <w:szCs w:val="20"/>
          <w:lang w:val="en-US"/>
        </w:rPr>
        <w:t>.</w:t>
      </w:r>
      <w:r w:rsidR="0016062A">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&lt;EndNote&gt;&lt;Cite&gt;&lt;Author&gt;Lucey&lt;/Author&gt;&lt;Year&gt;2013&lt;/Year&gt;&lt;RecNum&gt;794&lt;/RecNum&gt;&lt;DisplayText&gt;Lucey, Larkin and O&amp;apos;Connor (2013)&lt;/DisplayText&gt;&lt;record&gt;&lt;rec-number&gt;794&lt;/rec-number&gt;&lt;foreign-keys&gt;&lt;key app="EN" db-id="szetpsas1ep5veesd5xvva5qdxwetsvpfs5x"&gt;794&lt;/key&gt;&lt;/foreign-keys&gt;&lt;ref-type name="Journal Article"&gt;17&lt;/ref-type&gt;&lt;contributors&gt;&lt;authors&gt;&lt;author&gt;Lucey, Brian M&lt;/author&gt;&lt;author&gt;Larkin, Charles&lt;/author&gt;&lt;author&gt;O&amp;apos;Connor, Fergal A&lt;/author&gt;&lt;/authors&gt;&lt;/contributors&gt;&lt;titles&gt;&lt;title&gt;London or New York: where and when does the gold price originate?&lt;/title&gt;&lt;secondary-title&gt;Applied Economics Letters&lt;/secondary-title&gt;&lt;/titles&gt;&lt;periodical&gt;&lt;full-title&gt;Applied Economics Letters&lt;/full-title&gt;&lt;/periodical&gt;&lt;pages&gt;813-817&lt;/pages&gt;&lt;volume&gt;20&lt;/volume&gt;&lt;number&gt;8&lt;/number&gt;&lt;dates&gt;&lt;year&gt;2013&lt;/year&gt;&lt;/dates&gt;&lt;isbn&gt;1350-4851&lt;/isbn&gt;&lt;urls&gt;&lt;/urls&gt;&lt;/record&gt;&lt;/Cite&gt;&lt;/EndNote&gt;</w:instrText>
      </w:r>
      <w:r w:rsidR="00ED311F">
        <w:rPr>
          <w:rFonts w:eastAsia="Times New Roman" w:cs="Times New Roman"/>
          <w:szCs w:val="20"/>
          <w:lang w:val="en-US"/>
        </w:rPr>
        <w:fldChar w:fldCharType="separate"/>
      </w:r>
      <w:hyperlink w:anchor="_ENREF_28" w:tooltip="Lucey, 2013 #794" w:history="1">
        <w:r w:rsidR="00C419D5">
          <w:rPr>
            <w:rFonts w:eastAsia="Times New Roman" w:cs="Times New Roman"/>
            <w:noProof/>
            <w:szCs w:val="20"/>
            <w:lang w:val="en-US"/>
          </w:rPr>
          <w:t>Lucey, Larkin and O'Connor (2013</w:t>
        </w:r>
      </w:hyperlink>
      <w:r w:rsidR="00DB2ABB">
        <w:rPr>
          <w:rFonts w:eastAsia="Times New Roman" w:cs="Times New Roman"/>
          <w:noProof/>
          <w:szCs w:val="20"/>
          <w:lang w:val="en-US"/>
        </w:rPr>
        <w:t>)</w:t>
      </w:r>
      <w:r w:rsidR="00ED311F">
        <w:rPr>
          <w:rFonts w:eastAsia="Times New Roman" w:cs="Times New Roman"/>
          <w:szCs w:val="20"/>
          <w:lang w:val="en-US"/>
        </w:rPr>
        <w:fldChar w:fldCharType="end"/>
      </w:r>
      <w:r w:rsidR="00E54899">
        <w:rPr>
          <w:rFonts w:eastAsia="Times New Roman" w:cs="Times New Roman"/>
          <w:szCs w:val="20"/>
          <w:lang w:val="en-US"/>
        </w:rPr>
        <w:t xml:space="preserve"> </w:t>
      </w:r>
      <w:r w:rsidR="0016062A">
        <w:rPr>
          <w:rFonts w:eastAsia="Times New Roman" w:cs="Times New Roman"/>
          <w:szCs w:val="20"/>
          <w:lang w:val="en-US"/>
        </w:rPr>
        <w:t xml:space="preserve">report that </w:t>
      </w:r>
      <w:r w:rsidR="00E54899">
        <w:rPr>
          <w:rFonts w:eastAsia="Times New Roman" w:cs="Times New Roman"/>
          <w:szCs w:val="20"/>
          <w:lang w:val="en-US"/>
        </w:rPr>
        <w:t xml:space="preserve">London </w:t>
      </w:r>
      <w:r w:rsidR="0016062A">
        <w:rPr>
          <w:rFonts w:eastAsia="Times New Roman" w:cs="Times New Roman"/>
          <w:szCs w:val="20"/>
          <w:lang w:val="en-US"/>
        </w:rPr>
        <w:t>and</w:t>
      </w:r>
      <w:r w:rsidR="00E54899">
        <w:rPr>
          <w:rFonts w:eastAsia="Times New Roman" w:cs="Times New Roman"/>
          <w:szCs w:val="20"/>
          <w:lang w:val="en-US"/>
        </w:rPr>
        <w:t xml:space="preserve"> New York</w:t>
      </w:r>
      <w:r w:rsidR="0016062A">
        <w:rPr>
          <w:rFonts w:eastAsia="Times New Roman" w:cs="Times New Roman"/>
          <w:szCs w:val="20"/>
          <w:lang w:val="en-US"/>
        </w:rPr>
        <w:t xml:space="preserve"> have similar information shares and there is no evidence of shifting information distribution</w:t>
      </w:r>
      <w:r w:rsidR="00E54899">
        <w:rPr>
          <w:rFonts w:eastAsia="Times New Roman" w:cs="Times New Roman"/>
          <w:szCs w:val="20"/>
          <w:lang w:val="en-US"/>
        </w:rPr>
        <w:t>.</w:t>
      </w:r>
      <w:r w:rsidR="00DB2ABB">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&lt;EndNote&gt;&lt;Cite&gt;&lt;Author&gt;Ivanov&lt;/Author&gt;&lt;Year&gt;2011&lt;/Year&gt;&lt;RecNum&gt;740&lt;/RecNum&gt;&lt;DisplayText&gt;Ivanov (2011)&lt;/DisplayText&gt;&lt;record&gt;&lt;rec-number&gt;740&lt;/rec-number&gt;&lt;foreign-keys&gt;&lt;key app="EN" db-id="szetpsas1ep5veesd5xvva5qdxwetsvpfs5x"&gt;740&lt;/key&gt;&lt;/foreign-keys&gt;&lt;ref-type name="Journal Article"&gt;17&lt;/ref-type&gt;&lt;contributors&gt;&lt;authors&gt;&lt;author&gt;Ivanov, Stoyu I&lt;/author&gt;&lt;/authors&gt;&lt;/contributors&gt;&lt;titles&gt;&lt;title&gt;The influence of ETFs on the price discovery of gold, silver and oil&lt;/title&gt;&lt;secondary-title&gt;Journal of Economics and Finance&lt;/secondary-title&gt;&lt;/titles&gt;&lt;periodical&gt;&lt;full-title&gt;Journal of Economics and Finance&lt;/full-title&gt;&lt;/periodical&gt;&lt;pages&gt;453-462&lt;/pages&gt;&lt;volume&gt;37&lt;/volume&gt;&lt;number&gt;3&lt;/number&gt;&lt;dates&gt;&lt;year&gt;2011&lt;/year&gt;&lt;/dates&gt;&lt;isbn&gt;1055-0925&lt;/isbn&gt;&lt;urls&gt;&lt;/urls&gt;&lt;/record&gt;&lt;/Cite&gt;&lt;/EndNote&gt;</w:instrText>
      </w:r>
      <w:r w:rsidR="00ED311F">
        <w:rPr>
          <w:rFonts w:eastAsia="Times New Roman" w:cs="Times New Roman"/>
          <w:szCs w:val="20"/>
          <w:lang w:val="en-US"/>
        </w:rPr>
        <w:fldChar w:fldCharType="separate"/>
      </w:r>
      <w:hyperlink w:anchor="_ENREF_23" w:tooltip="Ivanov, 2011 #740" w:history="1">
        <w:r w:rsidR="00C419D5">
          <w:rPr>
            <w:rFonts w:eastAsia="Times New Roman" w:cs="Times New Roman"/>
            <w:noProof/>
            <w:szCs w:val="20"/>
            <w:lang w:val="en-US"/>
          </w:rPr>
          <w:t>Ivanov (2011</w:t>
        </w:r>
      </w:hyperlink>
      <w:r w:rsidR="00DB2ABB">
        <w:rPr>
          <w:rFonts w:eastAsia="Times New Roman" w:cs="Times New Roman"/>
          <w:noProof/>
          <w:szCs w:val="20"/>
          <w:lang w:val="en-US"/>
        </w:rPr>
        <w:t>)</w:t>
      </w:r>
      <w:r w:rsidR="00ED311F">
        <w:rPr>
          <w:rFonts w:eastAsia="Times New Roman" w:cs="Times New Roman"/>
          <w:szCs w:val="20"/>
          <w:lang w:val="en-US"/>
        </w:rPr>
        <w:fldChar w:fldCharType="end"/>
      </w:r>
      <w:r w:rsidR="00E90861">
        <w:rPr>
          <w:rFonts w:eastAsia="Times New Roman" w:cs="Times New Roman"/>
          <w:szCs w:val="20"/>
          <w:lang w:val="en-US"/>
        </w:rPr>
        <w:t xml:space="preserve"> </w:t>
      </w:r>
      <w:r w:rsidR="00E54899">
        <w:rPr>
          <w:rFonts w:eastAsia="Times New Roman" w:cs="Times New Roman"/>
          <w:szCs w:val="20"/>
          <w:lang w:val="en-US"/>
        </w:rPr>
        <w:t>find</w:t>
      </w:r>
      <w:r w:rsidR="00E90861">
        <w:rPr>
          <w:rFonts w:eastAsia="Times New Roman" w:cs="Times New Roman"/>
          <w:szCs w:val="20"/>
          <w:lang w:val="en-US"/>
        </w:rPr>
        <w:t>s</w:t>
      </w:r>
      <w:r w:rsidR="00E54899">
        <w:rPr>
          <w:rFonts w:eastAsia="Times New Roman" w:cs="Times New Roman"/>
          <w:szCs w:val="20"/>
          <w:lang w:val="en-US"/>
        </w:rPr>
        <w:t xml:space="preserve"> evidence of price discovery shifting from gold futures to gold ETFs.</w:t>
      </w:r>
      <w:r w:rsidR="000A1EAB">
        <w:rPr>
          <w:rFonts w:eastAsia="Times New Roman" w:cs="Times New Roman"/>
          <w:szCs w:val="20"/>
          <w:lang w:val="en-US"/>
        </w:rPr>
        <w:t xml:space="preserve"> </w:t>
      </w:r>
      <w:r w:rsidR="00E97F13">
        <w:rPr>
          <w:rFonts w:eastAsia="Times New Roman" w:cs="Times New Roman"/>
          <w:szCs w:val="20"/>
          <w:lang w:val="en-US"/>
        </w:rPr>
        <w:t>Since price discovery is defined as the process of incorporating new information, the price discovery measures are meas</w:t>
      </w:r>
      <w:r w:rsidR="00E90861">
        <w:rPr>
          <w:rFonts w:eastAsia="Times New Roman" w:cs="Times New Roman"/>
          <w:szCs w:val="20"/>
          <w:lang w:val="en-US"/>
        </w:rPr>
        <w:t xml:space="preserve">ures of information flows. </w:t>
      </w:r>
      <w:r w:rsidR="004D49B5">
        <w:rPr>
          <w:rFonts w:eastAsia="Times New Roman" w:cs="Times New Roman"/>
          <w:szCs w:val="20"/>
          <w:lang w:val="en-US"/>
        </w:rPr>
        <w:t xml:space="preserve">These and other studies of price discovery provide empirical evidence on information flows in the global market for gold.  </w:t>
      </w:r>
    </w:p>
    <w:p w:rsidR="00CA1A48" w:rsidRDefault="008B01B2" w:rsidP="00C03101">
      <w:pPr>
        <w:suppressAutoHyphens/>
        <w:rPr>
          <w:rFonts w:eastAsia="Times New Roman" w:cs="Times New Roman"/>
          <w:szCs w:val="20"/>
          <w:lang w:val="en-US"/>
        </w:rPr>
      </w:pPr>
      <w:r>
        <w:rPr>
          <w:rFonts w:eastAsia="Times New Roman" w:cs="Times New Roman"/>
          <w:szCs w:val="20"/>
          <w:lang w:val="en-US"/>
        </w:rPr>
        <w:t xml:space="preserve">This study has three distinct features from existing </w:t>
      </w:r>
      <w:r w:rsidR="006A21A2">
        <w:rPr>
          <w:rFonts w:eastAsia="Times New Roman" w:cs="Times New Roman"/>
          <w:szCs w:val="20"/>
          <w:lang w:val="en-US"/>
        </w:rPr>
        <w:t>studies of gold market price discovery</w:t>
      </w:r>
      <w:r>
        <w:rPr>
          <w:rFonts w:eastAsia="Times New Roman" w:cs="Times New Roman"/>
          <w:szCs w:val="20"/>
          <w:lang w:val="en-US"/>
        </w:rPr>
        <w:t xml:space="preserve">.  </w:t>
      </w:r>
      <w:r w:rsidR="006A21A2">
        <w:rPr>
          <w:rFonts w:eastAsia="Times New Roman" w:cs="Times New Roman"/>
          <w:szCs w:val="20"/>
          <w:lang w:val="en-US"/>
        </w:rPr>
        <w:t>First, we provide a comprehensive overview o</w:t>
      </w:r>
      <w:r w:rsidR="00C01F2C">
        <w:rPr>
          <w:rFonts w:eastAsia="Times New Roman" w:cs="Times New Roman"/>
          <w:szCs w:val="20"/>
          <w:lang w:val="en-US"/>
        </w:rPr>
        <w:t>f</w:t>
      </w:r>
      <w:r w:rsidR="006A21A2">
        <w:rPr>
          <w:rFonts w:eastAsia="Times New Roman" w:cs="Times New Roman"/>
          <w:szCs w:val="20"/>
          <w:lang w:val="en-US"/>
        </w:rPr>
        <w:t xml:space="preserve"> information distribution across the 24-hour market</w:t>
      </w:r>
      <w:r w:rsidR="00870CC9">
        <w:rPr>
          <w:rFonts w:eastAsia="Times New Roman" w:cs="Times New Roman"/>
          <w:szCs w:val="20"/>
          <w:lang w:val="en-US"/>
        </w:rPr>
        <w:t xml:space="preserve">, and examine how the global information distribution has shifted over the period from 1996 to 2012. </w:t>
      </w:r>
      <w:r w:rsidR="00CA18DE">
        <w:rPr>
          <w:rFonts w:eastAsia="Times New Roman" w:cs="Times New Roman"/>
          <w:szCs w:val="20"/>
          <w:lang w:val="en-US"/>
        </w:rPr>
        <w:t xml:space="preserve"> </w:t>
      </w:r>
      <w:r w:rsidR="00D00DFE">
        <w:rPr>
          <w:rFonts w:eastAsia="Times New Roman" w:cs="Times New Roman"/>
          <w:szCs w:val="20"/>
          <w:lang w:val="en-US"/>
        </w:rPr>
        <w:t>T</w:t>
      </w:r>
      <w:r w:rsidR="00CA18DE">
        <w:rPr>
          <w:rFonts w:eastAsia="Times New Roman" w:cs="Times New Roman"/>
          <w:szCs w:val="20"/>
          <w:lang w:val="en-US"/>
        </w:rPr>
        <w:t xml:space="preserve">he global 24-hour market </w:t>
      </w:r>
      <w:r w:rsidR="00D00DFE">
        <w:rPr>
          <w:rFonts w:eastAsia="Times New Roman" w:cs="Times New Roman"/>
          <w:szCs w:val="20"/>
          <w:lang w:val="en-US"/>
        </w:rPr>
        <w:t xml:space="preserve">is divided </w:t>
      </w:r>
      <w:r w:rsidR="00CA18DE">
        <w:rPr>
          <w:rFonts w:eastAsia="Times New Roman" w:cs="Times New Roman"/>
          <w:szCs w:val="20"/>
          <w:lang w:val="en-US"/>
        </w:rPr>
        <w:t xml:space="preserve">into </w:t>
      </w:r>
      <w:r w:rsidR="000A316B">
        <w:rPr>
          <w:rFonts w:eastAsia="Times New Roman" w:cs="Times New Roman"/>
          <w:szCs w:val="20"/>
          <w:lang w:val="en-US"/>
        </w:rPr>
        <w:t>four</w:t>
      </w:r>
      <w:r w:rsidR="00CA18DE">
        <w:rPr>
          <w:rFonts w:eastAsia="Times New Roman" w:cs="Times New Roman"/>
          <w:szCs w:val="20"/>
          <w:lang w:val="en-US"/>
        </w:rPr>
        <w:t xml:space="preserve"> regional markets of Asia, Europe,</w:t>
      </w:r>
      <w:r w:rsidR="000A316B">
        <w:rPr>
          <w:rFonts w:eastAsia="Times New Roman" w:cs="Times New Roman"/>
          <w:szCs w:val="20"/>
          <w:lang w:val="en-US"/>
        </w:rPr>
        <w:t xml:space="preserve"> </w:t>
      </w:r>
      <w:r w:rsidR="002C08E3">
        <w:rPr>
          <w:rFonts w:eastAsia="Times New Roman" w:cs="Times New Roman"/>
          <w:szCs w:val="20"/>
          <w:lang w:val="en-US"/>
        </w:rPr>
        <w:t>London/N</w:t>
      </w:r>
      <w:r w:rsidR="00A45E24">
        <w:rPr>
          <w:rFonts w:eastAsia="Times New Roman" w:cs="Times New Roman"/>
          <w:szCs w:val="20"/>
          <w:lang w:val="en-US"/>
        </w:rPr>
        <w:t>ew York</w:t>
      </w:r>
      <w:r w:rsidR="00CA18DE">
        <w:rPr>
          <w:rFonts w:eastAsia="Times New Roman" w:cs="Times New Roman"/>
          <w:szCs w:val="20"/>
          <w:lang w:val="en-US"/>
        </w:rPr>
        <w:t xml:space="preserve"> and </w:t>
      </w:r>
      <w:r w:rsidR="00607B56">
        <w:rPr>
          <w:rFonts w:eastAsia="Times New Roman" w:cs="Times New Roman"/>
          <w:szCs w:val="20"/>
          <w:lang w:val="en-US"/>
        </w:rPr>
        <w:t xml:space="preserve">the </w:t>
      </w:r>
      <w:r w:rsidR="00CA18DE">
        <w:rPr>
          <w:rFonts w:eastAsia="Times New Roman" w:cs="Times New Roman"/>
          <w:szCs w:val="20"/>
          <w:lang w:val="en-US"/>
        </w:rPr>
        <w:t>United States.</w:t>
      </w:r>
      <w:r w:rsidR="000A1EAB">
        <w:rPr>
          <w:rFonts w:eastAsia="Times New Roman" w:cs="Times New Roman"/>
          <w:szCs w:val="20"/>
          <w:lang w:val="en-US"/>
        </w:rPr>
        <w:t xml:space="preserve"> </w:t>
      </w:r>
      <w:r w:rsidR="000C512F">
        <w:rPr>
          <w:rFonts w:eastAsia="Times New Roman" w:cs="Times New Roman"/>
          <w:szCs w:val="20"/>
          <w:lang w:val="en-US"/>
        </w:rPr>
        <w:t>Asia, Europe, and the U.S. represent different geographic regions and time zones.  The London/N</w:t>
      </w:r>
      <w:r w:rsidR="00A45E24">
        <w:rPr>
          <w:rFonts w:eastAsia="Times New Roman" w:cs="Times New Roman"/>
          <w:szCs w:val="20"/>
          <w:lang w:val="en-US"/>
        </w:rPr>
        <w:t>ew York</w:t>
      </w:r>
      <w:r w:rsidR="000C512F">
        <w:rPr>
          <w:rFonts w:eastAsia="Times New Roman" w:cs="Times New Roman"/>
          <w:szCs w:val="20"/>
          <w:lang w:val="en-US"/>
        </w:rPr>
        <w:t xml:space="preserve"> market is the two-hour overlapping period between afternoon trading in London and morning trading in New York City</w:t>
      </w:r>
      <w:r w:rsidR="00B24CB1">
        <w:rPr>
          <w:rFonts w:eastAsia="Times New Roman" w:cs="Times New Roman"/>
          <w:szCs w:val="20"/>
          <w:lang w:val="en-US"/>
        </w:rPr>
        <w:t>.</w:t>
      </w:r>
      <w:r w:rsidR="00D613ED">
        <w:rPr>
          <w:rStyle w:val="FootnoteReference"/>
          <w:rFonts w:eastAsia="Times New Roman" w:cs="Times New Roman"/>
          <w:szCs w:val="20"/>
          <w:lang w:val="en-US"/>
        </w:rPr>
        <w:footnoteReference w:id="4"/>
      </w:r>
      <w:r w:rsidR="000C512F">
        <w:rPr>
          <w:rFonts w:eastAsia="Times New Roman" w:cs="Times New Roman"/>
          <w:szCs w:val="20"/>
          <w:lang w:val="en-US"/>
        </w:rPr>
        <w:t xml:space="preserve"> </w:t>
      </w:r>
      <w:r w:rsidR="00D613ED">
        <w:rPr>
          <w:rFonts w:eastAsia="Times New Roman" w:cs="Times New Roman"/>
          <w:szCs w:val="20"/>
          <w:lang w:val="en-US"/>
        </w:rPr>
        <w:t xml:space="preserve"> New York </w:t>
      </w:r>
      <w:r w:rsidR="001F39FF">
        <w:rPr>
          <w:rFonts w:eastAsia="Times New Roman" w:cs="Times New Roman"/>
          <w:szCs w:val="20"/>
          <w:lang w:val="en-US"/>
        </w:rPr>
        <w:t>is</w:t>
      </w:r>
      <w:r w:rsidR="00D613ED">
        <w:rPr>
          <w:rFonts w:eastAsia="Times New Roman" w:cs="Times New Roman"/>
          <w:szCs w:val="20"/>
          <w:lang w:val="en-US"/>
        </w:rPr>
        <w:t xml:space="preserve"> the global hub for trading a wide range of financial products</w:t>
      </w:r>
      <w:r w:rsidR="00683EE5">
        <w:rPr>
          <w:rFonts w:eastAsia="Times New Roman" w:cs="Times New Roman"/>
          <w:szCs w:val="20"/>
          <w:lang w:val="en-US"/>
        </w:rPr>
        <w:t xml:space="preserve"> whose values often </w:t>
      </w:r>
      <w:r w:rsidR="006A67CF">
        <w:rPr>
          <w:rFonts w:eastAsia="Times New Roman" w:cs="Times New Roman"/>
          <w:szCs w:val="20"/>
          <w:lang w:val="en-US"/>
        </w:rPr>
        <w:t xml:space="preserve">have </w:t>
      </w:r>
      <w:r w:rsidR="00683EE5">
        <w:rPr>
          <w:rFonts w:eastAsia="Times New Roman" w:cs="Times New Roman"/>
          <w:szCs w:val="20"/>
          <w:lang w:val="en-US"/>
        </w:rPr>
        <w:t>implications for</w:t>
      </w:r>
      <w:r w:rsidR="00D613ED">
        <w:rPr>
          <w:rFonts w:eastAsia="Times New Roman" w:cs="Times New Roman"/>
          <w:szCs w:val="20"/>
          <w:lang w:val="en-US"/>
        </w:rPr>
        <w:t xml:space="preserve"> the price of gold.</w:t>
      </w:r>
      <w:r w:rsidR="00D91902">
        <w:rPr>
          <w:rFonts w:eastAsia="Times New Roman" w:cs="Times New Roman"/>
          <w:szCs w:val="20"/>
          <w:lang w:val="en-US"/>
        </w:rPr>
        <w:t xml:space="preserve">  </w:t>
      </w:r>
      <w:r w:rsidR="00DC4BEB">
        <w:rPr>
          <w:rFonts w:eastAsia="Times New Roman" w:cs="Times New Roman"/>
          <w:szCs w:val="20"/>
          <w:lang w:val="en-US"/>
        </w:rPr>
        <w:t xml:space="preserve">The </w:t>
      </w:r>
      <w:r w:rsidR="00DC4BEB">
        <w:rPr>
          <w:rFonts w:eastAsia="Times New Roman" w:cs="Times New Roman"/>
          <w:szCs w:val="20"/>
          <w:lang w:val="en-US"/>
        </w:rPr>
        <w:lastRenderedPageBreak/>
        <w:t>two hours cover the London afternoon fixing at 3 pm London time</w:t>
      </w:r>
      <w:r w:rsidR="00AF121B">
        <w:rPr>
          <w:rFonts w:eastAsia="Times New Roman" w:cs="Times New Roman"/>
          <w:szCs w:val="20"/>
          <w:lang w:val="en-US"/>
        </w:rPr>
        <w:t xml:space="preserve"> which is an important benchmark price for gold</w:t>
      </w:r>
      <w:r w:rsidR="00DC4BEB">
        <w:rPr>
          <w:rFonts w:eastAsia="Times New Roman" w:cs="Times New Roman"/>
          <w:szCs w:val="20"/>
          <w:lang w:val="en-US"/>
        </w:rPr>
        <w:t xml:space="preserve">.  </w:t>
      </w:r>
      <w:r w:rsidR="00D91902">
        <w:rPr>
          <w:rFonts w:eastAsia="Times New Roman" w:cs="Times New Roman"/>
          <w:szCs w:val="20"/>
          <w:lang w:val="en-US"/>
        </w:rPr>
        <w:t xml:space="preserve">It is likely that these two hours are </w:t>
      </w:r>
      <w:r w:rsidR="00DC4BEB">
        <w:rPr>
          <w:rFonts w:eastAsia="Times New Roman" w:cs="Times New Roman"/>
          <w:szCs w:val="20"/>
          <w:lang w:val="en-US"/>
        </w:rPr>
        <w:t xml:space="preserve">more informationally intensive than </w:t>
      </w:r>
      <w:r w:rsidR="00082D38">
        <w:rPr>
          <w:rFonts w:eastAsia="Times New Roman" w:cs="Times New Roman"/>
          <w:szCs w:val="20"/>
          <w:lang w:val="en-US"/>
        </w:rPr>
        <w:t>periods when London or New York is trading alone.</w:t>
      </w:r>
      <w:r w:rsidR="00DC4BEB">
        <w:rPr>
          <w:rFonts w:eastAsia="Times New Roman" w:cs="Times New Roman"/>
          <w:szCs w:val="20"/>
          <w:lang w:val="en-US"/>
        </w:rPr>
        <w:t xml:space="preserve">  Wang and Yang (2011) show that these two hours have the highest information share per hour across global currency markets.  </w:t>
      </w:r>
    </w:p>
    <w:p w:rsidR="006A67CF" w:rsidRDefault="00CA18DE">
      <w:pPr>
        <w:suppressAutoHyphens/>
        <w:rPr>
          <w:rFonts w:eastAsia="Times New Roman" w:cs="Times New Roman"/>
          <w:szCs w:val="20"/>
          <w:lang w:val="en-US"/>
        </w:rPr>
      </w:pPr>
      <w:r>
        <w:rPr>
          <w:rFonts w:eastAsia="Times New Roman" w:cs="Times New Roman"/>
          <w:szCs w:val="20"/>
          <w:lang w:val="en-US"/>
        </w:rPr>
        <w:t xml:space="preserve">Second, our study is based on price discovery measures suitable for </w:t>
      </w:r>
      <w:r w:rsidR="006F6E06">
        <w:rPr>
          <w:rFonts w:eastAsia="Times New Roman" w:cs="Times New Roman"/>
          <w:szCs w:val="20"/>
          <w:lang w:val="en-US"/>
        </w:rPr>
        <w:t xml:space="preserve">non-overlapping sequential markets. </w:t>
      </w:r>
      <w:r w:rsidR="00FD2525">
        <w:rPr>
          <w:rFonts w:eastAsia="Times New Roman" w:cs="Times New Roman"/>
          <w:szCs w:val="20"/>
          <w:lang w:val="en-US"/>
        </w:rPr>
        <w:t>The price discovery measures</w:t>
      </w:r>
      <w:r w:rsidR="006F6E06">
        <w:rPr>
          <w:rFonts w:eastAsia="Times New Roman" w:cs="Times New Roman"/>
          <w:szCs w:val="20"/>
          <w:lang w:val="en-US"/>
        </w:rPr>
        <w:t xml:space="preserve"> of</w:t>
      </w:r>
      <w:r w:rsidR="00E90861">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&lt;EndNote&gt;&lt;Cite&gt;&lt;Author&gt;Hasbrouck&lt;/Author&gt;&lt;Year&gt;1995&lt;/Year&gt;&lt;RecNum&gt;746&lt;/RecNum&gt;&lt;DisplayText&gt;Hasbrouck (1995)&lt;/DisplayText&gt;&lt;record&gt;&lt;rec-number&gt;746&lt;/rec-number&gt;&lt;foreign-keys&gt;&lt;key app="EN" db-id="szetpsas1ep5veesd5xvva5qdxwetsvpfs5x"&gt;746&lt;/key&gt;&lt;/foreign-keys&gt;&lt;ref-type name="Journal Article"&gt;17&lt;/ref-type&gt;&lt;contributors&gt;&lt;authors&gt;&lt;author&gt;Hasbrouck, Joel&lt;/author&gt;&lt;/authors&gt;&lt;/contributors&gt;&lt;titles&gt;&lt;title&gt;One security, many markets: Determining the contributions to price discovery&lt;/title&gt;&lt;secondary-title&gt;Journal of Finance&lt;/secondary-title&gt;&lt;/titles&gt;&lt;periodical&gt;&lt;full-title&gt;Journal of Finance&lt;/full-title&gt;&lt;/periodical&gt;&lt;pages&gt;1175-1199&lt;/pages&gt;&lt;volume&gt;50&lt;/volume&gt;&lt;number&gt;4&lt;/number&gt;&lt;dates&gt;&lt;year&gt;1995&lt;/year&gt;&lt;/dates&gt;&lt;isbn&gt;1540-6261&lt;/isbn&gt;&lt;urls&gt;&lt;/urls&gt;&lt;/record&gt;&lt;/Cite&gt;&lt;/EndNote&gt;</w:instrText>
      </w:r>
      <w:r w:rsidR="00ED311F">
        <w:rPr>
          <w:rFonts w:eastAsia="Times New Roman" w:cs="Times New Roman"/>
          <w:szCs w:val="20"/>
          <w:lang w:val="en-US"/>
        </w:rPr>
        <w:fldChar w:fldCharType="separate"/>
      </w:r>
      <w:hyperlink w:anchor="_ENREF_21" w:tooltip="Hasbrouck, 1995 #746" w:history="1">
        <w:r w:rsidR="00C419D5">
          <w:rPr>
            <w:rFonts w:eastAsia="Times New Roman" w:cs="Times New Roman"/>
            <w:noProof/>
            <w:szCs w:val="20"/>
            <w:lang w:val="en-US"/>
          </w:rPr>
          <w:t>Hasbrouck (1995</w:t>
        </w:r>
      </w:hyperlink>
      <w:r w:rsidR="00E90861">
        <w:rPr>
          <w:rFonts w:eastAsia="Times New Roman" w:cs="Times New Roman"/>
          <w:noProof/>
          <w:szCs w:val="20"/>
          <w:lang w:val="en-US"/>
        </w:rPr>
        <w:t>)</w:t>
      </w:r>
      <w:r w:rsidR="00ED311F">
        <w:rPr>
          <w:rFonts w:eastAsia="Times New Roman" w:cs="Times New Roman"/>
          <w:szCs w:val="20"/>
          <w:lang w:val="en-US"/>
        </w:rPr>
        <w:fldChar w:fldCharType="end"/>
      </w:r>
      <w:r w:rsidR="00C03101">
        <w:rPr>
          <w:rFonts w:eastAsia="Times New Roman" w:cs="Times New Roman"/>
          <w:szCs w:val="20"/>
          <w:lang w:val="en-US"/>
        </w:rPr>
        <w:t xml:space="preserve"> and</w:t>
      </w:r>
      <w:r w:rsidR="00E90861">
        <w:rPr>
          <w:rFonts w:eastAsia="Times New Roman" w:cs="Times New Roman"/>
          <w:szCs w:val="20"/>
          <w:lang w:val="en-US"/>
        </w:rPr>
        <w:t xml:space="preserve"> </w:t>
      </w:r>
      <w:r w:rsidR="00ED311F">
        <w:rPr>
          <w:rFonts w:eastAsia="Times New Roman" w:cs="Times New Roman"/>
          <w:szCs w:val="20"/>
          <w:lang w:val="en-US"/>
        </w:rPr>
        <w:fldChar w:fldCharType="begin"/>
      </w:r>
      <w:r w:rsidR="00C419D5">
        <w:rPr>
          <w:rFonts w:eastAsia="Times New Roman" w:cs="Times New Roman"/>
          <w:szCs w:val="20"/>
          <w:lang w:val="en-US"/>
        </w:rPr>
        <w:instrText xml:space="preserve"> ADDIN EN.CITE &lt;EndNote&gt;&lt;Cite&gt;&lt;Author&gt;Harris&lt;/Author&gt;&lt;Year&gt;2002&lt;/Year&gt;&lt;RecNum&gt;748&lt;/RecNum&gt;&lt;DisplayText&gt;Harris, McInish and Wood (2002)&lt;/DisplayText&gt;&lt;record&gt;&lt;rec-number&gt;748&lt;/rec-number&gt;&lt;foreign-keys&gt;&lt;key app="EN" db-id="szetpsas1ep5veesd5xvva5qdxwetsvpfs5x"&gt;748&lt;/key&gt;&lt;/foreign-keys&gt;&lt;ref-type name="Journal Article"&gt;17&lt;/ref-type&gt;&lt;contributors&gt;&lt;authors&gt;&lt;author&gt;Harris, F. H.&lt;/author&gt;&lt;author&gt;McInish, T. M.&lt;/author&gt;&lt;author&gt;Wood, R.&lt;/author&gt;&lt;/authors&gt;&lt;/contributors&gt;&lt;titles&gt;&lt;title&gt;Security price adjustment across exchanges: an investigation of common factor components for Dow stocks&lt;/title&gt;&lt;secondary-title&gt;Journal of Financial Markets&lt;/secondary-title&gt;&lt;/titles&gt;&lt;periodical&gt;&lt;full-title&gt;Journal of Financial Markets&lt;/full-title&gt;&lt;/periodical&gt;&lt;pages&gt;277-308&lt;/pages&gt;&lt;volume&gt;5&lt;/volume&gt;&lt;dates&gt;&lt;year&gt;2002&lt;/year&gt;&lt;/dates&gt;&lt;urls&gt;&lt;/urls&gt;&lt;/record&gt;&lt;/Cite&gt;&lt;/EndNote&gt;</w:instrText>
      </w:r>
      <w:r w:rsidR="00ED311F">
        <w:rPr>
          <w:rFonts w:eastAsia="Times New Roman" w:cs="Times New Roman"/>
          <w:szCs w:val="20"/>
          <w:lang w:val="en-US"/>
        </w:rPr>
        <w:fldChar w:fldCharType="separate"/>
      </w:r>
      <w:hyperlink w:anchor="_ENREF_20" w:tooltip="Harris, 2002 #748" w:history="1">
        <w:r w:rsidR="00C419D5">
          <w:rPr>
            <w:rFonts w:eastAsia="Times New Roman" w:cs="Times New Roman"/>
            <w:noProof/>
            <w:szCs w:val="20"/>
            <w:lang w:val="en-US"/>
          </w:rPr>
          <w:t>Harris, McInish and Wood (2002</w:t>
        </w:r>
      </w:hyperlink>
      <w:r w:rsidR="00C419D5">
        <w:rPr>
          <w:rFonts w:eastAsia="Times New Roman" w:cs="Times New Roman"/>
          <w:noProof/>
          <w:szCs w:val="20"/>
          <w:lang w:val="en-US"/>
        </w:rPr>
        <w:t>)</w:t>
      </w:r>
      <w:r w:rsidR="00ED311F">
        <w:rPr>
          <w:rFonts w:eastAsia="Times New Roman" w:cs="Times New Roman"/>
          <w:szCs w:val="20"/>
          <w:lang w:val="en-US"/>
        </w:rPr>
        <w:fldChar w:fldCharType="end"/>
      </w:r>
      <w:r w:rsidR="00C03101">
        <w:rPr>
          <w:rFonts w:eastAsia="Times New Roman" w:cs="Times New Roman"/>
          <w:szCs w:val="20"/>
          <w:lang w:val="en-US"/>
        </w:rPr>
        <w:t xml:space="preserve"> are designed for parallel markets where trading takes place simultaneous</w:t>
      </w:r>
      <w:r w:rsidR="001B5133">
        <w:rPr>
          <w:rFonts w:eastAsia="Times New Roman" w:cs="Times New Roman"/>
          <w:szCs w:val="20"/>
          <w:lang w:val="en-US"/>
        </w:rPr>
        <w:t>ly</w:t>
      </w:r>
      <w:r w:rsidR="00C03101">
        <w:rPr>
          <w:rFonts w:eastAsia="Times New Roman" w:cs="Times New Roman"/>
          <w:szCs w:val="20"/>
          <w:lang w:val="en-US"/>
        </w:rPr>
        <w:t>.</w:t>
      </w:r>
      <w:r w:rsidR="00FD2525">
        <w:rPr>
          <w:rFonts w:eastAsia="Times New Roman" w:cs="Times New Roman"/>
          <w:szCs w:val="20"/>
          <w:lang w:val="en-US"/>
        </w:rPr>
        <w:t xml:space="preserve"> </w:t>
      </w:r>
      <w:r w:rsidR="0003211D">
        <w:rPr>
          <w:rFonts w:eastAsia="Times New Roman" w:cs="Times New Roman"/>
          <w:szCs w:val="20"/>
          <w:lang w:val="en-US"/>
        </w:rPr>
        <w:t>They cannot be applied to markets with little or no overlapping trading hours</w:t>
      </w:r>
      <w:r w:rsidR="00490946">
        <w:rPr>
          <w:rFonts w:eastAsia="Times New Roman" w:cs="Times New Roman"/>
          <w:szCs w:val="20"/>
          <w:lang w:val="en-US"/>
        </w:rPr>
        <w:t>, e.g. Tokyo and London or Shanghai and New York</w:t>
      </w:r>
      <w:r w:rsidR="0003211D">
        <w:rPr>
          <w:rFonts w:eastAsia="Times New Roman" w:cs="Times New Roman"/>
          <w:szCs w:val="20"/>
          <w:lang w:val="en-US"/>
        </w:rPr>
        <w:t xml:space="preserve">.  </w:t>
      </w:r>
      <w:r w:rsidR="00FD2525">
        <w:rPr>
          <w:rFonts w:eastAsia="Times New Roman" w:cs="Times New Roman"/>
          <w:szCs w:val="20"/>
          <w:lang w:val="en-US"/>
        </w:rPr>
        <w:t>W</w:t>
      </w:r>
      <w:r w:rsidR="00C03101">
        <w:rPr>
          <w:rFonts w:eastAsia="Times New Roman" w:cs="Times New Roman"/>
          <w:szCs w:val="20"/>
          <w:lang w:val="en-US"/>
        </w:rPr>
        <w:t xml:space="preserve">e use </w:t>
      </w:r>
      <w:r w:rsidR="00B24CB1">
        <w:rPr>
          <w:rFonts w:eastAsia="Times New Roman" w:cs="Times New Roman"/>
          <w:szCs w:val="20"/>
          <w:lang w:val="en-US"/>
        </w:rPr>
        <w:t>a</w:t>
      </w:r>
      <w:r w:rsidR="00C03101">
        <w:rPr>
          <w:rFonts w:eastAsia="Times New Roman" w:cs="Times New Roman"/>
          <w:szCs w:val="20"/>
          <w:lang w:val="en-US"/>
        </w:rPr>
        <w:t xml:space="preserve"> price discovery measure of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&lt;EndNote&gt;&lt;Cite&gt;&lt;Author&gt;Wang&lt;/Author&gt;&lt;Year&gt;2011&lt;/Year&gt;&lt;RecNum&gt;749&lt;/RecNum&gt;&lt;DisplayText&gt;Wang and Yang (2011)&lt;/DisplayText&gt;&lt;record&gt;&lt;rec-number&gt;749&lt;/rec-number&gt;&lt;foreign-keys&gt;&lt;key app="EN" db-id="szetpsas1ep5veesd5xvva5qdxwetsvpfs5x"&gt;749&lt;/key&gt;&lt;/foreign-keys&gt;&lt;ref-type name="Journal Article"&gt;17&lt;/ref-type&gt;&lt;contributors&gt;&lt;authors&gt;&lt;author&gt;Wang, Jianxin&lt;/author&gt;&lt;author&gt;Yang, Minxian&lt;/author&gt;&lt;/authors&gt;&lt;/contributors&gt;&lt;titles&gt;&lt;title&gt;Housewives of Tokyo versus the gnomes of Zurich: Measuring price discovery in sequential markets&lt;/title&gt;&lt;secondary-title&gt;Journal of Financial Markets&lt;/secondary-title&gt;&lt;/titles&gt;&lt;periodical&gt;&lt;full-title&gt;Journal of Financial Markets&lt;/full-title&gt;&lt;/periodical&gt;&lt;pages&gt;82-108&lt;/pages&gt;&lt;volume&gt;14&lt;/volume&gt;&lt;number&gt;1&lt;/number&gt;&lt;dates&gt;&lt;year&gt;2011&lt;/year&gt;&lt;/dates&gt;&lt;isbn&gt;1386-4181&lt;/isbn&gt;&lt;urls&gt;&lt;/urls&gt;&lt;/record&gt;&lt;/Cite&gt;&lt;/EndNote&gt;</w:instrText>
      </w:r>
      <w:r w:rsidR="00ED311F">
        <w:rPr>
          <w:rFonts w:eastAsia="Times New Roman" w:cs="Times New Roman"/>
          <w:szCs w:val="20"/>
          <w:lang w:val="en-US"/>
        </w:rPr>
        <w:fldChar w:fldCharType="separate"/>
      </w:r>
      <w:hyperlink w:anchor="_ENREF_39" w:tooltip="Wang, 2011 #749" w:history="1">
        <w:r w:rsidR="00C419D5">
          <w:rPr>
            <w:rFonts w:eastAsia="Times New Roman" w:cs="Times New Roman"/>
            <w:noProof/>
            <w:szCs w:val="20"/>
            <w:lang w:val="en-US"/>
          </w:rPr>
          <w:t>Wang and Yang (2011</w:t>
        </w:r>
      </w:hyperlink>
      <w:r w:rsidR="00E90861">
        <w:rPr>
          <w:rFonts w:eastAsia="Times New Roman" w:cs="Times New Roman"/>
          <w:noProof/>
          <w:szCs w:val="20"/>
          <w:lang w:val="en-US"/>
        </w:rPr>
        <w:t>)</w:t>
      </w:r>
      <w:r w:rsidR="00ED311F">
        <w:rPr>
          <w:rFonts w:eastAsia="Times New Roman" w:cs="Times New Roman"/>
          <w:szCs w:val="20"/>
          <w:lang w:val="en-US"/>
        </w:rPr>
        <w:fldChar w:fldCharType="end"/>
      </w:r>
      <w:r w:rsidR="00C03101">
        <w:rPr>
          <w:rFonts w:eastAsia="Times New Roman" w:cs="Times New Roman"/>
          <w:szCs w:val="20"/>
          <w:lang w:val="en-US"/>
        </w:rPr>
        <w:t xml:space="preserve"> which </w:t>
      </w:r>
      <w:r w:rsidR="00581C0B">
        <w:rPr>
          <w:rFonts w:eastAsia="Times New Roman" w:cs="Times New Roman"/>
          <w:szCs w:val="20"/>
          <w:lang w:val="en-US"/>
        </w:rPr>
        <w:t>is</w:t>
      </w:r>
      <w:r w:rsidR="00C03101">
        <w:rPr>
          <w:rFonts w:eastAsia="Times New Roman" w:cs="Times New Roman"/>
          <w:szCs w:val="20"/>
          <w:lang w:val="en-US"/>
        </w:rPr>
        <w:t xml:space="preserve"> designed for non-o</w:t>
      </w:r>
      <w:r w:rsidR="003C2A98">
        <w:rPr>
          <w:rFonts w:eastAsia="Times New Roman" w:cs="Times New Roman"/>
          <w:szCs w:val="20"/>
          <w:lang w:val="en-US"/>
        </w:rPr>
        <w:t xml:space="preserve">verlapping sequential markets. </w:t>
      </w:r>
      <w:r w:rsidR="00C03101">
        <w:rPr>
          <w:rFonts w:eastAsia="Times New Roman" w:cs="Times New Roman"/>
          <w:szCs w:val="20"/>
          <w:lang w:val="en-US"/>
        </w:rPr>
        <w:t>Th</w:t>
      </w:r>
      <w:r w:rsidR="00B3199F">
        <w:rPr>
          <w:rFonts w:eastAsia="Times New Roman" w:cs="Times New Roman"/>
          <w:szCs w:val="20"/>
          <w:lang w:val="en-US"/>
        </w:rPr>
        <w:t>e</w:t>
      </w:r>
      <w:r w:rsidR="00C03101">
        <w:rPr>
          <w:rFonts w:eastAsia="Times New Roman" w:cs="Times New Roman"/>
          <w:szCs w:val="20"/>
          <w:lang w:val="en-US"/>
        </w:rPr>
        <w:t xml:space="preserve"> non-parametric measure is in the spirit of Hasbrouck (1995), where information flow is measured by the variance of th</w:t>
      </w:r>
      <w:r w:rsidR="008302B1">
        <w:rPr>
          <w:rFonts w:eastAsia="Times New Roman" w:cs="Times New Roman"/>
          <w:szCs w:val="20"/>
          <w:lang w:val="en-US"/>
        </w:rPr>
        <w:t xml:space="preserve">e unobservable efficient price. </w:t>
      </w:r>
      <w:r w:rsidR="00516BDC">
        <w:rPr>
          <w:rFonts w:eastAsia="Times New Roman" w:cs="Times New Roman"/>
          <w:szCs w:val="20"/>
          <w:lang w:val="en-US"/>
        </w:rPr>
        <w:t>Using 5-minute and 1-</w:t>
      </w:r>
      <w:r w:rsidR="00A51578">
        <w:rPr>
          <w:rFonts w:eastAsia="Times New Roman" w:cs="Times New Roman"/>
          <w:szCs w:val="20"/>
          <w:lang w:val="en-US"/>
        </w:rPr>
        <w:t xml:space="preserve">minute </w:t>
      </w:r>
      <w:r w:rsidR="00516BDC">
        <w:rPr>
          <w:rFonts w:eastAsia="Times New Roman" w:cs="Times New Roman"/>
          <w:szCs w:val="20"/>
          <w:lang w:val="en-US"/>
        </w:rPr>
        <w:t>intraday prices, we construct the two-scale realized variance (TSRV) proposed by</w:t>
      </w:r>
      <w:r w:rsidR="00E90861">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&lt;EndNote&gt;&lt;Cite&gt;&lt;Author&gt;Zhang&lt;/Author&gt;&lt;Year&gt;2005&lt;/Year&gt;&lt;RecNum&gt;733&lt;/RecNum&gt;&lt;DisplayText&gt;Zhang, Mykland and Aït-Sahalia (2005)&lt;/DisplayText&gt;&lt;record&gt;&lt;rec-number&gt;733&lt;/rec-number&gt;&lt;foreign-keys&gt;&lt;key app="EN" db-id="szetpsas1ep5veesd5xvva5qdxwetsvpfs5x"&gt;733&lt;/key&gt;&lt;/foreign-keys&gt;&lt;ref-type name="Journal Article"&gt;17&lt;/ref-type&gt;&lt;contributors&gt;&lt;authors&gt;&lt;author&gt;Zhang, Lan&lt;/author&gt;&lt;author&gt;Mykland, Per A&lt;/author&gt;&lt;author&gt;Aït-Sahalia, Yacine&lt;/author&gt;&lt;/authors&gt;&lt;/contributors&gt;&lt;titles&gt;&lt;title&gt;A tale of two time scales&lt;/title&gt;&lt;secondary-title&gt;Journal of the American Statistical Association&lt;/secondary-title&gt;&lt;/titles&gt;&lt;periodical&gt;&lt;full-title&gt;Journal of the American Statistical Association&lt;/full-title&gt;&lt;/periodical&gt;&lt;pages&gt;1394-1411&lt;/pages&gt;&lt;volume&gt;100&lt;/volume&gt;&lt;number&gt;472&lt;/number&gt;&lt;dates&gt;&lt;year&gt;2005&lt;/year&gt;&lt;/dates&gt;&lt;urls&gt;&lt;/urls&gt;&lt;/record&gt;&lt;/Cite&gt;&lt;/EndNote&gt;</w:instrText>
      </w:r>
      <w:r w:rsidR="00ED311F">
        <w:rPr>
          <w:rFonts w:eastAsia="Times New Roman" w:cs="Times New Roman"/>
          <w:szCs w:val="20"/>
          <w:lang w:val="en-US"/>
        </w:rPr>
        <w:fldChar w:fldCharType="separate"/>
      </w:r>
      <w:hyperlink w:anchor="_ENREF_42" w:tooltip="Zhang, 2005 #733" w:history="1">
        <w:r w:rsidR="00C419D5">
          <w:rPr>
            <w:rFonts w:eastAsia="Times New Roman" w:cs="Times New Roman"/>
            <w:noProof/>
            <w:szCs w:val="20"/>
            <w:lang w:val="en-US"/>
          </w:rPr>
          <w:t>Zhang, Mykland and Aït-Sahalia (2005</w:t>
        </w:r>
      </w:hyperlink>
      <w:r w:rsidR="00E90861">
        <w:rPr>
          <w:rFonts w:eastAsia="Times New Roman" w:cs="Times New Roman"/>
          <w:noProof/>
          <w:szCs w:val="20"/>
          <w:lang w:val="en-US"/>
        </w:rPr>
        <w:t>)</w:t>
      </w:r>
      <w:r w:rsidR="00ED311F">
        <w:rPr>
          <w:rFonts w:eastAsia="Times New Roman" w:cs="Times New Roman"/>
          <w:szCs w:val="20"/>
          <w:lang w:val="en-US"/>
        </w:rPr>
        <w:fldChar w:fldCharType="end"/>
      </w:r>
      <w:r w:rsidR="00516BDC">
        <w:rPr>
          <w:rFonts w:eastAsia="Times New Roman" w:cs="Times New Roman"/>
          <w:szCs w:val="20"/>
          <w:lang w:val="en-US"/>
        </w:rPr>
        <w:t xml:space="preserve">. TSRV </w:t>
      </w:r>
      <w:r w:rsidR="00285922">
        <w:rPr>
          <w:rFonts w:eastAsia="Times New Roman" w:cs="Times New Roman"/>
          <w:szCs w:val="20"/>
          <w:lang w:val="en-US"/>
        </w:rPr>
        <w:t xml:space="preserve">removes the noise component associated with </w:t>
      </w:r>
      <w:r w:rsidR="008A7A50">
        <w:rPr>
          <w:rFonts w:eastAsia="Times New Roman" w:cs="Times New Roman"/>
          <w:szCs w:val="20"/>
          <w:lang w:val="en-US"/>
        </w:rPr>
        <w:t xml:space="preserve">high-frequency </w:t>
      </w:r>
      <w:r w:rsidR="00285922">
        <w:rPr>
          <w:rFonts w:eastAsia="Times New Roman" w:cs="Times New Roman"/>
          <w:szCs w:val="20"/>
          <w:lang w:val="en-US"/>
        </w:rPr>
        <w:t>return autocorrelation, thus capturing t</w:t>
      </w:r>
      <w:r w:rsidR="003C2A98">
        <w:rPr>
          <w:rFonts w:eastAsia="Times New Roman" w:cs="Times New Roman"/>
          <w:szCs w:val="20"/>
          <w:lang w:val="en-US"/>
        </w:rPr>
        <w:t xml:space="preserve">he true innovation in returns. </w:t>
      </w:r>
      <w:r w:rsidR="00C03101">
        <w:rPr>
          <w:rFonts w:eastAsia="Times New Roman" w:cs="Times New Roman"/>
          <w:szCs w:val="20"/>
          <w:lang w:val="en-US"/>
        </w:rPr>
        <w:t xml:space="preserve">As a robustness check, we also estimate information distribution using the popular weighted price contribution (WPC). </w:t>
      </w:r>
    </w:p>
    <w:p w:rsidR="00C01F2C" w:rsidRDefault="005D1E36" w:rsidP="00C03101">
      <w:pPr>
        <w:suppressAutoHyphens/>
        <w:rPr>
          <w:rFonts w:eastAsia="Times New Roman" w:cs="Times New Roman"/>
          <w:szCs w:val="20"/>
          <w:lang w:val="en-US"/>
        </w:rPr>
      </w:pPr>
      <w:r>
        <w:rPr>
          <w:rFonts w:eastAsia="Times New Roman" w:cs="Times New Roman"/>
          <w:szCs w:val="20"/>
          <w:lang w:val="en-US"/>
        </w:rPr>
        <w:t xml:space="preserve">Third, </w:t>
      </w:r>
      <w:r w:rsidR="008C464F">
        <w:rPr>
          <w:rFonts w:eastAsia="Times New Roman" w:cs="Times New Roman"/>
          <w:szCs w:val="20"/>
          <w:lang w:val="en-US"/>
        </w:rPr>
        <w:t xml:space="preserve">we </w:t>
      </w:r>
      <w:r w:rsidR="00C01F2C">
        <w:rPr>
          <w:rFonts w:eastAsia="Times New Roman" w:cs="Times New Roman"/>
          <w:szCs w:val="20"/>
          <w:lang w:val="en-US"/>
        </w:rPr>
        <w:t>estimate private</w:t>
      </w:r>
      <w:r w:rsidR="008C464F">
        <w:rPr>
          <w:rFonts w:eastAsia="Times New Roman" w:cs="Times New Roman"/>
          <w:szCs w:val="20"/>
          <w:lang w:val="en-US"/>
        </w:rPr>
        <w:t xml:space="preserve"> information flow</w:t>
      </w:r>
      <w:r w:rsidR="00C01F2C">
        <w:rPr>
          <w:rFonts w:eastAsia="Times New Roman" w:cs="Times New Roman"/>
          <w:szCs w:val="20"/>
          <w:lang w:val="en-US"/>
        </w:rPr>
        <w:t>s embedded in the order flows</w:t>
      </w:r>
      <w:r w:rsidR="008C464F">
        <w:rPr>
          <w:rFonts w:eastAsia="Times New Roman" w:cs="Times New Roman"/>
          <w:szCs w:val="20"/>
          <w:lang w:val="en-US"/>
        </w:rPr>
        <w:t xml:space="preserve"> in each market</w:t>
      </w:r>
      <w:r w:rsidR="00C01F2C">
        <w:rPr>
          <w:rFonts w:eastAsia="Times New Roman" w:cs="Times New Roman"/>
          <w:szCs w:val="20"/>
          <w:lang w:val="en-US"/>
        </w:rPr>
        <w:t xml:space="preserve">. </w:t>
      </w:r>
      <w:r w:rsidR="00436C34">
        <w:rPr>
          <w:rFonts w:eastAsia="Times New Roman" w:cs="Times New Roman"/>
          <w:szCs w:val="20"/>
          <w:lang w:val="en-US"/>
        </w:rPr>
        <w:t xml:space="preserve">This provides new evidence on the cross-market differences, as well as further refinement on the overall information distribution. </w:t>
      </w:r>
      <w:r w:rsidR="004438BA">
        <w:rPr>
          <w:rFonts w:eastAsia="Times New Roman" w:cs="Times New Roman"/>
          <w:szCs w:val="20"/>
          <w:lang w:val="en-US"/>
        </w:rPr>
        <w:t xml:space="preserve">In microstructure studies, a widely adopted assumption is that private information comes through order flows </w:t>
      </w:r>
      <w:r w:rsidR="0090054A">
        <w:rPr>
          <w:rFonts w:eastAsia="Times New Roman" w:cs="Times New Roman"/>
          <w:szCs w:val="20"/>
          <w:lang w:val="en-US"/>
        </w:rPr>
        <w:t>and tra</w:t>
      </w:r>
      <w:r w:rsidR="00BD3E7D">
        <w:rPr>
          <w:rFonts w:eastAsia="Times New Roman" w:cs="Times New Roman"/>
          <w:szCs w:val="20"/>
          <w:lang w:val="en-US"/>
        </w:rPr>
        <w:t>nsactions</w:t>
      </w:r>
      <w:r w:rsidR="0090054A">
        <w:rPr>
          <w:rFonts w:eastAsia="Times New Roman" w:cs="Times New Roman"/>
          <w:szCs w:val="20"/>
          <w:lang w:val="en-US"/>
        </w:rPr>
        <w:t xml:space="preserve">, while </w:t>
      </w:r>
      <w:r w:rsidR="004438BA">
        <w:rPr>
          <w:rFonts w:eastAsia="Times New Roman" w:cs="Times New Roman"/>
          <w:szCs w:val="20"/>
          <w:lang w:val="en-US"/>
        </w:rPr>
        <w:t>public information dire</w:t>
      </w:r>
      <w:r w:rsidR="00AA0755">
        <w:rPr>
          <w:rFonts w:eastAsia="Times New Roman" w:cs="Times New Roman"/>
          <w:szCs w:val="20"/>
          <w:lang w:val="en-US"/>
        </w:rPr>
        <w:t xml:space="preserve">ctly leads to quote revisions. </w:t>
      </w:r>
      <w:r w:rsidR="00316EE6">
        <w:rPr>
          <w:rFonts w:eastAsia="Times New Roman" w:cs="Times New Roman"/>
          <w:szCs w:val="20"/>
          <w:lang w:val="en-US"/>
        </w:rPr>
        <w:t xml:space="preserve">Various measures of information asymmetry, e.g. the spread component models and the probability of informed trading (PIN), are based on </w:t>
      </w:r>
      <w:r w:rsidR="00425B3A">
        <w:rPr>
          <w:rFonts w:eastAsia="Times New Roman" w:cs="Times New Roman"/>
          <w:szCs w:val="20"/>
          <w:lang w:val="en-US"/>
        </w:rPr>
        <w:t xml:space="preserve">the sequence of </w:t>
      </w:r>
      <w:r w:rsidR="00316EE6">
        <w:rPr>
          <w:rFonts w:eastAsia="Times New Roman" w:cs="Times New Roman"/>
          <w:szCs w:val="20"/>
          <w:lang w:val="en-US"/>
        </w:rPr>
        <w:t>order flow</w:t>
      </w:r>
      <w:r w:rsidR="00425B3A">
        <w:rPr>
          <w:rFonts w:eastAsia="Times New Roman" w:cs="Times New Roman"/>
          <w:szCs w:val="20"/>
          <w:lang w:val="en-US"/>
        </w:rPr>
        <w:t>s or the imbalance between buy and sell orders.</w:t>
      </w:r>
      <w:r w:rsidR="0095606B">
        <w:rPr>
          <w:rStyle w:val="FootnoteReference"/>
          <w:rFonts w:eastAsia="Times New Roman" w:cs="Times New Roman"/>
          <w:szCs w:val="20"/>
          <w:lang w:val="en-US"/>
        </w:rPr>
        <w:footnoteReference w:id="5"/>
      </w:r>
      <w:r w:rsidR="00AA0755">
        <w:rPr>
          <w:rFonts w:eastAsia="Times New Roman" w:cs="Times New Roman"/>
          <w:szCs w:val="20"/>
          <w:lang w:val="en-US"/>
        </w:rPr>
        <w:t xml:space="preserve"> </w:t>
      </w:r>
      <w:r w:rsidR="00C01F2C">
        <w:rPr>
          <w:rFonts w:eastAsia="Times New Roman" w:cs="Times New Roman"/>
          <w:szCs w:val="20"/>
          <w:lang w:val="en-US"/>
        </w:rPr>
        <w:t>Given the strong evidence in the literature, w</w:t>
      </w:r>
      <w:r w:rsidR="008A7A50">
        <w:rPr>
          <w:rFonts w:eastAsia="Times New Roman" w:cs="Times New Roman"/>
          <w:szCs w:val="20"/>
          <w:lang w:val="en-US"/>
        </w:rPr>
        <w:t xml:space="preserve">e </w:t>
      </w:r>
      <w:r w:rsidR="006A183F">
        <w:rPr>
          <w:rFonts w:eastAsia="Times New Roman" w:cs="Times New Roman"/>
          <w:szCs w:val="20"/>
          <w:lang w:val="en-US"/>
        </w:rPr>
        <w:t xml:space="preserve">adopt this approach to </w:t>
      </w:r>
      <w:r w:rsidR="00C01F2C">
        <w:rPr>
          <w:rFonts w:eastAsia="Times New Roman" w:cs="Times New Roman"/>
          <w:szCs w:val="20"/>
          <w:lang w:val="en-US"/>
        </w:rPr>
        <w:t xml:space="preserve">measure private information flow as the component of TSRV determined by the unexpected trades and order imbalance.  </w:t>
      </w:r>
      <w:r w:rsidR="00237810">
        <w:rPr>
          <w:rFonts w:eastAsia="Times New Roman" w:cs="Times New Roman"/>
          <w:szCs w:val="20"/>
          <w:lang w:val="en-US"/>
        </w:rPr>
        <w:t xml:space="preserve">We recognize that order flow is not the only channel </w:t>
      </w:r>
      <w:r w:rsidR="00237810">
        <w:rPr>
          <w:rFonts w:eastAsia="Times New Roman" w:cs="Times New Roman"/>
          <w:szCs w:val="20"/>
          <w:lang w:val="en-US"/>
        </w:rPr>
        <w:lastRenderedPageBreak/>
        <w:t>through which private information is incorporated into price.  For example,</w:t>
      </w:r>
      <w:r w:rsidR="00C01F2C">
        <w:rPr>
          <w:rFonts w:eastAsia="Times New Roman" w:cs="Times New Roman"/>
          <w:szCs w:val="20"/>
          <w:lang w:val="en-US"/>
        </w:rPr>
        <w:t xml:space="preserve"> quote changes may also </w:t>
      </w:r>
      <w:r w:rsidR="00237810">
        <w:rPr>
          <w:rFonts w:eastAsia="Times New Roman" w:cs="Times New Roman"/>
          <w:szCs w:val="20"/>
          <w:lang w:val="en-US"/>
        </w:rPr>
        <w:t>reflect</w:t>
      </w:r>
      <w:r w:rsidR="00C01F2C">
        <w:rPr>
          <w:rFonts w:eastAsia="Times New Roman" w:cs="Times New Roman"/>
          <w:szCs w:val="20"/>
          <w:lang w:val="en-US"/>
        </w:rPr>
        <w:t xml:space="preserve"> private information </w:t>
      </w:r>
      <w:r w:rsidR="00237810">
        <w:rPr>
          <w:rFonts w:eastAsia="Times New Roman" w:cs="Times New Roman"/>
          <w:szCs w:val="20"/>
          <w:lang w:val="en-US"/>
        </w:rPr>
        <w:t xml:space="preserve">of the posting dealer. Our estimates can be regarded as a lower bound of private information flow in each market.  </w:t>
      </w:r>
    </w:p>
    <w:p w:rsidR="00C03101" w:rsidRDefault="00281B33" w:rsidP="008B3062">
      <w:pPr>
        <w:suppressAutoHyphens/>
        <w:rPr>
          <w:rFonts w:eastAsia="Times New Roman" w:cs="Times New Roman"/>
          <w:szCs w:val="20"/>
          <w:lang w:val="en-US"/>
        </w:rPr>
      </w:pPr>
      <w:r>
        <w:rPr>
          <w:rFonts w:eastAsia="Times New Roman" w:cs="Times New Roman"/>
          <w:szCs w:val="20"/>
          <w:lang w:val="en-US"/>
        </w:rPr>
        <w:t xml:space="preserve">We report </w:t>
      </w:r>
      <w:r w:rsidR="0004421E">
        <w:rPr>
          <w:rFonts w:eastAsia="Times New Roman" w:cs="Times New Roman"/>
          <w:szCs w:val="20"/>
          <w:lang w:val="en-US"/>
        </w:rPr>
        <w:t>several</w:t>
      </w:r>
      <w:r>
        <w:rPr>
          <w:rFonts w:eastAsia="Times New Roman" w:cs="Times New Roman"/>
          <w:szCs w:val="20"/>
          <w:lang w:val="en-US"/>
        </w:rPr>
        <w:t xml:space="preserve"> new empirical findings on price discovery and information</w:t>
      </w:r>
      <w:r w:rsidR="0004421E">
        <w:rPr>
          <w:rFonts w:eastAsia="Times New Roman" w:cs="Times New Roman"/>
          <w:szCs w:val="20"/>
          <w:lang w:val="en-US"/>
        </w:rPr>
        <w:t xml:space="preserve"> flow in the gold OTC markets over the sample period of 1996 to 2012:</w:t>
      </w:r>
    </w:p>
    <w:p w:rsidR="00636EB8" w:rsidRDefault="00731D4B" w:rsidP="00281B33">
      <w:pPr>
        <w:pStyle w:val="ListParagraph"/>
        <w:numPr>
          <w:ilvl w:val="0"/>
          <w:numId w:val="4"/>
        </w:numPr>
        <w:suppressAutoHyphens/>
        <w:rPr>
          <w:rFonts w:eastAsia="Times New Roman" w:cs="Times New Roman"/>
          <w:szCs w:val="20"/>
          <w:lang w:val="en-US"/>
        </w:rPr>
      </w:pPr>
      <w:r>
        <w:rPr>
          <w:rFonts w:eastAsia="Times New Roman" w:cs="Times New Roman"/>
          <w:szCs w:val="20"/>
          <w:lang w:val="en-US"/>
        </w:rPr>
        <w:t>Over the sample period of 1996 to 2012, the information shares in the global OTC trading of spot gold are 17%, 31%, 22%, and 30% for Asia, Europe, London/N</w:t>
      </w:r>
      <w:r w:rsidR="00A45E24">
        <w:rPr>
          <w:rFonts w:eastAsia="Times New Roman" w:cs="Times New Roman"/>
          <w:szCs w:val="20"/>
          <w:lang w:val="en-US"/>
        </w:rPr>
        <w:t>ew York</w:t>
      </w:r>
      <w:r>
        <w:rPr>
          <w:rFonts w:eastAsia="Times New Roman" w:cs="Times New Roman"/>
          <w:szCs w:val="20"/>
          <w:lang w:val="en-US"/>
        </w:rPr>
        <w:t>, and U.S. respectively.  On a per-hour basis, the information shares are 2.1%, 4.4%, 11%, and 4.3% respectively. Clearly trading in Asia ha</w:t>
      </w:r>
      <w:r w:rsidR="00636EB8">
        <w:rPr>
          <w:rFonts w:eastAsia="Times New Roman" w:cs="Times New Roman"/>
          <w:szCs w:val="20"/>
          <w:lang w:val="en-US"/>
        </w:rPr>
        <w:t>s the least information content, and trading during the 2-hour London/N</w:t>
      </w:r>
      <w:r w:rsidR="00BC252C">
        <w:rPr>
          <w:rFonts w:eastAsia="Times New Roman" w:cs="Times New Roman"/>
          <w:szCs w:val="20"/>
          <w:lang w:val="en-US"/>
        </w:rPr>
        <w:t>ew York</w:t>
      </w:r>
      <w:r w:rsidR="00636EB8">
        <w:rPr>
          <w:rFonts w:eastAsia="Times New Roman" w:cs="Times New Roman"/>
          <w:szCs w:val="20"/>
          <w:lang w:val="en-US"/>
        </w:rPr>
        <w:t xml:space="preserve"> period has the highest information content.</w:t>
      </w:r>
      <w:r>
        <w:rPr>
          <w:rFonts w:eastAsia="Times New Roman" w:cs="Times New Roman"/>
          <w:szCs w:val="20"/>
          <w:lang w:val="en-US"/>
        </w:rPr>
        <w:t xml:space="preserve"> </w:t>
      </w:r>
    </w:p>
    <w:p w:rsidR="008351AC" w:rsidRDefault="000D2CBD" w:rsidP="00281B33">
      <w:pPr>
        <w:pStyle w:val="ListParagraph"/>
        <w:numPr>
          <w:ilvl w:val="0"/>
          <w:numId w:val="4"/>
        </w:numPr>
        <w:suppressAutoHyphens/>
        <w:rPr>
          <w:rFonts w:eastAsia="Times New Roman" w:cs="Times New Roman"/>
          <w:szCs w:val="20"/>
          <w:lang w:val="en-US"/>
        </w:rPr>
      </w:pPr>
      <w:r>
        <w:rPr>
          <w:rFonts w:eastAsia="Times New Roman" w:cs="Times New Roman"/>
          <w:szCs w:val="20"/>
          <w:lang w:val="en-US"/>
        </w:rPr>
        <w:t>The g</w:t>
      </w:r>
      <w:r w:rsidR="0004421E">
        <w:rPr>
          <w:rFonts w:eastAsia="Times New Roman" w:cs="Times New Roman"/>
          <w:szCs w:val="20"/>
          <w:lang w:val="en-US"/>
        </w:rPr>
        <w:t xml:space="preserve">lobal trading volume distribution is </w:t>
      </w:r>
      <w:r>
        <w:rPr>
          <w:rFonts w:eastAsia="Times New Roman" w:cs="Times New Roman"/>
          <w:szCs w:val="20"/>
          <w:lang w:val="en-US"/>
        </w:rPr>
        <w:t xml:space="preserve">very different from the global </w:t>
      </w:r>
      <w:r w:rsidR="0004421E">
        <w:rPr>
          <w:rFonts w:eastAsia="Times New Roman" w:cs="Times New Roman"/>
          <w:szCs w:val="20"/>
          <w:lang w:val="en-US"/>
        </w:rPr>
        <w:t xml:space="preserve">information distribution.  </w:t>
      </w:r>
      <w:r w:rsidR="008351AC">
        <w:rPr>
          <w:rFonts w:eastAsia="Times New Roman" w:cs="Times New Roman"/>
          <w:szCs w:val="20"/>
          <w:lang w:val="en-US"/>
        </w:rPr>
        <w:t xml:space="preserve">For example, Asia accounts for 22% of global OTC spot trades </w:t>
      </w:r>
      <w:r w:rsidR="00731D4B">
        <w:rPr>
          <w:rFonts w:eastAsia="Times New Roman" w:cs="Times New Roman"/>
          <w:szCs w:val="20"/>
          <w:lang w:val="en-US"/>
        </w:rPr>
        <w:t>and t</w:t>
      </w:r>
      <w:r w:rsidR="008351AC">
        <w:rPr>
          <w:rFonts w:eastAsia="Times New Roman" w:cs="Times New Roman"/>
          <w:szCs w:val="20"/>
          <w:lang w:val="en-US"/>
        </w:rPr>
        <w:t>he two-hour London/N</w:t>
      </w:r>
      <w:r w:rsidR="00BC252C">
        <w:rPr>
          <w:rFonts w:eastAsia="Times New Roman" w:cs="Times New Roman"/>
          <w:szCs w:val="20"/>
          <w:lang w:val="en-US"/>
        </w:rPr>
        <w:t>ew York</w:t>
      </w:r>
      <w:r w:rsidR="008351AC">
        <w:rPr>
          <w:rFonts w:eastAsia="Times New Roman" w:cs="Times New Roman"/>
          <w:szCs w:val="20"/>
          <w:lang w:val="en-US"/>
        </w:rPr>
        <w:t xml:space="preserve"> period has 15% of OTC spot trades</w:t>
      </w:r>
      <w:r w:rsidR="00731D4B">
        <w:rPr>
          <w:rFonts w:eastAsia="Times New Roman" w:cs="Times New Roman"/>
          <w:szCs w:val="20"/>
          <w:lang w:val="en-US"/>
        </w:rPr>
        <w:t>, both are very different from their information shares</w:t>
      </w:r>
      <w:r w:rsidR="008351AC">
        <w:rPr>
          <w:rFonts w:eastAsia="Times New Roman" w:cs="Times New Roman"/>
          <w:szCs w:val="20"/>
          <w:lang w:val="en-US"/>
        </w:rPr>
        <w:t xml:space="preserve">. </w:t>
      </w:r>
    </w:p>
    <w:p w:rsidR="00E268A4" w:rsidRPr="007056D6" w:rsidRDefault="00C652C2">
      <w:pPr>
        <w:pStyle w:val="ListParagraph"/>
        <w:numPr>
          <w:ilvl w:val="0"/>
          <w:numId w:val="4"/>
        </w:numPr>
        <w:suppressAutoHyphens/>
        <w:rPr>
          <w:rFonts w:eastAsia="Times New Roman" w:cs="Times New Roman"/>
          <w:szCs w:val="20"/>
          <w:lang w:val="en-US"/>
        </w:rPr>
      </w:pPr>
      <w:r w:rsidRPr="007056D6">
        <w:rPr>
          <w:rFonts w:eastAsia="Times New Roman" w:cs="Times New Roman"/>
          <w:szCs w:val="20"/>
          <w:lang w:val="en-US"/>
        </w:rPr>
        <w:t xml:space="preserve">The surge in trading volumes in Shanghai has not increased Asia’s share in global information flow.  </w:t>
      </w:r>
      <w:r w:rsidR="007F5DFB" w:rsidRPr="007056D6">
        <w:rPr>
          <w:rFonts w:eastAsia="Times New Roman" w:cs="Times New Roman"/>
          <w:szCs w:val="20"/>
          <w:lang w:val="en-US"/>
        </w:rPr>
        <w:t>In fact</w:t>
      </w:r>
      <w:r w:rsidRPr="007056D6">
        <w:rPr>
          <w:rFonts w:eastAsia="Times New Roman" w:cs="Times New Roman"/>
          <w:szCs w:val="20"/>
          <w:lang w:val="en-US"/>
        </w:rPr>
        <w:t>, d</w:t>
      </w:r>
      <w:r w:rsidR="00E268A4" w:rsidRPr="007056D6">
        <w:rPr>
          <w:rFonts w:eastAsia="Times New Roman" w:cs="Times New Roman"/>
          <w:szCs w:val="20"/>
          <w:lang w:val="en-US"/>
        </w:rPr>
        <w:t>espite doubling its share</w:t>
      </w:r>
      <w:r w:rsidR="007F5DFB" w:rsidRPr="007056D6">
        <w:rPr>
          <w:rFonts w:eastAsia="Times New Roman" w:cs="Times New Roman"/>
          <w:szCs w:val="20"/>
          <w:lang w:val="en-US"/>
        </w:rPr>
        <w:t xml:space="preserve"> of OTC trades</w:t>
      </w:r>
      <w:r w:rsidR="00E268A4" w:rsidRPr="007056D6">
        <w:rPr>
          <w:rFonts w:eastAsia="Times New Roman" w:cs="Times New Roman"/>
          <w:szCs w:val="20"/>
          <w:lang w:val="en-US"/>
        </w:rPr>
        <w:t xml:space="preserve"> from around 10% in the late 1990s to 22% since 2007, Asia’s information share has experienced a </w:t>
      </w:r>
      <w:r w:rsidRPr="007056D6">
        <w:rPr>
          <w:rFonts w:eastAsia="Times New Roman" w:cs="Times New Roman"/>
          <w:szCs w:val="20"/>
          <w:lang w:val="en-US"/>
        </w:rPr>
        <w:t xml:space="preserve">significant </w:t>
      </w:r>
      <w:r w:rsidR="00E268A4" w:rsidRPr="007056D6">
        <w:rPr>
          <w:rFonts w:eastAsia="Times New Roman" w:cs="Times New Roman"/>
          <w:szCs w:val="20"/>
          <w:lang w:val="en-US"/>
        </w:rPr>
        <w:t xml:space="preserve">decline from </w:t>
      </w:r>
      <w:r w:rsidRPr="007056D6">
        <w:rPr>
          <w:rFonts w:eastAsia="Times New Roman" w:cs="Times New Roman"/>
          <w:szCs w:val="20"/>
          <w:lang w:val="en-US"/>
        </w:rPr>
        <w:t xml:space="preserve">an average of </w:t>
      </w:r>
      <w:r w:rsidR="00E268A4" w:rsidRPr="007056D6">
        <w:rPr>
          <w:rFonts w:eastAsia="Times New Roman" w:cs="Times New Roman"/>
          <w:szCs w:val="20"/>
          <w:lang w:val="en-US"/>
        </w:rPr>
        <w:t>20</w:t>
      </w:r>
      <w:r w:rsidRPr="007056D6">
        <w:rPr>
          <w:rFonts w:eastAsia="Times New Roman" w:cs="Times New Roman"/>
          <w:szCs w:val="20"/>
          <w:lang w:val="en-US"/>
        </w:rPr>
        <w:t>.3</w:t>
      </w:r>
      <w:r w:rsidR="00E268A4" w:rsidRPr="007056D6">
        <w:rPr>
          <w:rFonts w:eastAsia="Times New Roman" w:cs="Times New Roman"/>
          <w:szCs w:val="20"/>
          <w:lang w:val="en-US"/>
        </w:rPr>
        <w:t>% in 199</w:t>
      </w:r>
      <w:r w:rsidRPr="007056D6">
        <w:rPr>
          <w:rFonts w:eastAsia="Times New Roman" w:cs="Times New Roman"/>
          <w:szCs w:val="20"/>
          <w:lang w:val="en-US"/>
        </w:rPr>
        <w:t>6-1999</w:t>
      </w:r>
      <w:r w:rsidR="00E268A4" w:rsidRPr="007056D6">
        <w:rPr>
          <w:rFonts w:eastAsia="Times New Roman" w:cs="Times New Roman"/>
          <w:szCs w:val="20"/>
          <w:lang w:val="en-US"/>
        </w:rPr>
        <w:t xml:space="preserve"> to </w:t>
      </w:r>
      <w:r w:rsidRPr="007056D6">
        <w:rPr>
          <w:rFonts w:eastAsia="Times New Roman" w:cs="Times New Roman"/>
          <w:szCs w:val="20"/>
          <w:lang w:val="en-US"/>
        </w:rPr>
        <w:t>an average of 14.8</w:t>
      </w:r>
      <w:r w:rsidR="00E268A4" w:rsidRPr="007056D6">
        <w:rPr>
          <w:rFonts w:eastAsia="Times New Roman" w:cs="Times New Roman"/>
          <w:szCs w:val="20"/>
          <w:lang w:val="en-US"/>
        </w:rPr>
        <w:t xml:space="preserve">% </w:t>
      </w:r>
      <w:r w:rsidRPr="007056D6">
        <w:rPr>
          <w:rFonts w:eastAsia="Times New Roman" w:cs="Times New Roman"/>
          <w:szCs w:val="20"/>
          <w:lang w:val="en-US"/>
        </w:rPr>
        <w:t>in 2009-2012</w:t>
      </w:r>
      <w:r w:rsidR="00E268A4" w:rsidRPr="007056D6">
        <w:rPr>
          <w:rFonts w:eastAsia="Times New Roman" w:cs="Times New Roman"/>
          <w:szCs w:val="20"/>
          <w:lang w:val="en-US"/>
        </w:rPr>
        <w:t xml:space="preserve">.  </w:t>
      </w:r>
      <w:r w:rsidR="00027F1A" w:rsidRPr="007056D6">
        <w:rPr>
          <w:rFonts w:eastAsia="Times New Roman" w:cs="Times New Roman"/>
          <w:szCs w:val="20"/>
          <w:lang w:val="en-US"/>
        </w:rPr>
        <w:t xml:space="preserve">To the contrary, the </w:t>
      </w:r>
      <w:r w:rsidR="007F5DFB" w:rsidRPr="007056D6">
        <w:rPr>
          <w:rFonts w:eastAsia="Times New Roman" w:cs="Times New Roman"/>
          <w:szCs w:val="20"/>
          <w:lang w:val="en-US"/>
        </w:rPr>
        <w:t xml:space="preserve">average </w:t>
      </w:r>
      <w:r w:rsidR="00027F1A" w:rsidRPr="007056D6">
        <w:rPr>
          <w:rFonts w:eastAsia="Times New Roman" w:cs="Times New Roman"/>
          <w:szCs w:val="20"/>
          <w:lang w:val="en-US"/>
        </w:rPr>
        <w:t>information share of the London/N</w:t>
      </w:r>
      <w:r w:rsidR="00BC252C">
        <w:rPr>
          <w:rFonts w:eastAsia="Times New Roman" w:cs="Times New Roman"/>
          <w:szCs w:val="20"/>
          <w:lang w:val="en-US"/>
        </w:rPr>
        <w:t>ew York</w:t>
      </w:r>
      <w:r w:rsidR="00027F1A" w:rsidRPr="007056D6">
        <w:rPr>
          <w:rFonts w:eastAsia="Times New Roman" w:cs="Times New Roman"/>
          <w:szCs w:val="20"/>
          <w:lang w:val="en-US"/>
        </w:rPr>
        <w:t xml:space="preserve"> market has increase</w:t>
      </w:r>
      <w:r w:rsidR="007F5DFB" w:rsidRPr="007056D6">
        <w:rPr>
          <w:rFonts w:eastAsia="Times New Roman" w:cs="Times New Roman"/>
          <w:szCs w:val="20"/>
          <w:lang w:val="en-US"/>
        </w:rPr>
        <w:t xml:space="preserve">d from 18% in 1996-1999 to 22.8% in 2009-2012.  </w:t>
      </w:r>
      <w:r w:rsidR="00CE3F5B" w:rsidRPr="007056D6">
        <w:rPr>
          <w:rFonts w:eastAsia="Times New Roman" w:cs="Times New Roman"/>
          <w:szCs w:val="20"/>
          <w:lang w:val="en-US"/>
        </w:rPr>
        <w:t>The finding is somewhat surprising</w:t>
      </w:r>
      <w:r w:rsidR="00081304">
        <w:rPr>
          <w:rFonts w:eastAsia="Times New Roman" w:cs="Times New Roman"/>
          <w:szCs w:val="20"/>
          <w:lang w:val="en-US"/>
        </w:rPr>
        <w:t xml:space="preserve"> and deserves </w:t>
      </w:r>
      <w:r w:rsidR="00032289">
        <w:rPr>
          <w:rFonts w:eastAsia="Times New Roman" w:cs="Times New Roman"/>
          <w:szCs w:val="20"/>
          <w:lang w:val="en-US"/>
        </w:rPr>
        <w:t xml:space="preserve">further investigation.  </w:t>
      </w:r>
      <w:r w:rsidR="00FC0F81">
        <w:rPr>
          <w:rFonts w:eastAsia="Times New Roman" w:cs="Times New Roman"/>
          <w:szCs w:val="20"/>
          <w:lang w:val="en-US"/>
        </w:rPr>
        <w:t>One possible explanation is</w:t>
      </w:r>
      <w:r w:rsidR="00081304">
        <w:rPr>
          <w:rFonts w:eastAsia="Times New Roman" w:cs="Times New Roman"/>
          <w:szCs w:val="20"/>
          <w:lang w:val="en-US"/>
        </w:rPr>
        <w:t xml:space="preserve"> that </w:t>
      </w:r>
      <w:r w:rsidR="00032289">
        <w:rPr>
          <w:rFonts w:eastAsia="Times New Roman" w:cs="Times New Roman"/>
          <w:szCs w:val="20"/>
          <w:lang w:val="en-US"/>
        </w:rPr>
        <w:t>the gold market may have experienced the same consolidation as in the OTC</w:t>
      </w:r>
      <w:r w:rsidR="007056D6" w:rsidRPr="007056D6">
        <w:rPr>
          <w:rFonts w:eastAsia="Times New Roman" w:cs="Times New Roman"/>
          <w:szCs w:val="20"/>
          <w:lang w:val="en-US"/>
        </w:rPr>
        <w:t xml:space="preserve"> foreign exchange markets</w:t>
      </w:r>
      <w:r w:rsidR="00032289">
        <w:rPr>
          <w:rFonts w:eastAsia="Times New Roman" w:cs="Times New Roman"/>
          <w:szCs w:val="20"/>
          <w:lang w:val="en-US"/>
        </w:rPr>
        <w:t xml:space="preserve">, </w:t>
      </w:r>
      <w:r w:rsidR="007056D6" w:rsidRPr="007056D6">
        <w:rPr>
          <w:rFonts w:eastAsia="Times New Roman" w:cs="Times New Roman"/>
          <w:szCs w:val="20"/>
          <w:lang w:val="en-US"/>
        </w:rPr>
        <w:t xml:space="preserve">with </w:t>
      </w:r>
      <w:r w:rsidR="007056D6" w:rsidRPr="007056D6">
        <w:rPr>
          <w:rFonts w:cs="Times New Roman"/>
          <w:szCs w:val="24"/>
        </w:rPr>
        <w:t>the top five FX dealing banks accounting for 80% of interbank trading (</w:t>
      </w:r>
      <w:r w:rsidR="0071082E">
        <w:rPr>
          <w:rFonts w:cs="Times New Roman"/>
          <w:szCs w:val="24"/>
        </w:rPr>
        <w:t xml:space="preserve">e.g. </w:t>
      </w:r>
      <w:r w:rsidR="00ED311F">
        <w:rPr>
          <w:rFonts w:cs="Times New Roman"/>
          <w:szCs w:val="24"/>
        </w:rPr>
        <w:fldChar w:fldCharType="begin"/>
      </w:r>
      <w:r w:rsidR="0071082E">
        <w:rPr>
          <w:rFonts w:cs="Times New Roman"/>
          <w:szCs w:val="24"/>
        </w:rPr>
        <w:instrText xml:space="preserve"> ADDIN EN.CITE &lt;EndNote&gt;&lt;Cite&gt;&lt;Author&gt;Wallace&lt;/Author&gt;&lt;Year&gt;2014&lt;/Year&gt;&lt;RecNum&gt;850&lt;/RecNum&gt;&lt;DisplayText&gt;Wallace (2014)&lt;/DisplayText&gt;&lt;record&gt;&lt;rec-number&gt;850&lt;/rec-number&gt;&lt;foreign-keys&gt;&lt;key app="EN" db-id="szetpsas1ep5veesd5xvva5qdxwetsvpfs5x"&gt;850&lt;/key&gt;&lt;/foreign-keys&gt;&lt;ref-type name="Newspaper Article"&gt;23&lt;/ref-type&gt;&lt;contributors&gt;&lt;authors&gt;&lt;author&gt;Wallace, Charles&lt;/author&gt;&lt;/authors&gt;&lt;/contributors&gt;&lt;titles&gt;&lt;title&gt;Daily London Currency Pricing May Need a Tweak&lt;/title&gt;&lt;secondary-title&gt;Institutional Investor&lt;/secondary-title&gt;&lt;/titles&gt;&lt;dates&gt;&lt;year&gt;2014&lt;/year&gt;&lt;pub-dates&gt;&lt;date&gt;22 Jan 2014&lt;/date&gt;&lt;/pub-dates&gt;&lt;/dates&gt;&lt;urls&gt;&lt;related-urls&gt;&lt;url&gt;www.institutionalinvestor.com/article/3299950/banking-and-capital-markets-foreign-exchange/daily-london-currency-price-fixing-may-need-a-tweak.html &lt;/url&gt;&lt;/related-urls&gt;&lt;/urls&gt;&lt;access-date&gt;19 Mar 2015&lt;/access-date&gt;&lt;/record&gt;&lt;/Cite&gt;&lt;/EndNote&gt;</w:instrText>
      </w:r>
      <w:r w:rsidR="00ED311F">
        <w:rPr>
          <w:rFonts w:cs="Times New Roman"/>
          <w:szCs w:val="24"/>
        </w:rPr>
        <w:fldChar w:fldCharType="separate"/>
      </w:r>
      <w:hyperlink w:anchor="_ENREF_38" w:tooltip="Wallace, 2014 #850" w:history="1">
        <w:r w:rsidR="00C419D5">
          <w:rPr>
            <w:rFonts w:cs="Times New Roman"/>
            <w:noProof/>
            <w:szCs w:val="24"/>
          </w:rPr>
          <w:t>Wallace (2014</w:t>
        </w:r>
      </w:hyperlink>
      <w:r w:rsidR="0071082E">
        <w:rPr>
          <w:rFonts w:cs="Times New Roman"/>
          <w:noProof/>
          <w:szCs w:val="24"/>
        </w:rPr>
        <w:t>)</w:t>
      </w:r>
      <w:r w:rsidR="00ED311F">
        <w:rPr>
          <w:rFonts w:cs="Times New Roman"/>
          <w:szCs w:val="24"/>
        </w:rPr>
        <w:fldChar w:fldCharType="end"/>
      </w:r>
      <w:r w:rsidR="007056D6" w:rsidRPr="007056D6">
        <w:rPr>
          <w:rFonts w:cs="Times New Roman"/>
          <w:szCs w:val="24"/>
        </w:rPr>
        <w:t xml:space="preserve">).  </w:t>
      </w:r>
      <w:r w:rsidR="00032289">
        <w:rPr>
          <w:rFonts w:eastAsia="Times New Roman" w:cs="Times New Roman"/>
          <w:szCs w:val="20"/>
          <w:lang w:val="en-US"/>
        </w:rPr>
        <w:t>The concentration</w:t>
      </w:r>
      <w:r w:rsidR="00CE3F5B" w:rsidRPr="007056D6">
        <w:rPr>
          <w:rFonts w:eastAsia="Times New Roman" w:cs="Times New Roman"/>
          <w:szCs w:val="20"/>
          <w:lang w:val="en-US"/>
        </w:rPr>
        <w:t xml:space="preserve"> of trading and pricing power to a few </w:t>
      </w:r>
      <w:r w:rsidR="00032289">
        <w:rPr>
          <w:rFonts w:eastAsia="Times New Roman" w:cs="Times New Roman"/>
          <w:szCs w:val="20"/>
          <w:lang w:val="en-US"/>
        </w:rPr>
        <w:t>mega banks in London and New York may help explain their rising information share</w:t>
      </w:r>
      <w:r w:rsidR="00D03330">
        <w:rPr>
          <w:rFonts w:eastAsia="Times New Roman" w:cs="Times New Roman"/>
          <w:szCs w:val="20"/>
          <w:lang w:val="en-US"/>
        </w:rPr>
        <w:t xml:space="preserve"> at the expense of new markets in Asia</w:t>
      </w:r>
      <w:r w:rsidR="00CE3F5B" w:rsidRPr="007056D6">
        <w:rPr>
          <w:rFonts w:eastAsia="Times New Roman" w:cs="Times New Roman"/>
          <w:szCs w:val="20"/>
          <w:lang w:val="en-US"/>
        </w:rPr>
        <w:t xml:space="preserve">.   </w:t>
      </w:r>
    </w:p>
    <w:p w:rsidR="0004421E" w:rsidRPr="0004421E" w:rsidRDefault="00607B56">
      <w:pPr>
        <w:pStyle w:val="ListParagraph"/>
        <w:numPr>
          <w:ilvl w:val="0"/>
          <w:numId w:val="4"/>
        </w:numPr>
        <w:suppressAutoHyphens/>
        <w:rPr>
          <w:rFonts w:eastAsia="Times New Roman" w:cs="Times New Roman"/>
          <w:szCs w:val="20"/>
          <w:lang w:val="en-US"/>
        </w:rPr>
      </w:pPr>
      <w:r w:rsidRPr="0004421E">
        <w:rPr>
          <w:rFonts w:eastAsia="Times New Roman" w:cs="Times New Roman"/>
          <w:szCs w:val="20"/>
          <w:lang w:val="en-US"/>
        </w:rPr>
        <w:lastRenderedPageBreak/>
        <w:t>Europe and the United States</w:t>
      </w:r>
      <w:r w:rsidR="00167A78">
        <w:rPr>
          <w:rFonts w:eastAsia="Times New Roman" w:cs="Times New Roman"/>
          <w:szCs w:val="20"/>
          <w:lang w:val="en-US"/>
        </w:rPr>
        <w:t>, excluding the two-hour London/N</w:t>
      </w:r>
      <w:r w:rsidR="00BC252C">
        <w:rPr>
          <w:rFonts w:eastAsia="Times New Roman" w:cs="Times New Roman"/>
          <w:szCs w:val="20"/>
          <w:lang w:val="en-US"/>
        </w:rPr>
        <w:t>ew York</w:t>
      </w:r>
      <w:r w:rsidR="00167A78">
        <w:rPr>
          <w:rFonts w:eastAsia="Times New Roman" w:cs="Times New Roman"/>
          <w:szCs w:val="20"/>
          <w:lang w:val="en-US"/>
        </w:rPr>
        <w:t xml:space="preserve"> overlapping period,</w:t>
      </w:r>
      <w:r w:rsidRPr="0004421E">
        <w:rPr>
          <w:rFonts w:eastAsia="Times New Roman" w:cs="Times New Roman"/>
          <w:szCs w:val="20"/>
          <w:lang w:val="en-US"/>
        </w:rPr>
        <w:t xml:space="preserve"> hav</w:t>
      </w:r>
      <w:r w:rsidR="0004421E">
        <w:rPr>
          <w:rFonts w:eastAsia="Times New Roman" w:cs="Times New Roman"/>
          <w:szCs w:val="20"/>
          <w:lang w:val="en-US"/>
        </w:rPr>
        <w:t>e</w:t>
      </w:r>
      <w:r w:rsidRPr="0004421E">
        <w:rPr>
          <w:rFonts w:eastAsia="Times New Roman" w:cs="Times New Roman"/>
          <w:szCs w:val="20"/>
          <w:lang w:val="en-US"/>
        </w:rPr>
        <w:t xml:space="preserve"> almost equal information</w:t>
      </w:r>
      <w:r w:rsidR="000274D5">
        <w:rPr>
          <w:rFonts w:eastAsia="Times New Roman" w:cs="Times New Roman"/>
          <w:szCs w:val="20"/>
          <w:lang w:val="en-US"/>
        </w:rPr>
        <w:t xml:space="preserve"> shares at around 30%</w:t>
      </w:r>
      <w:r w:rsidR="00DD43C0">
        <w:rPr>
          <w:rFonts w:eastAsia="Times New Roman" w:cs="Times New Roman"/>
          <w:szCs w:val="20"/>
          <w:lang w:val="en-US"/>
        </w:rPr>
        <w:t>.</w:t>
      </w:r>
      <w:r w:rsidR="00ED0774">
        <w:rPr>
          <w:rFonts w:eastAsia="Times New Roman" w:cs="Times New Roman"/>
          <w:szCs w:val="20"/>
          <w:lang w:val="en-US"/>
        </w:rPr>
        <w:t xml:space="preserve">  </w:t>
      </w:r>
      <w:r w:rsidR="000274D5">
        <w:rPr>
          <w:rFonts w:eastAsia="Times New Roman" w:cs="Times New Roman"/>
          <w:szCs w:val="20"/>
          <w:lang w:val="en-US"/>
        </w:rPr>
        <w:t xml:space="preserve">If the 22% information share for overlapping hours is split equally between the two cities, they each have around 41% information share, ignoring the contributions of other cities in Europe and U.S.  The finding is consistent with that of </w:t>
      </w:r>
      <w:r w:rsidR="00ED311F">
        <w:rPr>
          <w:rFonts w:eastAsia="Times New Roman" w:cs="Times New Roman"/>
          <w:szCs w:val="20"/>
          <w:lang w:val="en-US"/>
        </w:rPr>
        <w:fldChar w:fldCharType="begin"/>
      </w:r>
      <w:r w:rsidR="00C419D5">
        <w:rPr>
          <w:rFonts w:eastAsia="Times New Roman" w:cs="Times New Roman"/>
          <w:szCs w:val="20"/>
          <w:lang w:val="en-US"/>
        </w:rPr>
        <w:instrText xml:space="preserve"> ADDIN EN.CITE &lt;EndNote&gt;&lt;Cite&gt;&lt;Author&gt;Lucey&lt;/Author&gt;&lt;Year&gt;2013&lt;/Year&gt;&lt;RecNum&gt;794&lt;/RecNum&gt;&lt;DisplayText&gt;Lucey, Larkin and O&amp;apos;Connor (2013)&lt;/DisplayText&gt;&lt;record&gt;&lt;rec-number&gt;794&lt;/rec-number&gt;&lt;foreign-keys&gt;&lt;key app="EN" db-id="szetpsas1ep5veesd5xvva5qdxwetsvpfs5x"&gt;794&lt;/key&gt;&lt;/foreign-keys&gt;&lt;ref-type name="Journal Article"&gt;17&lt;/ref-type&gt;&lt;contributors&gt;&lt;authors&gt;&lt;author&gt;Lucey, Brian M&lt;/author&gt;&lt;author&gt;Larkin, Charles&lt;/author&gt;&lt;author&gt;O&amp;apos;Connor, Fergal A&lt;/author&gt;&lt;/authors&gt;&lt;/contributors&gt;&lt;titles&gt;&lt;title&gt;London or New York: where and when does the gold price originate?&lt;/title&gt;&lt;secondary-title&gt;Applied Economics Letters&lt;/secondary-title&gt;&lt;/titles&gt;&lt;periodical&gt;&lt;full-title&gt;Applied Economics Letters&lt;/full-title&gt;&lt;/periodical&gt;&lt;pages&gt;813-817&lt;/pages&gt;&lt;volume&gt;20&lt;/volume&gt;&lt;number&gt;8&lt;/number&gt;&lt;dates&gt;&lt;year&gt;2013&lt;/year&gt;&lt;/dates&gt;&lt;isbn&gt;1350-4851&lt;/isbn&gt;&lt;urls&gt;&lt;/urls&gt;&lt;/record&gt;&lt;/Cite&gt;&lt;/EndNote&gt;</w:instrText>
      </w:r>
      <w:r w:rsidR="00ED311F">
        <w:rPr>
          <w:rFonts w:eastAsia="Times New Roman" w:cs="Times New Roman"/>
          <w:szCs w:val="20"/>
          <w:lang w:val="en-US"/>
        </w:rPr>
        <w:fldChar w:fldCharType="separate"/>
      </w:r>
      <w:hyperlink w:anchor="_ENREF_28" w:tooltip="Lucey, 2013 #794" w:history="1">
        <w:r w:rsidR="00C419D5">
          <w:rPr>
            <w:rFonts w:eastAsia="Times New Roman" w:cs="Times New Roman"/>
            <w:noProof/>
            <w:szCs w:val="20"/>
            <w:lang w:val="en-US"/>
          </w:rPr>
          <w:t>Lucey, Larkin and O'Connor (2013</w:t>
        </w:r>
      </w:hyperlink>
      <w:r w:rsidR="00C419D5">
        <w:rPr>
          <w:rFonts w:eastAsia="Times New Roman" w:cs="Times New Roman"/>
          <w:noProof/>
          <w:szCs w:val="20"/>
          <w:lang w:val="en-US"/>
        </w:rPr>
        <w:t>)</w:t>
      </w:r>
      <w:r w:rsidR="00ED311F">
        <w:rPr>
          <w:rFonts w:eastAsia="Times New Roman" w:cs="Times New Roman"/>
          <w:szCs w:val="20"/>
          <w:lang w:val="en-US"/>
        </w:rPr>
        <w:fldChar w:fldCharType="end"/>
      </w:r>
      <w:r w:rsidR="000274D5">
        <w:rPr>
          <w:rFonts w:eastAsia="Times New Roman" w:cs="Times New Roman"/>
          <w:szCs w:val="20"/>
          <w:lang w:val="en-US"/>
        </w:rPr>
        <w:t xml:space="preserve">. It does not support the claim by the LBMA that the global gold market is based on the expertise in London.  </w:t>
      </w:r>
      <w:r w:rsidR="00081304">
        <w:rPr>
          <w:rFonts w:eastAsia="Times New Roman" w:cs="Times New Roman"/>
          <w:szCs w:val="20"/>
          <w:lang w:val="en-US"/>
        </w:rPr>
        <w:t xml:space="preserve"> </w:t>
      </w:r>
    </w:p>
    <w:p w:rsidR="00934CBA" w:rsidRDefault="00934CBA" w:rsidP="00914AA7">
      <w:pPr>
        <w:pStyle w:val="ListParagraph"/>
        <w:numPr>
          <w:ilvl w:val="0"/>
          <w:numId w:val="4"/>
        </w:numPr>
        <w:suppressAutoHyphens/>
        <w:rPr>
          <w:rFonts w:eastAsia="Times New Roman" w:cs="Times New Roman"/>
          <w:szCs w:val="20"/>
          <w:lang w:val="en-US"/>
        </w:rPr>
      </w:pPr>
      <w:r w:rsidRPr="003D1D13">
        <w:rPr>
          <w:rFonts w:eastAsia="Times New Roman" w:cs="Times New Roman"/>
          <w:szCs w:val="20"/>
          <w:lang w:val="en-US"/>
        </w:rPr>
        <w:t>As in many studies, we find significant information spillover across markets</w:t>
      </w:r>
      <w:r w:rsidR="00F65DA1" w:rsidRPr="003D1D13">
        <w:rPr>
          <w:rFonts w:eastAsia="Times New Roman" w:cs="Times New Roman"/>
          <w:szCs w:val="20"/>
          <w:lang w:val="en-US"/>
        </w:rPr>
        <w:t xml:space="preserve">.  </w:t>
      </w:r>
      <w:r w:rsidR="00604DC3" w:rsidRPr="003D1D13">
        <w:rPr>
          <w:rFonts w:eastAsia="Times New Roman" w:cs="Times New Roman"/>
          <w:szCs w:val="20"/>
          <w:lang w:val="en-US"/>
        </w:rPr>
        <w:t>For markets other than Asia, the strongest spillover comes from the market</w:t>
      </w:r>
      <w:r w:rsidR="00C419D5">
        <w:rPr>
          <w:rFonts w:eastAsia="Times New Roman" w:cs="Times New Roman"/>
          <w:szCs w:val="20"/>
          <w:lang w:val="en-US"/>
        </w:rPr>
        <w:t xml:space="preserve"> that</w:t>
      </w:r>
      <w:r w:rsidR="00604DC3" w:rsidRPr="003D1D13">
        <w:rPr>
          <w:rFonts w:eastAsia="Times New Roman" w:cs="Times New Roman"/>
          <w:szCs w:val="20"/>
          <w:lang w:val="en-US"/>
        </w:rPr>
        <w:t xml:space="preserve"> immediately precedes its trading</w:t>
      </w:r>
      <w:r w:rsidR="00A048D1">
        <w:rPr>
          <w:rFonts w:eastAsia="Times New Roman" w:cs="Times New Roman"/>
          <w:szCs w:val="20"/>
          <w:lang w:val="en-US"/>
        </w:rPr>
        <w:t>:</w:t>
      </w:r>
      <w:r w:rsidR="00604DC3" w:rsidRPr="003D1D13">
        <w:rPr>
          <w:rFonts w:eastAsia="Times New Roman" w:cs="Times New Roman"/>
          <w:szCs w:val="20"/>
          <w:lang w:val="en-US"/>
        </w:rPr>
        <w:t xml:space="preserve"> Europe has a strong spillover to London/New York, which </w:t>
      </w:r>
      <w:r w:rsidR="00A048D1">
        <w:rPr>
          <w:rFonts w:eastAsia="Times New Roman" w:cs="Times New Roman"/>
          <w:szCs w:val="20"/>
          <w:lang w:val="en-US"/>
        </w:rPr>
        <w:t xml:space="preserve">in turn </w:t>
      </w:r>
      <w:r w:rsidR="00604DC3" w:rsidRPr="003D1D13">
        <w:rPr>
          <w:rFonts w:eastAsia="Times New Roman" w:cs="Times New Roman"/>
          <w:szCs w:val="20"/>
          <w:lang w:val="en-US"/>
        </w:rPr>
        <w:t xml:space="preserve">has a strong spillover to U.S.  </w:t>
      </w:r>
      <w:r w:rsidRPr="003D1D13">
        <w:rPr>
          <w:rFonts w:eastAsia="Times New Roman" w:cs="Times New Roman"/>
          <w:szCs w:val="20"/>
          <w:lang w:val="en-US"/>
        </w:rPr>
        <w:t xml:space="preserve">We </w:t>
      </w:r>
      <w:r w:rsidR="00A048D1">
        <w:rPr>
          <w:rFonts w:eastAsia="Times New Roman" w:cs="Times New Roman"/>
          <w:szCs w:val="20"/>
          <w:lang w:val="en-US"/>
        </w:rPr>
        <w:t xml:space="preserve">also </w:t>
      </w:r>
      <w:r w:rsidRPr="003D1D13">
        <w:rPr>
          <w:rFonts w:eastAsia="Times New Roman" w:cs="Times New Roman"/>
          <w:szCs w:val="20"/>
          <w:lang w:val="en-US"/>
        </w:rPr>
        <w:t xml:space="preserve">find that </w:t>
      </w:r>
      <w:r w:rsidR="00604DC3" w:rsidRPr="003D1D13">
        <w:rPr>
          <w:rFonts w:eastAsia="Times New Roman" w:cs="Times New Roman"/>
          <w:szCs w:val="20"/>
          <w:lang w:val="en-US"/>
        </w:rPr>
        <w:t xml:space="preserve">volatility in </w:t>
      </w:r>
      <w:r w:rsidRPr="003D1D13">
        <w:rPr>
          <w:rFonts w:eastAsia="Times New Roman" w:cs="Times New Roman"/>
          <w:szCs w:val="20"/>
          <w:lang w:val="en-US"/>
        </w:rPr>
        <w:t>each market has s</w:t>
      </w:r>
      <w:r w:rsidR="00604DC3" w:rsidRPr="003D1D13">
        <w:rPr>
          <w:rFonts w:eastAsia="Times New Roman" w:cs="Times New Roman"/>
          <w:szCs w:val="20"/>
          <w:lang w:val="en-US"/>
        </w:rPr>
        <w:t>ignificant</w:t>
      </w:r>
      <w:r w:rsidRPr="003D1D13">
        <w:rPr>
          <w:rFonts w:eastAsia="Times New Roman" w:cs="Times New Roman"/>
          <w:szCs w:val="20"/>
          <w:lang w:val="en-US"/>
        </w:rPr>
        <w:t xml:space="preserve"> dependence on its own lagged value 24 hours ago</w:t>
      </w:r>
      <w:r w:rsidR="00F65DA1" w:rsidRPr="003D1D13">
        <w:rPr>
          <w:rFonts w:eastAsia="Times New Roman" w:cs="Times New Roman"/>
          <w:szCs w:val="20"/>
          <w:lang w:val="en-US"/>
        </w:rPr>
        <w:t xml:space="preserve">. </w:t>
      </w:r>
      <w:r w:rsidR="00604DC3" w:rsidRPr="003D1D13">
        <w:rPr>
          <w:rFonts w:eastAsia="Times New Roman" w:cs="Times New Roman"/>
          <w:szCs w:val="20"/>
          <w:lang w:val="en-US"/>
        </w:rPr>
        <w:t xml:space="preserve">Such self-dependence is the strongest in Asia.  </w:t>
      </w:r>
      <w:r w:rsidR="001F3F37">
        <w:rPr>
          <w:rFonts w:eastAsia="Times New Roman" w:cs="Times New Roman"/>
          <w:szCs w:val="20"/>
          <w:lang w:val="en-US"/>
        </w:rPr>
        <w:t>This</w:t>
      </w:r>
      <w:r w:rsidR="00604DC3" w:rsidRPr="003D1D13">
        <w:rPr>
          <w:rFonts w:eastAsia="Times New Roman" w:cs="Times New Roman"/>
          <w:szCs w:val="20"/>
          <w:lang w:val="en-US"/>
        </w:rPr>
        <w:t xml:space="preserve"> self-dependence is </w:t>
      </w:r>
      <w:r w:rsidR="003D1D13" w:rsidRPr="003D1D13">
        <w:rPr>
          <w:rFonts w:eastAsia="Times New Roman" w:cs="Times New Roman"/>
          <w:szCs w:val="20"/>
          <w:lang w:val="en-US"/>
        </w:rPr>
        <w:t xml:space="preserve">present after controlling for </w:t>
      </w:r>
      <w:r w:rsidR="00604DC3" w:rsidRPr="003D1D13">
        <w:rPr>
          <w:rFonts w:eastAsia="Times New Roman" w:cs="Times New Roman"/>
          <w:szCs w:val="20"/>
          <w:lang w:val="en-US"/>
        </w:rPr>
        <w:t>information flow captured by volatilities in previous markets in the 24-hour cycle or by the contemporaneous order flows in the local market</w:t>
      </w:r>
      <w:r w:rsidR="001F3F37">
        <w:rPr>
          <w:rFonts w:eastAsia="Times New Roman" w:cs="Times New Roman"/>
          <w:szCs w:val="20"/>
          <w:lang w:val="en-US"/>
        </w:rPr>
        <w:t xml:space="preserve">. </w:t>
      </w:r>
      <w:r w:rsidR="00914AA7">
        <w:rPr>
          <w:rFonts w:eastAsia="Times New Roman" w:cs="Times New Roman"/>
          <w:szCs w:val="20"/>
          <w:lang w:val="en-US"/>
        </w:rPr>
        <w:t>We argue that it is unlikely to be driven by</w:t>
      </w:r>
      <w:r w:rsidR="001F3F37">
        <w:rPr>
          <w:rFonts w:eastAsia="Times New Roman" w:cs="Times New Roman"/>
          <w:szCs w:val="20"/>
          <w:lang w:val="en-US"/>
        </w:rPr>
        <w:t xml:space="preserve"> long-lived private information (more than 24 hours), </w:t>
      </w:r>
      <w:r w:rsidR="00914AA7">
        <w:rPr>
          <w:rFonts w:eastAsia="Times New Roman" w:cs="Times New Roman"/>
          <w:szCs w:val="20"/>
          <w:lang w:val="en-US"/>
        </w:rPr>
        <w:t>and more likely to be driven by</w:t>
      </w:r>
      <w:r w:rsidR="00604DC3" w:rsidRPr="003D1D13">
        <w:rPr>
          <w:rFonts w:eastAsia="Times New Roman" w:cs="Times New Roman"/>
          <w:szCs w:val="20"/>
          <w:lang w:val="en-US"/>
        </w:rPr>
        <w:t xml:space="preserve"> the local </w:t>
      </w:r>
      <w:r w:rsidR="00DE5D2E">
        <w:rPr>
          <w:rFonts w:eastAsia="Times New Roman" w:cs="Times New Roman"/>
          <w:szCs w:val="20"/>
          <w:lang w:val="en-US"/>
        </w:rPr>
        <w:t>market</w:t>
      </w:r>
      <w:r w:rsidR="00604DC3" w:rsidRPr="003D1D13">
        <w:rPr>
          <w:rFonts w:eastAsia="Times New Roman" w:cs="Times New Roman"/>
          <w:szCs w:val="20"/>
          <w:lang w:val="en-US"/>
        </w:rPr>
        <w:t xml:space="preserve"> characteristics</w:t>
      </w:r>
      <w:r w:rsidR="00DE5D2E">
        <w:rPr>
          <w:rFonts w:eastAsia="Times New Roman" w:cs="Times New Roman"/>
          <w:szCs w:val="20"/>
          <w:lang w:val="en-US"/>
        </w:rPr>
        <w:t xml:space="preserve"> such as </w:t>
      </w:r>
      <w:r w:rsidR="00DE5D2E">
        <w:rPr>
          <w:rFonts w:cs="Times New Roman"/>
          <w:szCs w:val="24"/>
          <w:lang w:val="en-US"/>
        </w:rPr>
        <w:t>the mix of individual and institutional investors, their risk tolerance, etc</w:t>
      </w:r>
      <w:r w:rsidR="00DE5D2E">
        <w:rPr>
          <w:rFonts w:eastAsia="Times New Roman" w:cs="Times New Roman"/>
          <w:szCs w:val="20"/>
          <w:lang w:val="en-US"/>
        </w:rPr>
        <w:t>.</w:t>
      </w:r>
      <w:r w:rsidR="00914AA7">
        <w:rPr>
          <w:rFonts w:eastAsia="Times New Roman" w:cs="Times New Roman"/>
          <w:szCs w:val="20"/>
          <w:lang w:val="en-US"/>
        </w:rPr>
        <w:t xml:space="preserve"> </w:t>
      </w:r>
    </w:p>
    <w:p w:rsidR="00840C19" w:rsidRPr="00840C19" w:rsidRDefault="00E30B3E" w:rsidP="00840C19">
      <w:pPr>
        <w:pStyle w:val="ListParagraph"/>
        <w:numPr>
          <w:ilvl w:val="0"/>
          <w:numId w:val="4"/>
        </w:numPr>
        <w:rPr>
          <w:rFonts w:cs="Times New Roman"/>
          <w:lang w:val="en-US"/>
        </w:rPr>
      </w:pPr>
      <w:r w:rsidRPr="00840C19">
        <w:rPr>
          <w:rFonts w:cs="Times New Roman"/>
          <w:lang w:val="en-US"/>
        </w:rPr>
        <w:t xml:space="preserve">The order flow-based estimation of private information shows that the two-hour London/ New York trading has 24% of daily private information flow, higher than its 22% share of the overall information flow.  </w:t>
      </w:r>
      <w:r w:rsidRPr="00840C19">
        <w:rPr>
          <w:lang w:val="en-US"/>
        </w:rPr>
        <w:t xml:space="preserve">The distribution of private information is relatively flat for the other markets.  The shares of private information are 21.6%, 27.6%, and 26.8% for Asia, Europe, and U.S. respectively.  </w:t>
      </w:r>
      <w:r w:rsidR="00840C19" w:rsidRPr="00840C19">
        <w:rPr>
          <w:lang w:val="en-US"/>
        </w:rPr>
        <w:t xml:space="preserve">The flatter distribution of private information may reflect the presence of the same global dealers, mostly investment banks, in different markets.  </w:t>
      </w:r>
      <w:r w:rsidR="00840C19">
        <w:rPr>
          <w:lang w:val="en-US"/>
        </w:rPr>
        <w:t xml:space="preserve">Asia still has a very low per-hour private information share at 2.7%, compared to almost 4% for Europe and U.S. and 12% for London/New York.  </w:t>
      </w:r>
    </w:p>
    <w:p w:rsidR="00636EB8" w:rsidRPr="00612020" w:rsidRDefault="0092768A" w:rsidP="00612020">
      <w:pPr>
        <w:suppressAutoHyphens/>
        <w:rPr>
          <w:rFonts w:eastAsia="Times New Roman" w:cs="Times New Roman"/>
          <w:szCs w:val="20"/>
          <w:lang w:val="en-US"/>
        </w:rPr>
      </w:pPr>
      <w:r>
        <w:rPr>
          <w:rFonts w:eastAsia="Times New Roman" w:cs="Times New Roman"/>
          <w:szCs w:val="20"/>
          <w:lang w:val="en-US"/>
        </w:rPr>
        <w:t>The rest of the</w:t>
      </w:r>
      <w:r w:rsidR="001C21C2">
        <w:rPr>
          <w:rFonts w:eastAsia="Times New Roman" w:cs="Times New Roman"/>
          <w:szCs w:val="20"/>
          <w:lang w:val="en-US"/>
        </w:rPr>
        <w:t xml:space="preserve"> paper is organized as follows.</w:t>
      </w:r>
      <w:r>
        <w:rPr>
          <w:rFonts w:eastAsia="Times New Roman" w:cs="Times New Roman"/>
          <w:szCs w:val="20"/>
          <w:lang w:val="en-US"/>
        </w:rPr>
        <w:t xml:space="preserve"> Section II discusses some trends in the gold ma</w:t>
      </w:r>
      <w:r w:rsidR="00E90861">
        <w:rPr>
          <w:rFonts w:eastAsia="Times New Roman" w:cs="Times New Roman"/>
          <w:szCs w:val="20"/>
          <w:lang w:val="en-US"/>
        </w:rPr>
        <w:t xml:space="preserve">rket </w:t>
      </w:r>
      <w:r w:rsidR="00840C19">
        <w:rPr>
          <w:rFonts w:eastAsia="Times New Roman" w:cs="Times New Roman"/>
          <w:szCs w:val="20"/>
          <w:lang w:val="en-US"/>
        </w:rPr>
        <w:t>in</w:t>
      </w:r>
      <w:r w:rsidR="00E90861">
        <w:rPr>
          <w:rFonts w:eastAsia="Times New Roman" w:cs="Times New Roman"/>
          <w:szCs w:val="20"/>
          <w:lang w:val="en-US"/>
        </w:rPr>
        <w:t xml:space="preserve"> the sample period. </w:t>
      </w:r>
      <w:r>
        <w:rPr>
          <w:rFonts w:eastAsia="Times New Roman" w:cs="Times New Roman"/>
          <w:szCs w:val="20"/>
          <w:lang w:val="en-US"/>
        </w:rPr>
        <w:t xml:space="preserve">Section III </w:t>
      </w:r>
      <w:r w:rsidR="00840C19">
        <w:rPr>
          <w:rFonts w:eastAsia="Times New Roman" w:cs="Times New Roman"/>
          <w:szCs w:val="20"/>
          <w:lang w:val="en-US"/>
        </w:rPr>
        <w:t>explains</w:t>
      </w:r>
      <w:r>
        <w:rPr>
          <w:rFonts w:eastAsia="Times New Roman" w:cs="Times New Roman"/>
          <w:szCs w:val="20"/>
          <w:lang w:val="en-US"/>
        </w:rPr>
        <w:t xml:space="preserve"> our measures for information flows</w:t>
      </w:r>
      <w:r w:rsidR="00840C19">
        <w:rPr>
          <w:rFonts w:eastAsia="Times New Roman" w:cs="Times New Roman"/>
          <w:szCs w:val="20"/>
          <w:lang w:val="en-US"/>
        </w:rPr>
        <w:t>.  Section IV</w:t>
      </w:r>
      <w:r>
        <w:rPr>
          <w:rFonts w:eastAsia="Times New Roman" w:cs="Times New Roman"/>
          <w:szCs w:val="20"/>
          <w:lang w:val="en-US"/>
        </w:rPr>
        <w:t xml:space="preserve"> </w:t>
      </w:r>
      <w:r w:rsidR="00840C19">
        <w:rPr>
          <w:rFonts w:eastAsia="Times New Roman" w:cs="Times New Roman"/>
          <w:szCs w:val="20"/>
          <w:lang w:val="en-US"/>
        </w:rPr>
        <w:lastRenderedPageBreak/>
        <w:t xml:space="preserve">presents the data and </w:t>
      </w:r>
      <w:r w:rsidR="001D66D5">
        <w:rPr>
          <w:rFonts w:eastAsia="Times New Roman" w:cs="Times New Roman"/>
          <w:szCs w:val="20"/>
          <w:lang w:val="en-US"/>
        </w:rPr>
        <w:t>the estimated</w:t>
      </w:r>
      <w:r>
        <w:rPr>
          <w:rFonts w:eastAsia="Times New Roman" w:cs="Times New Roman"/>
          <w:szCs w:val="20"/>
          <w:lang w:val="en-US"/>
        </w:rPr>
        <w:t xml:space="preserve"> global information distribution.  Section </w:t>
      </w:r>
      <w:r w:rsidR="00B764EB">
        <w:rPr>
          <w:rFonts w:eastAsia="Times New Roman" w:cs="Times New Roman"/>
          <w:szCs w:val="20"/>
          <w:lang w:val="en-US"/>
        </w:rPr>
        <w:t>V</w:t>
      </w:r>
      <w:r>
        <w:rPr>
          <w:rFonts w:eastAsia="Times New Roman" w:cs="Times New Roman"/>
          <w:szCs w:val="20"/>
          <w:lang w:val="en-US"/>
        </w:rPr>
        <w:t xml:space="preserve"> </w:t>
      </w:r>
      <w:r w:rsidR="005049C1">
        <w:rPr>
          <w:rFonts w:eastAsia="Times New Roman" w:cs="Times New Roman"/>
          <w:szCs w:val="20"/>
          <w:lang w:val="en-US"/>
        </w:rPr>
        <w:t>estimates</w:t>
      </w:r>
      <w:r>
        <w:rPr>
          <w:rFonts w:eastAsia="Times New Roman" w:cs="Times New Roman"/>
          <w:szCs w:val="20"/>
          <w:lang w:val="en-US"/>
        </w:rPr>
        <w:t xml:space="preserve"> </w:t>
      </w:r>
      <w:r w:rsidR="00C77F03">
        <w:rPr>
          <w:rFonts w:eastAsia="Times New Roman" w:cs="Times New Roman"/>
          <w:szCs w:val="20"/>
          <w:lang w:val="en-US"/>
        </w:rPr>
        <w:t xml:space="preserve">volatility spillovers and </w:t>
      </w:r>
      <w:r w:rsidR="00E90861">
        <w:rPr>
          <w:rFonts w:eastAsia="Times New Roman" w:cs="Times New Roman"/>
          <w:szCs w:val="20"/>
          <w:lang w:val="en-US"/>
        </w:rPr>
        <w:t>private information</w:t>
      </w:r>
      <w:r w:rsidR="00840C19">
        <w:rPr>
          <w:rFonts w:eastAsia="Times New Roman" w:cs="Times New Roman"/>
          <w:szCs w:val="20"/>
          <w:lang w:val="en-US"/>
        </w:rPr>
        <w:t xml:space="preserve"> flows</w:t>
      </w:r>
      <w:r w:rsidR="00E90861">
        <w:rPr>
          <w:rFonts w:eastAsia="Times New Roman" w:cs="Times New Roman"/>
          <w:szCs w:val="20"/>
          <w:lang w:val="en-US"/>
        </w:rPr>
        <w:t xml:space="preserve">. </w:t>
      </w:r>
      <w:r>
        <w:rPr>
          <w:rFonts w:eastAsia="Times New Roman" w:cs="Times New Roman"/>
          <w:szCs w:val="20"/>
          <w:lang w:val="en-US"/>
        </w:rPr>
        <w:t>Section V</w:t>
      </w:r>
      <w:r w:rsidR="00C826B4">
        <w:rPr>
          <w:rFonts w:eastAsia="Times New Roman" w:cs="Times New Roman"/>
          <w:szCs w:val="20"/>
          <w:lang w:val="en-US"/>
        </w:rPr>
        <w:t>I</w:t>
      </w:r>
      <w:r>
        <w:rPr>
          <w:rFonts w:eastAsia="Times New Roman" w:cs="Times New Roman"/>
          <w:szCs w:val="20"/>
          <w:lang w:val="en-US"/>
        </w:rPr>
        <w:t xml:space="preserve"> concludes.  </w:t>
      </w:r>
    </w:p>
    <w:p w:rsidR="003F6550" w:rsidRPr="00382CCC" w:rsidRDefault="003F6550" w:rsidP="003F6550">
      <w:pPr>
        <w:pStyle w:val="TitlesCentred"/>
        <w:numPr>
          <w:ilvl w:val="0"/>
          <w:numId w:val="2"/>
        </w:numPr>
        <w:spacing w:before="240"/>
        <w:jc w:val="both"/>
      </w:pPr>
      <w:r>
        <w:t>Recent Trends in the Gold Market</w:t>
      </w:r>
    </w:p>
    <w:p w:rsidR="003F6550" w:rsidRDefault="0074546F" w:rsidP="008B3062">
      <w:pPr>
        <w:suppressAutoHyphens/>
        <w:rPr>
          <w:rFonts w:eastAsia="Times New Roman" w:cs="Times New Roman"/>
          <w:szCs w:val="20"/>
          <w:lang w:val="en-US"/>
        </w:rPr>
      </w:pPr>
      <w:r>
        <w:rPr>
          <w:rFonts w:eastAsia="Times New Roman" w:cs="Times New Roman"/>
          <w:szCs w:val="20"/>
          <w:lang w:val="en-US"/>
        </w:rPr>
        <w:t>Since the turn of the century, the global gold market has expe</w:t>
      </w:r>
      <w:r w:rsidR="00051C11">
        <w:rPr>
          <w:rFonts w:eastAsia="Times New Roman" w:cs="Times New Roman"/>
          <w:szCs w:val="20"/>
          <w:lang w:val="en-US"/>
        </w:rPr>
        <w:t xml:space="preserve">rienced two important changes. </w:t>
      </w:r>
      <w:r>
        <w:rPr>
          <w:rFonts w:eastAsia="Times New Roman" w:cs="Times New Roman"/>
          <w:szCs w:val="20"/>
          <w:lang w:val="en-US"/>
        </w:rPr>
        <w:t>The first is the rise of the excha</w:t>
      </w:r>
      <w:r w:rsidR="007E45B9">
        <w:rPr>
          <w:rFonts w:eastAsia="Times New Roman" w:cs="Times New Roman"/>
          <w:szCs w:val="20"/>
          <w:lang w:val="en-US"/>
        </w:rPr>
        <w:t xml:space="preserve">nge-traded funds (ETFs) on gold, mostly </w:t>
      </w:r>
      <w:r>
        <w:rPr>
          <w:rFonts w:eastAsia="Times New Roman" w:cs="Times New Roman"/>
          <w:szCs w:val="20"/>
          <w:lang w:val="en-US"/>
        </w:rPr>
        <w:t xml:space="preserve">in </w:t>
      </w:r>
      <w:r w:rsidR="007E45B9">
        <w:rPr>
          <w:rFonts w:eastAsia="Times New Roman" w:cs="Times New Roman"/>
          <w:szCs w:val="20"/>
          <w:lang w:val="en-US"/>
        </w:rPr>
        <w:t xml:space="preserve">the </w:t>
      </w:r>
      <w:r>
        <w:rPr>
          <w:rFonts w:eastAsia="Times New Roman" w:cs="Times New Roman"/>
          <w:szCs w:val="20"/>
          <w:lang w:val="en-US"/>
        </w:rPr>
        <w:t>U</w:t>
      </w:r>
      <w:r w:rsidR="007E45B9">
        <w:rPr>
          <w:rFonts w:eastAsia="Times New Roman" w:cs="Times New Roman"/>
          <w:szCs w:val="20"/>
          <w:lang w:val="en-US"/>
        </w:rPr>
        <w:t>nited States but also in</w:t>
      </w:r>
      <w:r w:rsidR="00B84AA8">
        <w:rPr>
          <w:rFonts w:eastAsia="Times New Roman" w:cs="Times New Roman"/>
          <w:szCs w:val="20"/>
          <w:lang w:val="en-US"/>
        </w:rPr>
        <w:t xml:space="preserve"> Asia</w:t>
      </w:r>
      <w:r w:rsidR="00DB024D">
        <w:rPr>
          <w:rFonts w:eastAsia="Times New Roman" w:cs="Times New Roman"/>
          <w:szCs w:val="20"/>
          <w:lang w:val="en-US"/>
        </w:rPr>
        <w:t>.</w:t>
      </w:r>
      <w:r w:rsidR="009867D0">
        <w:rPr>
          <w:rStyle w:val="FootnoteReference"/>
          <w:rFonts w:eastAsia="Times New Roman" w:cs="Times New Roman"/>
          <w:szCs w:val="20"/>
          <w:lang w:val="en-US"/>
        </w:rPr>
        <w:footnoteReference w:id="6"/>
      </w:r>
      <w:r w:rsidR="00051C11">
        <w:rPr>
          <w:rFonts w:eastAsia="Times New Roman" w:cs="Times New Roman"/>
          <w:szCs w:val="20"/>
          <w:lang w:val="en-US"/>
        </w:rPr>
        <w:t xml:space="preserve"> </w:t>
      </w:r>
      <w:r w:rsidR="00B84AA8">
        <w:rPr>
          <w:rFonts w:eastAsia="Times New Roman" w:cs="Times New Roman"/>
          <w:szCs w:val="20"/>
          <w:lang w:val="en-US"/>
        </w:rPr>
        <w:t xml:space="preserve">Europe appears to have a very small share of the gold ETFs (Figure 1a). The physical (allocated) ETFs </w:t>
      </w:r>
      <w:r w:rsidR="009867D0">
        <w:rPr>
          <w:rFonts w:eastAsia="Times New Roman" w:cs="Times New Roman"/>
          <w:szCs w:val="20"/>
          <w:lang w:val="en-US"/>
        </w:rPr>
        <w:t xml:space="preserve">are backed by </w:t>
      </w:r>
      <w:r w:rsidR="009047FE">
        <w:rPr>
          <w:rFonts w:eastAsia="Times New Roman" w:cs="Times New Roman"/>
          <w:szCs w:val="20"/>
          <w:lang w:val="en-US"/>
        </w:rPr>
        <w:t>holdings of bullion, thus increasing demand for spot gold.</w:t>
      </w:r>
      <w:r w:rsidR="00B84AA8">
        <w:rPr>
          <w:rFonts w:eastAsia="Times New Roman" w:cs="Times New Roman"/>
          <w:szCs w:val="20"/>
          <w:lang w:val="en-US"/>
        </w:rPr>
        <w:t xml:space="preserve"> </w:t>
      </w:r>
      <w:r w:rsidR="009047FE">
        <w:rPr>
          <w:rFonts w:eastAsia="Times New Roman" w:cs="Times New Roman"/>
          <w:szCs w:val="20"/>
          <w:lang w:val="en-US"/>
        </w:rPr>
        <w:t xml:space="preserve">The synthetic ETFs are backed by gold derivatives and do not directly impact demand for spot gold. </w:t>
      </w:r>
      <w:r>
        <w:rPr>
          <w:rFonts w:eastAsia="Times New Roman" w:cs="Times New Roman"/>
          <w:szCs w:val="20"/>
          <w:lang w:val="en-US"/>
        </w:rPr>
        <w:t xml:space="preserve"> </w:t>
      </w:r>
      <w:r w:rsidR="00B728CA">
        <w:rPr>
          <w:rFonts w:eastAsia="Times New Roman" w:cs="Times New Roman"/>
          <w:szCs w:val="20"/>
          <w:lang w:val="en-US"/>
        </w:rPr>
        <w:t xml:space="preserve">Because of their low transaction costs and high liquidity, </w:t>
      </w:r>
      <w:r w:rsidR="007E45B9">
        <w:rPr>
          <w:rFonts w:eastAsia="Times New Roman" w:cs="Times New Roman"/>
          <w:szCs w:val="20"/>
          <w:lang w:val="en-US"/>
        </w:rPr>
        <w:t>“</w:t>
      </w:r>
      <w:r w:rsidR="00B728CA">
        <w:rPr>
          <w:rFonts w:eastAsia="Times New Roman" w:cs="Times New Roman"/>
          <w:szCs w:val="20"/>
          <w:lang w:val="en-US"/>
        </w:rPr>
        <w:t>[T]</w:t>
      </w:r>
      <w:r>
        <w:rPr>
          <w:rFonts w:eastAsia="Times New Roman" w:cs="Times New Roman"/>
          <w:szCs w:val="20"/>
          <w:lang w:val="en-US"/>
        </w:rPr>
        <w:t xml:space="preserve">he </w:t>
      </w:r>
      <w:r w:rsidR="007E45B9">
        <w:rPr>
          <w:rFonts w:eastAsia="Times New Roman" w:cs="Times New Roman"/>
          <w:szCs w:val="20"/>
          <w:lang w:val="en-US"/>
        </w:rPr>
        <w:t xml:space="preserve">introduction </w:t>
      </w:r>
      <w:r>
        <w:rPr>
          <w:rFonts w:eastAsia="Times New Roman" w:cs="Times New Roman"/>
          <w:szCs w:val="20"/>
          <w:lang w:val="en-US"/>
        </w:rPr>
        <w:t xml:space="preserve">of ETFs </w:t>
      </w:r>
      <w:r w:rsidR="007E45B9">
        <w:rPr>
          <w:rFonts w:eastAsia="Times New Roman" w:cs="Times New Roman"/>
          <w:szCs w:val="20"/>
          <w:lang w:val="en-US"/>
        </w:rPr>
        <w:t xml:space="preserve">on gold </w:t>
      </w:r>
      <w:r>
        <w:rPr>
          <w:rFonts w:eastAsia="Times New Roman" w:cs="Times New Roman"/>
          <w:szCs w:val="20"/>
          <w:lang w:val="en-US"/>
        </w:rPr>
        <w:t>leads to a structural demand shift” (</w:t>
      </w:r>
      <w:r w:rsidR="00ED311F">
        <w:rPr>
          <w:rFonts w:eastAsia="Times New Roman" w:cs="Times New Roman"/>
          <w:szCs w:val="20"/>
          <w:lang w:val="en-US"/>
        </w:rPr>
        <w:fldChar w:fldCharType="begin"/>
      </w:r>
      <w:r w:rsidR="009B6EF1">
        <w:rPr>
          <w:rFonts w:eastAsia="Times New Roman" w:cs="Times New Roman"/>
          <w:szCs w:val="20"/>
          <w:lang w:val="en-US"/>
        </w:rPr>
        <w:instrText xml:space="preserve"> ADDIN EN.CITE &lt;EndNote&gt;&lt;Cite&gt;&lt;Author&gt;Baur&lt;/Author&gt;&lt;Year&gt;2013&lt;/Year&gt;&lt;RecNum&gt;796&lt;/RecNum&gt;&lt;DisplayText&gt;Baur (2013)&lt;/DisplayText&gt;&lt;record&gt;&lt;rec-number&gt;796&lt;/rec-number&gt;&lt;foreign-keys&gt;&lt;key app="EN" db-id="szetpsas1ep5veesd5xvva5qdxwetsvpfs5x"&gt;796&lt;/key&gt;&lt;/foreign-keys&gt;&lt;ref-type name="Journal Article"&gt;17&lt;/ref-type&gt;&lt;contributors&gt;&lt;authors&gt;&lt;author&gt;Baur, Dirk G&lt;/author&gt;&lt;/authors&gt;&lt;/contributors&gt;&lt;titles&gt;&lt;title&gt;Exchange-Traded Funds on Gold-A Free Lunch?&lt;/title&gt;&lt;secondary-title&gt;Working Paper, Kuehne Logistics University &lt;/secondary-title&gt;&lt;/titles&gt;&lt;periodical&gt;&lt;full-title&gt;Working Paper, Kuehne Logistics University&lt;/full-title&gt;&lt;/periodical&gt;&lt;dates&gt;&lt;year&gt;2013&lt;/year&gt;&lt;/dates&gt;&lt;urls&gt;&lt;/urls&gt;&lt;/record&gt;&lt;/Cite&gt;&lt;/EndNote&gt;</w:instrText>
      </w:r>
      <w:r w:rsidR="00ED311F">
        <w:rPr>
          <w:rFonts w:eastAsia="Times New Roman" w:cs="Times New Roman"/>
          <w:szCs w:val="20"/>
          <w:lang w:val="en-US"/>
        </w:rPr>
        <w:fldChar w:fldCharType="separate"/>
      </w:r>
      <w:hyperlink w:anchor="_ENREF_5" w:tooltip="Baur, 2013 #796" w:history="1">
        <w:r w:rsidR="00C419D5">
          <w:rPr>
            <w:rFonts w:eastAsia="Times New Roman" w:cs="Times New Roman"/>
            <w:noProof/>
            <w:szCs w:val="20"/>
            <w:lang w:val="en-US"/>
          </w:rPr>
          <w:t>Baur (2013</w:t>
        </w:r>
      </w:hyperlink>
      <w:r w:rsidR="00E90861">
        <w:rPr>
          <w:rFonts w:eastAsia="Times New Roman" w:cs="Times New Roman"/>
          <w:noProof/>
          <w:szCs w:val="20"/>
          <w:lang w:val="en-US"/>
        </w:rPr>
        <w:t>)</w:t>
      </w:r>
      <w:r w:rsidR="00ED311F">
        <w:rPr>
          <w:rFonts w:eastAsia="Times New Roman" w:cs="Times New Roman"/>
          <w:szCs w:val="20"/>
          <w:lang w:val="en-US"/>
        </w:rPr>
        <w:fldChar w:fldCharType="end"/>
      </w:r>
      <w:r>
        <w:rPr>
          <w:rFonts w:eastAsia="Times New Roman" w:cs="Times New Roman"/>
          <w:szCs w:val="20"/>
          <w:lang w:val="en-US"/>
        </w:rPr>
        <w:t>)</w:t>
      </w:r>
      <w:r w:rsidR="007E45B9">
        <w:rPr>
          <w:rFonts w:eastAsia="Times New Roman" w:cs="Times New Roman"/>
          <w:szCs w:val="20"/>
          <w:lang w:val="en-US"/>
        </w:rPr>
        <w:t xml:space="preserve">.  There is a strong correlation between the number of gold ETFs and the </w:t>
      </w:r>
      <w:r w:rsidR="00DB024D">
        <w:rPr>
          <w:rFonts w:eastAsia="Times New Roman" w:cs="Times New Roman"/>
          <w:szCs w:val="20"/>
          <w:lang w:val="en-US"/>
        </w:rPr>
        <w:t>gold price (Figure 1b).</w:t>
      </w:r>
      <w:r>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&lt;EndNote&gt;&lt;Cite&gt;&lt;Author&gt;Ivanov&lt;/Author&gt;&lt;Year&gt;2011&lt;/Year&gt;&lt;RecNum&gt;740&lt;/RecNum&gt;&lt;DisplayText&gt;Ivanov (2011)&lt;/DisplayText&gt;&lt;record&gt;&lt;rec-number&gt;740&lt;/rec-number&gt;&lt;foreign-keys&gt;&lt;key app="EN" db-id="szetpsas1ep5veesd5xvva5qdxwetsvpfs5x"&gt;740&lt;/key&gt;&lt;/foreign-keys&gt;&lt;ref-type name="Journal Article"&gt;17&lt;/ref-type&gt;&lt;contributors&gt;&lt;authors&gt;&lt;author&gt;Ivanov, Stoyu I&lt;/author&gt;&lt;/authors&gt;&lt;/contributors&gt;&lt;titles&gt;&lt;title&gt;The influence of ETFs on the price discovery of gold, silver and oil&lt;/title&gt;&lt;secondary-title&gt;Journal of Economics and Finance&lt;/secondary-title&gt;&lt;/titles&gt;&lt;periodical&gt;&lt;full-title&gt;Journal of Economics and Finance&lt;/full-title&gt;&lt;/periodical&gt;&lt;pages&gt;453-462&lt;/pages&gt;&lt;volume&gt;37&lt;/volume&gt;&lt;number&gt;3&lt;/number&gt;&lt;dates&gt;&lt;year&gt;2011&lt;/year&gt;&lt;/dates&gt;&lt;isbn&gt;1055-0925&lt;/isbn&gt;&lt;urls&gt;&lt;/urls&gt;&lt;/record&gt;&lt;/Cite&gt;&lt;/EndNote&gt;</w:instrText>
      </w:r>
      <w:r w:rsidR="00ED311F">
        <w:rPr>
          <w:rFonts w:eastAsia="Times New Roman" w:cs="Times New Roman"/>
          <w:szCs w:val="20"/>
          <w:lang w:val="en-US"/>
        </w:rPr>
        <w:fldChar w:fldCharType="separate"/>
      </w:r>
      <w:hyperlink w:anchor="_ENREF_23" w:tooltip="Ivanov, 2011 #740" w:history="1">
        <w:r w:rsidR="00C419D5">
          <w:rPr>
            <w:rFonts w:eastAsia="Times New Roman" w:cs="Times New Roman"/>
            <w:noProof/>
            <w:szCs w:val="20"/>
            <w:lang w:val="en-US"/>
          </w:rPr>
          <w:t>Ivanov (2011</w:t>
        </w:r>
      </w:hyperlink>
      <w:r w:rsidR="00E90861">
        <w:rPr>
          <w:rFonts w:eastAsia="Times New Roman" w:cs="Times New Roman"/>
          <w:noProof/>
          <w:szCs w:val="20"/>
          <w:lang w:val="en-US"/>
        </w:rPr>
        <w:t>)</w:t>
      </w:r>
      <w:r w:rsidR="00ED311F">
        <w:rPr>
          <w:rFonts w:eastAsia="Times New Roman" w:cs="Times New Roman"/>
          <w:szCs w:val="20"/>
          <w:lang w:val="en-US"/>
        </w:rPr>
        <w:fldChar w:fldCharType="end"/>
      </w:r>
      <w:r w:rsidR="00D02ADC">
        <w:rPr>
          <w:rFonts w:eastAsia="Times New Roman" w:cs="Times New Roman"/>
          <w:szCs w:val="20"/>
          <w:lang w:val="en-US"/>
        </w:rPr>
        <w:t xml:space="preserve"> shows evidence that gold price discovery moves away fr</w:t>
      </w:r>
      <w:r w:rsidR="004C4EEF">
        <w:rPr>
          <w:rFonts w:eastAsia="Times New Roman" w:cs="Times New Roman"/>
          <w:szCs w:val="20"/>
          <w:lang w:val="en-US"/>
        </w:rPr>
        <w:t xml:space="preserve">om futures trading to ETFs in the United States.  We examine whether the trading of gold ETFs in the United States has increased its information share in the gold OTC market.  </w:t>
      </w:r>
    </w:p>
    <w:p w:rsidR="00C071DD" w:rsidRDefault="00C071DD" w:rsidP="0007415D">
      <w:pPr>
        <w:suppressAutoHyphens/>
        <w:ind w:firstLine="0"/>
        <w:jc w:val="center"/>
        <w:rPr>
          <w:rFonts w:eastAsia="Times New Roman" w:cs="Times New Roman"/>
          <w:szCs w:val="20"/>
          <w:lang w:val="en-US"/>
        </w:rPr>
      </w:pPr>
      <w:r>
        <w:rPr>
          <w:rFonts w:eastAsia="Times New Roman" w:cs="Times New Roman"/>
          <w:szCs w:val="20"/>
          <w:lang w:val="en-US"/>
        </w:rPr>
        <w:t>[INSERT FIGURE 1</w:t>
      </w:r>
      <w:r w:rsidR="00F67EB3">
        <w:rPr>
          <w:rFonts w:eastAsia="Times New Roman" w:cs="Times New Roman"/>
          <w:szCs w:val="20"/>
          <w:lang w:val="en-US"/>
        </w:rPr>
        <w:t>A AND 1B</w:t>
      </w:r>
      <w:r w:rsidR="00707AE2">
        <w:rPr>
          <w:rFonts w:eastAsia="Times New Roman" w:cs="Times New Roman"/>
          <w:szCs w:val="20"/>
          <w:lang w:val="en-US"/>
        </w:rPr>
        <w:t xml:space="preserve"> </w:t>
      </w:r>
      <w:r>
        <w:rPr>
          <w:rFonts w:eastAsia="Times New Roman" w:cs="Times New Roman"/>
          <w:szCs w:val="20"/>
          <w:lang w:val="en-US"/>
        </w:rPr>
        <w:t>HERE]</w:t>
      </w:r>
    </w:p>
    <w:p w:rsidR="00A27BCD" w:rsidRDefault="0074546F" w:rsidP="00C071DD">
      <w:pPr>
        <w:suppressAutoHyphens/>
      </w:pPr>
      <w:r>
        <w:rPr>
          <w:rFonts w:eastAsia="Times New Roman" w:cs="Times New Roman"/>
          <w:szCs w:val="20"/>
          <w:lang w:val="en-US"/>
        </w:rPr>
        <w:t xml:space="preserve">The second </w:t>
      </w:r>
      <w:r w:rsidR="00A265EE">
        <w:rPr>
          <w:rFonts w:eastAsia="Times New Roman" w:cs="Times New Roman"/>
          <w:szCs w:val="20"/>
          <w:lang w:val="en-US"/>
        </w:rPr>
        <w:t>trend in the gold market</w:t>
      </w:r>
      <w:r>
        <w:rPr>
          <w:rFonts w:eastAsia="Times New Roman" w:cs="Times New Roman"/>
          <w:szCs w:val="20"/>
          <w:lang w:val="en-US"/>
        </w:rPr>
        <w:t xml:space="preserve"> is the rise of Asia, and China </w:t>
      </w:r>
      <w:r w:rsidR="00FE57B4">
        <w:rPr>
          <w:rFonts w:eastAsia="Times New Roman" w:cs="Times New Roman"/>
          <w:szCs w:val="20"/>
          <w:lang w:val="en-US"/>
        </w:rPr>
        <w:t xml:space="preserve">in particular, in gold demand. </w:t>
      </w:r>
      <w:r>
        <w:rPr>
          <w:rFonts w:eastAsia="Times New Roman" w:cs="Times New Roman"/>
          <w:szCs w:val="20"/>
          <w:lang w:val="en-US"/>
        </w:rPr>
        <w:t>Figure 2a shows that China and India account for over hal</w:t>
      </w:r>
      <w:r w:rsidR="00A265EE">
        <w:rPr>
          <w:rFonts w:eastAsia="Times New Roman" w:cs="Times New Roman"/>
          <w:szCs w:val="20"/>
          <w:lang w:val="en-US"/>
        </w:rPr>
        <w:t xml:space="preserve">f of the global gold demand. </w:t>
      </w:r>
      <w:r>
        <w:rPr>
          <w:rFonts w:eastAsia="Times New Roman" w:cs="Times New Roman"/>
          <w:szCs w:val="20"/>
          <w:lang w:val="en-US"/>
        </w:rPr>
        <w:t xml:space="preserve">Figure 2b shows a </w:t>
      </w:r>
      <w:r w:rsidR="009953BF">
        <w:rPr>
          <w:rFonts w:eastAsia="Times New Roman" w:cs="Times New Roman"/>
          <w:szCs w:val="20"/>
          <w:lang w:val="en-US"/>
        </w:rPr>
        <w:t>striking</w:t>
      </w:r>
      <w:r>
        <w:rPr>
          <w:rFonts w:eastAsia="Times New Roman" w:cs="Times New Roman"/>
          <w:szCs w:val="20"/>
          <w:lang w:val="en-US"/>
        </w:rPr>
        <w:t xml:space="preserve"> positive correlation between China’s share of gold demand and the gold price. </w:t>
      </w:r>
      <w:r w:rsidR="008048B8">
        <w:rPr>
          <w:rFonts w:eastAsia="Times New Roman" w:cs="Times New Roman"/>
          <w:szCs w:val="20"/>
          <w:lang w:val="en-US"/>
        </w:rPr>
        <w:t xml:space="preserve">The Shanghai Futures Exchange started trading gold futures in 2008 and </w:t>
      </w:r>
      <w:r w:rsidR="001714A4">
        <w:rPr>
          <w:rFonts w:eastAsia="Times New Roman" w:cs="Times New Roman"/>
          <w:szCs w:val="20"/>
          <w:lang w:val="en-US"/>
        </w:rPr>
        <w:t xml:space="preserve">is </w:t>
      </w:r>
      <w:r w:rsidR="008048B8">
        <w:rPr>
          <w:rFonts w:eastAsia="Times New Roman" w:cs="Times New Roman"/>
          <w:szCs w:val="20"/>
          <w:lang w:val="en-US"/>
        </w:rPr>
        <w:t>the second largest gold futures market after COMEX</w:t>
      </w:r>
      <w:r w:rsidR="001714A4">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&lt;EndNote&gt;&lt;Cite&gt;&lt;Author&gt;Thomson Reuters&lt;/Author&gt;&lt;Year&gt;2014&lt;/Year&gt;&lt;RecNum&gt;810&lt;/RecNum&gt;&lt;DisplayText&gt;Thomson Reuters (2014)&lt;/DisplayText&gt;&lt;record&gt;&lt;rec-number&gt;810&lt;/rec-number&gt;&lt;foreign-keys&gt;&lt;key app="EN" db-id="szetpsas1ep5veesd5xvva5qdxwetsvpfs5x"&gt;810&lt;/key&gt;&lt;/foreign-keys&gt;&lt;ref-type name="Journal Article"&gt;17&lt;/ref-type&gt;&lt;contributors&gt;&lt;authors&gt;&lt;author&gt;Thomson Reuters, &lt;/author&gt;&lt;/authors&gt;&lt;/contributors&gt;&lt;titles&gt;&lt;title&gt;GFMS Gold Survey 2014&lt;/title&gt;&lt;/titles&gt;&lt;dates&gt;&lt;year&gt;2014&lt;/year&gt;&lt;/dates&gt;&lt;urls&gt;&lt;/urls&gt;&lt;/record&gt;&lt;/Cite&gt;&lt;/EndNote&gt;</w:instrText>
      </w:r>
      <w:r w:rsidR="00ED311F">
        <w:rPr>
          <w:rFonts w:eastAsia="Times New Roman" w:cs="Times New Roman"/>
          <w:szCs w:val="20"/>
          <w:lang w:val="en-US"/>
        </w:rPr>
        <w:fldChar w:fldCharType="separate"/>
      </w:r>
      <w:hyperlink w:anchor="_ENREF_37" w:tooltip="Thomson Reuters, 2014 #810" w:history="1">
        <w:r w:rsidR="00C419D5">
          <w:rPr>
            <w:rFonts w:eastAsia="Times New Roman" w:cs="Times New Roman"/>
            <w:noProof/>
            <w:szCs w:val="20"/>
            <w:lang w:val="en-US"/>
          </w:rPr>
          <w:t>Thomson Reuters (2014</w:t>
        </w:r>
      </w:hyperlink>
      <w:r w:rsidR="00C071DD">
        <w:rPr>
          <w:rFonts w:eastAsia="Times New Roman" w:cs="Times New Roman"/>
          <w:noProof/>
          <w:szCs w:val="20"/>
          <w:lang w:val="en-US"/>
        </w:rPr>
        <w:t>)</w:t>
      </w:r>
      <w:r w:rsidR="00ED311F">
        <w:rPr>
          <w:rFonts w:eastAsia="Times New Roman" w:cs="Times New Roman"/>
          <w:szCs w:val="20"/>
          <w:lang w:val="en-US"/>
        </w:rPr>
        <w:fldChar w:fldCharType="end"/>
      </w:r>
      <w:r w:rsidR="001714A4">
        <w:rPr>
          <w:rFonts w:eastAsia="Times New Roman" w:cs="Times New Roman"/>
          <w:szCs w:val="20"/>
          <w:lang w:val="en-US"/>
        </w:rPr>
        <w:t xml:space="preserve">). </w:t>
      </w:r>
      <w:r w:rsidR="00E41104">
        <w:rPr>
          <w:rFonts w:eastAsia="Times New Roman" w:cs="Times New Roman"/>
          <w:szCs w:val="20"/>
          <w:lang w:val="en-US"/>
        </w:rPr>
        <w:t>Together with the Shanghai Gold Exchange, Shanghai</w:t>
      </w:r>
      <w:r w:rsidR="001714A4">
        <w:rPr>
          <w:rFonts w:eastAsia="Times New Roman" w:cs="Times New Roman"/>
          <w:szCs w:val="20"/>
          <w:lang w:val="en-US"/>
        </w:rPr>
        <w:t xml:space="preserve"> now accounts </w:t>
      </w:r>
      <w:r w:rsidR="000632B7">
        <w:rPr>
          <w:rFonts w:eastAsia="Times New Roman" w:cs="Times New Roman"/>
          <w:szCs w:val="20"/>
          <w:lang w:val="en-US"/>
        </w:rPr>
        <w:t xml:space="preserve">for </w:t>
      </w:r>
      <w:r w:rsidR="001714A4">
        <w:rPr>
          <w:rFonts w:eastAsia="Times New Roman" w:cs="Times New Roman"/>
          <w:szCs w:val="20"/>
          <w:lang w:val="en-US"/>
        </w:rPr>
        <w:t>23% of gold traded on</w:t>
      </w:r>
      <w:r w:rsidR="000632B7">
        <w:rPr>
          <w:rFonts w:eastAsia="Times New Roman" w:cs="Times New Roman"/>
          <w:szCs w:val="20"/>
          <w:lang w:val="en-US"/>
        </w:rPr>
        <w:t xml:space="preserve"> the global</w:t>
      </w:r>
      <w:r w:rsidR="001714A4">
        <w:rPr>
          <w:rFonts w:eastAsia="Times New Roman" w:cs="Times New Roman"/>
          <w:szCs w:val="20"/>
          <w:lang w:val="en-US"/>
        </w:rPr>
        <w:t xml:space="preserve"> commodity exchanges and</w:t>
      </w:r>
      <w:r w:rsidR="008048B8">
        <w:rPr>
          <w:rFonts w:eastAsia="Times New Roman" w:cs="Times New Roman"/>
          <w:szCs w:val="20"/>
          <w:lang w:val="en-US"/>
        </w:rPr>
        <w:t xml:space="preserve"> </w:t>
      </w:r>
      <w:r w:rsidR="00E41104">
        <w:rPr>
          <w:rFonts w:eastAsia="Times New Roman" w:cs="Times New Roman"/>
          <w:szCs w:val="20"/>
          <w:lang w:val="en-US"/>
        </w:rPr>
        <w:t>launched two</w:t>
      </w:r>
      <w:r w:rsidR="008048B8">
        <w:rPr>
          <w:rFonts w:eastAsia="Times New Roman" w:cs="Times New Roman"/>
          <w:szCs w:val="20"/>
          <w:lang w:val="en-US"/>
        </w:rPr>
        <w:t xml:space="preserve"> gold ETFs in 2013. </w:t>
      </w:r>
      <w:r w:rsidR="00E41104">
        <w:rPr>
          <w:rFonts w:eastAsia="Times New Roman" w:cs="Times New Roman"/>
          <w:szCs w:val="20"/>
          <w:lang w:val="en-US"/>
        </w:rPr>
        <w:t>With the decline of the Tokyo Commodity Exchange (trading volume decreas</w:t>
      </w:r>
      <w:r w:rsidR="00C071DD">
        <w:rPr>
          <w:rFonts w:eastAsia="Times New Roman" w:cs="Times New Roman"/>
          <w:szCs w:val="20"/>
          <w:lang w:val="en-US"/>
        </w:rPr>
        <w:t>ed by 20% between 2011 and 2013</w:t>
      </w:r>
      <w:r w:rsidR="00E41104">
        <w:rPr>
          <w:rFonts w:eastAsia="Times New Roman" w:cs="Times New Roman"/>
          <w:szCs w:val="20"/>
          <w:lang w:val="en-US"/>
        </w:rPr>
        <w:t xml:space="preserve"> </w:t>
      </w:r>
      <w:r w:rsidR="00C071DD">
        <w:rPr>
          <w:rFonts w:eastAsia="Times New Roman" w:cs="Times New Roman"/>
          <w:szCs w:val="20"/>
          <w:lang w:val="en-US"/>
        </w:rPr>
        <w:t>(</w:t>
      </w:r>
      <w:hyperlink w:anchor="_ENREF_28" w:tooltip="Thomson Reuters, 2014 #810" w:history="1">
        <w:r w:rsidR="00C071DD">
          <w:rPr>
            <w:rFonts w:eastAsia="Times New Roman" w:cs="Times New Roman"/>
            <w:noProof/>
            <w:szCs w:val="20"/>
            <w:lang w:val="en-US"/>
          </w:rPr>
          <w:t>Thomson Reuters (2014</w:t>
        </w:r>
      </w:hyperlink>
      <w:r w:rsidR="00C071DD">
        <w:rPr>
          <w:rFonts w:eastAsia="Times New Roman" w:cs="Times New Roman"/>
          <w:noProof/>
          <w:szCs w:val="20"/>
          <w:lang w:val="en-US"/>
        </w:rPr>
        <w:t>)</w:t>
      </w:r>
      <w:r w:rsidR="00E41104">
        <w:rPr>
          <w:rFonts w:eastAsia="Times New Roman" w:cs="Times New Roman"/>
          <w:szCs w:val="20"/>
          <w:lang w:val="en-US"/>
        </w:rPr>
        <w:t xml:space="preserve">), Shanghai </w:t>
      </w:r>
      <w:r w:rsidR="00996F26">
        <w:rPr>
          <w:rFonts w:eastAsia="Times New Roman" w:cs="Times New Roman"/>
          <w:szCs w:val="20"/>
          <w:lang w:val="en-US"/>
        </w:rPr>
        <w:t xml:space="preserve">is poised to </w:t>
      </w:r>
      <w:r w:rsidR="00E41104">
        <w:rPr>
          <w:rFonts w:eastAsia="Times New Roman" w:cs="Times New Roman"/>
          <w:szCs w:val="20"/>
          <w:lang w:val="en-US"/>
        </w:rPr>
        <w:t>become a major hub in Asia f</w:t>
      </w:r>
      <w:r w:rsidR="00996F26">
        <w:rPr>
          <w:rFonts w:eastAsia="Times New Roman" w:cs="Times New Roman"/>
          <w:szCs w:val="20"/>
          <w:lang w:val="en-US"/>
        </w:rPr>
        <w:t>or gold trading and information.</w:t>
      </w:r>
      <w:r w:rsidR="00C071DD">
        <w:t xml:space="preserve">             </w:t>
      </w:r>
    </w:p>
    <w:p w:rsidR="00636EB8" w:rsidRDefault="00A27BCD" w:rsidP="00133D23">
      <w:pPr>
        <w:suppressAutoHyphens/>
        <w:ind w:firstLine="0"/>
        <w:jc w:val="center"/>
        <w:rPr>
          <w:rFonts w:cs="Times New Roman"/>
          <w:b/>
          <w:szCs w:val="28"/>
          <w:lang w:val="en-US"/>
        </w:rPr>
      </w:pPr>
      <w:r>
        <w:t>[INSERT FIGURE 2A AND 2B HERE]</w:t>
      </w:r>
    </w:p>
    <w:p w:rsidR="003358A0" w:rsidRPr="00382CCC" w:rsidRDefault="003358A0" w:rsidP="003358A0">
      <w:pPr>
        <w:pStyle w:val="TitlesCentred"/>
        <w:numPr>
          <w:ilvl w:val="0"/>
          <w:numId w:val="2"/>
        </w:numPr>
        <w:spacing w:before="240"/>
        <w:jc w:val="both"/>
      </w:pPr>
      <w:r>
        <w:lastRenderedPageBreak/>
        <w:t>Measuring Information Flow and Distribution</w:t>
      </w:r>
    </w:p>
    <w:p w:rsidR="00DC04EC" w:rsidRDefault="00DC04EC" w:rsidP="00DC04EC">
      <w:pPr>
        <w:suppressAutoHyphens/>
        <w:rPr>
          <w:rFonts w:eastAsia="Times New Roman" w:cs="Times New Roman"/>
          <w:lang w:val="en-US"/>
        </w:rPr>
      </w:pPr>
      <w:r>
        <w:rPr>
          <w:rFonts w:eastAsia="Times New Roman" w:cs="Times New Roman"/>
          <w:szCs w:val="20"/>
          <w:lang w:val="en-US"/>
        </w:rPr>
        <w:t>Most existing price discovery measures are designed for parallel markets in which</w:t>
      </w:r>
      <w:r>
        <w:rPr>
          <w:rFonts w:eastAsia="Times New Roman" w:cs="Times New Roman"/>
          <w:lang w:val="en-US"/>
        </w:rPr>
        <w:t xml:space="preserve"> there is o</w:t>
      </w:r>
      <w:r w:rsidR="007372C0">
        <w:rPr>
          <w:rFonts w:eastAsia="Times New Roman" w:cs="Times New Roman"/>
          <w:lang w:val="en-US"/>
        </w:rPr>
        <w:t xml:space="preserve">nly one true price at any time. </w:t>
      </w:r>
      <w:r>
        <w:rPr>
          <w:rFonts w:eastAsia="Times New Roman" w:cs="Times New Roman"/>
          <w:lang w:val="en-US"/>
        </w:rPr>
        <w:t xml:space="preserve">In this case, risk-free arbitrage leads to a co-integrating price relationship across parallel markets, which is at the center of the models of </w:t>
      </w:r>
      <w:r w:rsidR="00ED311F">
        <w:rPr>
          <w:rFonts w:eastAsia="Times New Roman" w:cs="Times New Roman"/>
          <w:lang w:val="en-US"/>
        </w:rPr>
        <w:fldChar w:fldCharType="begin"/>
      </w:r>
      <w:r w:rsidR="00BC3C36">
        <w:rPr>
          <w:rFonts w:eastAsia="Times New Roman" w:cs="Times New Roman"/>
          <w:lang w:val="en-US"/>
        </w:rPr>
        <w:instrText xml:space="preserve"> ADDIN EN.CITE &lt;EndNote&gt;&lt;Cite&gt;&lt;Author&gt;Hasbrouck&lt;/Author&gt;&lt;Year&gt;1995&lt;/Year&gt;&lt;RecNum&gt;746&lt;/RecNum&gt;&lt;DisplayText&gt;Hasbrouck (1995)&lt;/DisplayText&gt;&lt;record&gt;&lt;rec-number&gt;746&lt;/rec-number&gt;&lt;foreign-keys&gt;&lt;key app="EN" db-id="szetpsas1ep5veesd5xvva5qdxwetsvpfs5x"&gt;746&lt;/key&gt;&lt;/foreign-keys&gt;&lt;ref-type name="Journal Article"&gt;17&lt;/ref-type&gt;&lt;contributors&gt;&lt;authors&gt;&lt;author&gt;Hasbrouck, Joel&lt;/author&gt;&lt;/authors&gt;&lt;/contributors&gt;&lt;titles&gt;&lt;title&gt;One security, many markets: Determining the contributions to price discovery&lt;/title&gt;&lt;secondary-title&gt;Journal of Finance&lt;/secondary-title&gt;&lt;/titles&gt;&lt;periodical&gt;&lt;full-title&gt;Journal of Finance&lt;/full-title&gt;&lt;/periodical&gt;&lt;pages&gt;1175-1199&lt;/pages&gt;&lt;volume&gt;50&lt;/volume&gt;&lt;number&gt;4&lt;/number&gt;&lt;dates&gt;&lt;year&gt;1995&lt;/year&gt;&lt;/dates&gt;&lt;isbn&gt;1540-6261&lt;/isbn&gt;&lt;urls&gt;&lt;/urls&gt;&lt;/record&gt;&lt;/Cite&gt;&lt;/EndNote&gt;</w:instrText>
      </w:r>
      <w:r w:rsidR="00ED311F">
        <w:rPr>
          <w:rFonts w:eastAsia="Times New Roman" w:cs="Times New Roman"/>
          <w:lang w:val="en-US"/>
        </w:rPr>
        <w:fldChar w:fldCharType="separate"/>
      </w:r>
      <w:hyperlink w:anchor="_ENREF_21" w:tooltip="Hasbrouck, 1995 #746" w:history="1">
        <w:r w:rsidR="00C419D5">
          <w:rPr>
            <w:rFonts w:eastAsia="Times New Roman" w:cs="Times New Roman"/>
            <w:noProof/>
            <w:lang w:val="en-US"/>
          </w:rPr>
          <w:t>Hasbrouck (1995</w:t>
        </w:r>
      </w:hyperlink>
      <w:r w:rsidR="00874039">
        <w:rPr>
          <w:rFonts w:eastAsia="Times New Roman" w:cs="Times New Roman"/>
          <w:noProof/>
          <w:lang w:val="en-US"/>
        </w:rPr>
        <w:t>)</w:t>
      </w:r>
      <w:r w:rsidR="00ED311F">
        <w:rPr>
          <w:rFonts w:eastAsia="Times New Roman" w:cs="Times New Roman"/>
          <w:lang w:val="en-US"/>
        </w:rPr>
        <w:fldChar w:fldCharType="end"/>
      </w:r>
      <w:r>
        <w:rPr>
          <w:rFonts w:eastAsia="Times New Roman" w:cs="Times New Roman"/>
          <w:lang w:val="en-US"/>
        </w:rPr>
        <w:t xml:space="preserve"> and </w:t>
      </w:r>
      <w:r w:rsidR="00ED311F">
        <w:rPr>
          <w:rFonts w:eastAsia="Times New Roman" w:cs="Times New Roman"/>
          <w:lang w:val="en-US"/>
        </w:rPr>
        <w:fldChar w:fldCharType="begin"/>
      </w:r>
      <w:r w:rsidR="00C419D5">
        <w:rPr>
          <w:rFonts w:eastAsia="Times New Roman" w:cs="Times New Roman"/>
          <w:lang w:val="en-US"/>
        </w:rPr>
        <w:instrText xml:space="preserve"> ADDIN EN.CITE &lt;EndNote&gt;&lt;Cite&gt;&lt;Author&gt;Harris&lt;/Author&gt;&lt;Year&gt;2002&lt;/Year&gt;&lt;RecNum&gt;748&lt;/RecNum&gt;&lt;DisplayText&gt;Harris, McInish and Wood (2002)&lt;/DisplayText&gt;&lt;record&gt;&lt;rec-number&gt;748&lt;/rec-number&gt;&lt;foreign-keys&gt;&lt;key app="EN" db-id="szetpsas1ep5veesd5xvva5qdxwetsvpfs5x"&gt;748&lt;/key&gt;&lt;/foreign-keys&gt;&lt;ref-type name="Journal Article"&gt;17&lt;/ref-type&gt;&lt;contributors&gt;&lt;authors&gt;&lt;author&gt;Harris, F. H.&lt;/author&gt;&lt;author&gt;McInish, T. M.&lt;/author&gt;&lt;author&gt;Wood, R.&lt;/author&gt;&lt;/authors&gt;&lt;/contributors&gt;&lt;titles&gt;&lt;title&gt;Security price adjustment across exchanges: an investigation of common factor components for Dow stocks&lt;/title&gt;&lt;secondary-title&gt;Journal of Financial Markets&lt;/secondary-title&gt;&lt;/titles&gt;&lt;periodical&gt;&lt;full-title&gt;Journal of Financial Markets&lt;/full-title&gt;&lt;/periodical&gt;&lt;pages&gt;277-308&lt;/pages&gt;&lt;volume&gt;5&lt;/volume&gt;&lt;dates&gt;&lt;year&gt;2002&lt;/year&gt;&lt;/dates&gt;&lt;urls&gt;&lt;/urls&gt;&lt;/record&gt;&lt;/Cite&gt;&lt;/EndNote&gt;</w:instrText>
      </w:r>
      <w:r w:rsidR="00ED311F">
        <w:rPr>
          <w:rFonts w:eastAsia="Times New Roman" w:cs="Times New Roman"/>
          <w:lang w:val="en-US"/>
        </w:rPr>
        <w:fldChar w:fldCharType="separate"/>
      </w:r>
      <w:hyperlink w:anchor="_ENREF_20" w:tooltip="Harris, 2002 #748" w:history="1">
        <w:r w:rsidR="00C419D5">
          <w:rPr>
            <w:rFonts w:eastAsia="Times New Roman" w:cs="Times New Roman"/>
            <w:noProof/>
            <w:lang w:val="en-US"/>
          </w:rPr>
          <w:t>Harris, McInish and Wood (2002</w:t>
        </w:r>
      </w:hyperlink>
      <w:r w:rsidR="00C419D5">
        <w:rPr>
          <w:rFonts w:eastAsia="Times New Roman" w:cs="Times New Roman"/>
          <w:noProof/>
          <w:lang w:val="en-US"/>
        </w:rPr>
        <w:t>)</w:t>
      </w:r>
      <w:r w:rsidR="00ED311F">
        <w:rPr>
          <w:rFonts w:eastAsia="Times New Roman" w:cs="Times New Roman"/>
          <w:lang w:val="en-US"/>
        </w:rPr>
        <w:fldChar w:fldCharType="end"/>
      </w:r>
      <w:r>
        <w:rPr>
          <w:rFonts w:eastAsia="Times New Roman" w:cs="Times New Roman"/>
          <w:lang w:val="en-US"/>
        </w:rPr>
        <w:t xml:space="preserve">. </w:t>
      </w:r>
      <w:r w:rsidR="004719E5">
        <w:rPr>
          <w:rFonts w:eastAsia="Times New Roman" w:cs="Times New Roman"/>
          <w:szCs w:val="20"/>
          <w:lang w:val="en-US"/>
        </w:rPr>
        <w:t xml:space="preserve">This study differs from most studies of price discovery in that we divide a 24-hour trading day into 4 non-overlapping markets. </w:t>
      </w:r>
      <w:r w:rsidR="004719E5">
        <w:rPr>
          <w:rFonts w:eastAsia="Times New Roman" w:cs="Times New Roman"/>
          <w:lang w:val="en-US"/>
        </w:rPr>
        <w:t>Since</w:t>
      </w:r>
      <w:r>
        <w:rPr>
          <w:rFonts w:eastAsia="Times New Roman" w:cs="Times New Roman"/>
          <w:lang w:val="en-US"/>
        </w:rPr>
        <w:t xml:space="preserve"> new information </w:t>
      </w:r>
      <w:r w:rsidR="004719E5">
        <w:rPr>
          <w:rFonts w:eastAsia="Times New Roman" w:cs="Times New Roman"/>
          <w:lang w:val="en-US"/>
        </w:rPr>
        <w:t xml:space="preserve">in one market </w:t>
      </w:r>
      <w:r>
        <w:rPr>
          <w:rFonts w:eastAsia="Times New Roman" w:cs="Times New Roman"/>
          <w:lang w:val="en-US"/>
        </w:rPr>
        <w:t>can lead to large price changes from the previous market</w:t>
      </w:r>
      <w:r w:rsidR="004719E5">
        <w:rPr>
          <w:rFonts w:eastAsia="Times New Roman" w:cs="Times New Roman"/>
          <w:lang w:val="en-US"/>
        </w:rPr>
        <w:t>,</w:t>
      </w:r>
      <w:r>
        <w:rPr>
          <w:rFonts w:eastAsia="Times New Roman" w:cs="Times New Roman"/>
          <w:lang w:val="en-US"/>
        </w:rPr>
        <w:t xml:space="preserve"> </w:t>
      </w:r>
      <w:r w:rsidR="004719E5">
        <w:rPr>
          <w:rFonts w:eastAsia="Times New Roman" w:cs="Times New Roman"/>
          <w:lang w:val="en-US"/>
        </w:rPr>
        <w:t>t</w:t>
      </w:r>
      <w:r>
        <w:rPr>
          <w:rFonts w:eastAsia="Times New Roman" w:cs="Times New Roman"/>
          <w:lang w:val="en-US"/>
        </w:rPr>
        <w:t xml:space="preserve">he </w:t>
      </w:r>
      <w:r w:rsidR="004719E5">
        <w:rPr>
          <w:rFonts w:eastAsia="Times New Roman" w:cs="Times New Roman"/>
          <w:lang w:val="en-US"/>
        </w:rPr>
        <w:t xml:space="preserve">cross-market </w:t>
      </w:r>
      <w:r>
        <w:rPr>
          <w:rFonts w:eastAsia="Times New Roman" w:cs="Times New Roman"/>
          <w:lang w:val="en-US"/>
        </w:rPr>
        <w:t>co-integration</w:t>
      </w:r>
      <w:r w:rsidR="00D23622">
        <w:rPr>
          <w:rFonts w:eastAsia="Times New Roman" w:cs="Times New Roman"/>
          <w:lang w:val="en-US"/>
        </w:rPr>
        <w:t xml:space="preserve"> relationship no longer holds. </w:t>
      </w:r>
      <w:r>
        <w:rPr>
          <w:rFonts w:eastAsia="Times New Roman" w:cs="Times New Roman"/>
          <w:lang w:val="en-US"/>
        </w:rPr>
        <w:t xml:space="preserve">Therefore the measures of Hasbrouck (1995) and </w:t>
      </w:r>
      <w:r w:rsidR="00ED311F">
        <w:rPr>
          <w:rFonts w:eastAsia="Times New Roman" w:cs="Times New Roman"/>
          <w:lang w:val="en-US"/>
        </w:rPr>
        <w:fldChar w:fldCharType="begin"/>
      </w:r>
      <w:r w:rsidR="00C419D5">
        <w:rPr>
          <w:rFonts w:eastAsia="Times New Roman" w:cs="Times New Roman"/>
          <w:lang w:val="en-US"/>
        </w:rPr>
        <w:instrText xml:space="preserve"> ADDIN EN.CITE &lt;EndNote&gt;&lt;Cite&gt;&lt;Author&gt;Harris&lt;/Author&gt;&lt;Year&gt;2002&lt;/Year&gt;&lt;RecNum&gt;748&lt;/RecNum&gt;&lt;DisplayText&gt;Harris, McInish and Wood (2002)&lt;/DisplayText&gt;&lt;record&gt;&lt;rec-number&gt;748&lt;/rec-number&gt;&lt;foreign-keys&gt;&lt;key app="EN" db-id="szetpsas1ep5veesd5xvva5qdxwetsvpfs5x"&gt;748&lt;/key&gt;&lt;/foreign-keys&gt;&lt;ref-type name="Journal Article"&gt;17&lt;/ref-type&gt;&lt;contributors&gt;&lt;authors&gt;&lt;author&gt;Harris, F. H.&lt;/author&gt;&lt;author&gt;McInish, T. M.&lt;/author&gt;&lt;author&gt;Wood, R.&lt;/author&gt;&lt;/authors&gt;&lt;/contributors&gt;&lt;titles&gt;&lt;title&gt;Security price adjustment across exchanges: an investigation of common factor components for Dow stocks&lt;/title&gt;&lt;secondary-title&gt;Journal of Financial Markets&lt;/secondary-title&gt;&lt;/titles&gt;&lt;periodical&gt;&lt;full-title&gt;Journal of Financial Markets&lt;/full-title&gt;&lt;/periodical&gt;&lt;pages&gt;277-308&lt;/pages&gt;&lt;volume&gt;5&lt;/volume&gt;&lt;dates&gt;&lt;year&gt;2002&lt;/year&gt;&lt;/dates&gt;&lt;urls&gt;&lt;/urls&gt;&lt;/record&gt;&lt;/Cite&gt;&lt;/EndNote&gt;</w:instrText>
      </w:r>
      <w:r w:rsidR="00ED311F">
        <w:rPr>
          <w:rFonts w:eastAsia="Times New Roman" w:cs="Times New Roman"/>
          <w:lang w:val="en-US"/>
        </w:rPr>
        <w:fldChar w:fldCharType="separate"/>
      </w:r>
      <w:hyperlink w:anchor="_ENREF_20" w:tooltip="Harris, 2002 #748" w:history="1">
        <w:r w:rsidR="00C419D5">
          <w:rPr>
            <w:rFonts w:eastAsia="Times New Roman" w:cs="Times New Roman"/>
            <w:noProof/>
            <w:lang w:val="en-US"/>
          </w:rPr>
          <w:t>Harris, McInish and Wood (2002</w:t>
        </w:r>
      </w:hyperlink>
      <w:r w:rsidR="00C419D5">
        <w:rPr>
          <w:rFonts w:eastAsia="Times New Roman" w:cs="Times New Roman"/>
          <w:noProof/>
          <w:lang w:val="en-US"/>
        </w:rPr>
        <w:t>)</w:t>
      </w:r>
      <w:r w:rsidR="00ED311F">
        <w:rPr>
          <w:rFonts w:eastAsia="Times New Roman" w:cs="Times New Roman"/>
          <w:lang w:val="en-US"/>
        </w:rPr>
        <w:fldChar w:fldCharType="end"/>
      </w:r>
      <w:r w:rsidR="009B6EF1">
        <w:rPr>
          <w:rFonts w:eastAsia="Times New Roman" w:cs="Times New Roman"/>
          <w:lang w:val="en-US"/>
        </w:rPr>
        <w:t xml:space="preserve"> </w:t>
      </w:r>
      <w:r>
        <w:rPr>
          <w:rFonts w:eastAsia="Times New Roman" w:cs="Times New Roman"/>
          <w:lang w:val="en-US"/>
        </w:rPr>
        <w:t xml:space="preserve">cannot be applied to the 24-hour sequential market setting.  </w:t>
      </w:r>
    </w:p>
    <w:p w:rsidR="00B0509A" w:rsidRPr="00FC1B8D" w:rsidRDefault="00A11F7C" w:rsidP="00A11F7C">
      <w:pPr>
        <w:suppressAutoHyphens/>
        <w:rPr>
          <w:rFonts w:eastAsia="Times New Roman" w:cs="Times New Roman"/>
          <w:szCs w:val="20"/>
          <w:lang w:val="en-US"/>
        </w:rPr>
      </w:pPr>
      <w:r>
        <w:rPr>
          <w:rFonts w:eastAsia="Times New Roman" w:cs="Times New Roman"/>
          <w:szCs w:val="20"/>
          <w:lang w:val="en-US"/>
        </w:rPr>
        <w:t xml:space="preserve">To measure information flow in non-overlapping sequential markets, </w:t>
      </w:r>
      <w:r w:rsidR="00B0509A">
        <w:rPr>
          <w:rFonts w:eastAsia="Times New Roman" w:cs="Times New Roman"/>
          <w:szCs w:val="20"/>
          <w:lang w:val="en-US"/>
        </w:rPr>
        <w:t>Wang and Yang (2011) proposes the following model in the spirit of Hasbrouck (1995).  A</w:t>
      </w:r>
      <w:r w:rsidR="004719E5">
        <w:rPr>
          <w:rFonts w:eastAsia="Times New Roman" w:cs="Times New Roman"/>
          <w:szCs w:val="20"/>
          <w:lang w:val="en-US"/>
        </w:rPr>
        <w:t xml:space="preserve"> trading day </w:t>
      </w:r>
      <w:r w:rsidR="004719E5" w:rsidRPr="00C826B4">
        <w:rPr>
          <w:rFonts w:eastAsia="Times New Roman" w:cs="Times New Roman"/>
          <w:i/>
          <w:szCs w:val="20"/>
          <w:lang w:val="en-US"/>
        </w:rPr>
        <w:t>t</w:t>
      </w:r>
      <w:r w:rsidR="004719E5">
        <w:rPr>
          <w:rFonts w:eastAsia="Times New Roman" w:cs="Times New Roman"/>
          <w:szCs w:val="20"/>
          <w:lang w:val="en-US"/>
        </w:rPr>
        <w:t xml:space="preserve"> </w:t>
      </w:r>
      <w:r w:rsidR="00B0509A">
        <w:rPr>
          <w:rFonts w:eastAsia="Times New Roman" w:cs="Times New Roman"/>
          <w:szCs w:val="20"/>
          <w:lang w:val="en-US"/>
        </w:rPr>
        <w:t xml:space="preserve">is divided into </w:t>
      </w:r>
      <w:r w:rsidR="004719E5" w:rsidRPr="00C826B4">
        <w:rPr>
          <w:rFonts w:eastAsia="Times New Roman" w:cs="Times New Roman"/>
          <w:i/>
          <w:szCs w:val="20"/>
          <w:lang w:val="en-US"/>
        </w:rPr>
        <w:t>n</w:t>
      </w:r>
      <w:r w:rsidR="004719E5">
        <w:rPr>
          <w:rFonts w:eastAsia="Times New Roman" w:cs="Times New Roman"/>
          <w:szCs w:val="20"/>
          <w:lang w:val="en-US"/>
        </w:rPr>
        <w:t xml:space="preserve"> non-overlapping sequential markets.  T</w:t>
      </w:r>
      <w:r w:rsidR="005A2158">
        <w:rPr>
          <w:rFonts w:eastAsia="Times New Roman" w:cs="Times New Roman"/>
          <w:szCs w:val="20"/>
          <w:lang w:val="en-US"/>
        </w:rPr>
        <w:t xml:space="preserve">he log price </w:t>
      </w:r>
      <w:r w:rsidR="00423A9F">
        <w:rPr>
          <w:rFonts w:eastAsia="Times New Roman" w:cs="Times New Roman"/>
          <w:szCs w:val="20"/>
          <w:lang w:val="en-US"/>
        </w:rPr>
        <w:t xml:space="preserve">in market </w:t>
      </w:r>
      <w:r w:rsidR="00423A9F" w:rsidRPr="00D41BDD">
        <w:rPr>
          <w:rFonts w:eastAsia="Times New Roman" w:cs="Times New Roman"/>
          <w:i/>
          <w:szCs w:val="20"/>
          <w:lang w:val="en-US"/>
        </w:rPr>
        <w:t>i</w:t>
      </w:r>
      <w:r w:rsidR="00423A9F">
        <w:rPr>
          <w:rFonts w:eastAsia="Times New Roman" w:cs="Times New Roman"/>
          <w:szCs w:val="20"/>
          <w:lang w:val="en-US"/>
        </w:rPr>
        <w:t xml:space="preserve"> </w:t>
      </w:r>
      <w:r w:rsidR="004719E5">
        <w:rPr>
          <w:rFonts w:eastAsia="Times New Roman" w:cs="Times New Roman"/>
          <w:szCs w:val="20"/>
          <w:lang w:val="en-US"/>
        </w:rPr>
        <w:t xml:space="preserve">on day </w:t>
      </w:r>
      <w:r w:rsidR="004719E5" w:rsidRPr="00C826B4">
        <w:rPr>
          <w:rFonts w:eastAsia="Times New Roman" w:cs="Times New Roman"/>
          <w:i/>
          <w:szCs w:val="20"/>
          <w:lang w:val="en-US"/>
        </w:rPr>
        <w:t>t</w:t>
      </w:r>
      <w:r w:rsidR="00423A9F">
        <w:rPr>
          <w:rFonts w:eastAsia="Times New Roman" w:cs="Times New Roman"/>
          <w:szCs w:val="20"/>
          <w:lang w:val="en-US"/>
        </w:rPr>
        <w:t xml:space="preserve"> </w:t>
      </w:r>
      <w:r w:rsidR="004719E5">
        <w:rPr>
          <w:rFonts w:eastAsia="Times New Roman" w:cs="Times New Roman"/>
          <w:szCs w:val="20"/>
          <w:lang w:val="en-US"/>
        </w:rPr>
        <w:t>can be written as</w:t>
      </w:r>
      <w:r w:rsidR="00423A9F">
        <w:rPr>
          <w:rFonts w:eastAsia="Times New Roman" w:cs="Times New Roman"/>
          <w:szCs w:val="20"/>
          <w:lang w:val="en-US"/>
        </w:rPr>
        <w:t xml:space="preserve"> </w:t>
      </w:r>
      <w:r w:rsidR="005A2158">
        <w:rPr>
          <w:rFonts w:eastAsia="Times New Roman" w:cs="Times New Roman"/>
          <w:szCs w:val="20"/>
          <w:lang w:val="en-US"/>
        </w:rPr>
        <w:t>p</w:t>
      </w:r>
      <w:r w:rsidR="00423A9F" w:rsidRPr="0054056C">
        <w:rPr>
          <w:rFonts w:eastAsia="Times New Roman" w:cs="Times New Roman"/>
          <w:i/>
          <w:szCs w:val="20"/>
          <w:vertAlign w:val="subscript"/>
          <w:lang w:val="en-US"/>
        </w:rPr>
        <w:t>i,t</w:t>
      </w:r>
      <w:r w:rsidR="005A2158">
        <w:rPr>
          <w:rFonts w:eastAsia="Times New Roman" w:cs="Times New Roman"/>
          <w:szCs w:val="20"/>
          <w:lang w:val="en-US"/>
        </w:rPr>
        <w:t xml:space="preserve"> = m</w:t>
      </w:r>
      <w:r w:rsidR="00423A9F" w:rsidRPr="0054056C">
        <w:rPr>
          <w:rFonts w:eastAsia="Times New Roman" w:cs="Times New Roman"/>
          <w:i/>
          <w:szCs w:val="20"/>
          <w:vertAlign w:val="subscript"/>
          <w:lang w:val="en-US"/>
        </w:rPr>
        <w:t>i,t</w:t>
      </w:r>
      <w:r w:rsidR="005A2158" w:rsidRPr="0054056C">
        <w:rPr>
          <w:rFonts w:eastAsia="Times New Roman" w:cs="Times New Roman"/>
          <w:i/>
          <w:szCs w:val="20"/>
          <w:lang w:val="en-US"/>
        </w:rPr>
        <w:t xml:space="preserve"> </w:t>
      </w:r>
      <w:r w:rsidR="005A2158">
        <w:rPr>
          <w:rFonts w:eastAsia="Times New Roman" w:cs="Times New Roman"/>
          <w:szCs w:val="20"/>
          <w:lang w:val="en-US"/>
        </w:rPr>
        <w:t xml:space="preserve">+ </w:t>
      </w:r>
      <w:r w:rsidR="005A2158" w:rsidRPr="00D41BDD">
        <w:rPr>
          <w:rFonts w:eastAsia="Times New Roman" w:cs="Times New Roman"/>
          <w:szCs w:val="20"/>
          <w:lang w:val="en-US"/>
        </w:rPr>
        <w:t>u</w:t>
      </w:r>
      <w:r w:rsidR="00423A9F" w:rsidRPr="00D41BDD">
        <w:rPr>
          <w:rFonts w:eastAsia="Times New Roman" w:cs="Times New Roman"/>
          <w:i/>
          <w:szCs w:val="20"/>
          <w:vertAlign w:val="subscript"/>
          <w:lang w:val="en-US"/>
        </w:rPr>
        <w:t>i,t</w:t>
      </w:r>
      <w:r w:rsidR="005A2158">
        <w:rPr>
          <w:rFonts w:eastAsia="Times New Roman" w:cs="Times New Roman"/>
          <w:szCs w:val="20"/>
          <w:lang w:val="en-US"/>
        </w:rPr>
        <w:t xml:space="preserve">, where </w:t>
      </w:r>
      <w:r w:rsidR="005A2158" w:rsidRPr="00D41BDD">
        <w:rPr>
          <w:rFonts w:eastAsia="Times New Roman" w:cs="Times New Roman"/>
          <w:szCs w:val="20"/>
          <w:lang w:val="en-US"/>
        </w:rPr>
        <w:t>m</w:t>
      </w:r>
      <w:r w:rsidR="00423A9F" w:rsidRPr="00D41BDD">
        <w:rPr>
          <w:rFonts w:eastAsia="Times New Roman" w:cs="Times New Roman"/>
          <w:i/>
          <w:szCs w:val="20"/>
          <w:vertAlign w:val="subscript"/>
          <w:lang w:val="en-US"/>
        </w:rPr>
        <w:t>i,t</w:t>
      </w:r>
      <w:r w:rsidR="005A2158">
        <w:rPr>
          <w:rFonts w:eastAsia="Times New Roman" w:cs="Times New Roman"/>
          <w:szCs w:val="20"/>
          <w:lang w:val="en-US"/>
        </w:rPr>
        <w:t xml:space="preserve"> is the unobservable efficient price and </w:t>
      </w:r>
      <w:r w:rsidR="005A2158" w:rsidRPr="00D41BDD">
        <w:rPr>
          <w:rFonts w:eastAsia="Times New Roman" w:cs="Times New Roman"/>
          <w:szCs w:val="20"/>
          <w:lang w:val="en-US"/>
        </w:rPr>
        <w:t>u</w:t>
      </w:r>
      <w:r w:rsidR="00423A9F" w:rsidRPr="00D41BDD">
        <w:rPr>
          <w:rFonts w:eastAsia="Times New Roman" w:cs="Times New Roman"/>
          <w:i/>
          <w:szCs w:val="20"/>
          <w:vertAlign w:val="subscript"/>
          <w:lang w:val="en-US"/>
        </w:rPr>
        <w:t>i,t</w:t>
      </w:r>
      <w:r w:rsidR="00D23622">
        <w:rPr>
          <w:rFonts w:eastAsia="Times New Roman" w:cs="Times New Roman"/>
          <w:szCs w:val="20"/>
          <w:lang w:val="en-US"/>
        </w:rPr>
        <w:t xml:space="preserve"> is a noise term. </w:t>
      </w:r>
      <w:r w:rsidR="005A2158">
        <w:rPr>
          <w:rFonts w:eastAsia="Times New Roman" w:cs="Times New Roman"/>
          <w:szCs w:val="20"/>
          <w:lang w:val="en-US"/>
        </w:rPr>
        <w:t>The</w:t>
      </w:r>
      <w:r w:rsidR="004719E5">
        <w:rPr>
          <w:rFonts w:eastAsia="Times New Roman" w:cs="Times New Roman"/>
          <w:szCs w:val="20"/>
          <w:lang w:val="en-US"/>
        </w:rPr>
        <w:t>refore the</w:t>
      </w:r>
      <w:r w:rsidR="005A2158">
        <w:rPr>
          <w:rFonts w:eastAsia="Times New Roman" w:cs="Times New Roman"/>
          <w:szCs w:val="20"/>
          <w:lang w:val="en-US"/>
        </w:rPr>
        <w:t xml:space="preserve"> log return </w:t>
      </w:r>
      <w:r w:rsidR="004719E5">
        <w:rPr>
          <w:rFonts w:eastAsia="Times New Roman" w:cs="Times New Roman"/>
          <w:szCs w:val="20"/>
          <w:lang w:val="en-US"/>
        </w:rPr>
        <w:t xml:space="preserve">is given by </w:t>
      </w:r>
      <w:r w:rsidR="005A2158" w:rsidRPr="00D41BDD">
        <w:rPr>
          <w:rFonts w:eastAsia="Times New Roman" w:cs="Times New Roman"/>
          <w:szCs w:val="20"/>
          <w:lang w:val="en-US"/>
        </w:rPr>
        <w:t>r</w:t>
      </w:r>
      <w:r w:rsidR="00423A9F" w:rsidRPr="00D41BDD">
        <w:rPr>
          <w:rFonts w:eastAsia="Times New Roman" w:cs="Times New Roman"/>
          <w:i/>
          <w:szCs w:val="20"/>
          <w:vertAlign w:val="subscript"/>
          <w:lang w:val="en-US"/>
        </w:rPr>
        <w:t>i,t</w:t>
      </w:r>
      <w:r w:rsidR="005A2158" w:rsidRPr="00D41BDD">
        <w:rPr>
          <w:rFonts w:eastAsia="Times New Roman" w:cs="Times New Roman"/>
          <w:i/>
          <w:szCs w:val="20"/>
          <w:lang w:val="en-US"/>
        </w:rPr>
        <w:t xml:space="preserve"> = </w:t>
      </w:r>
      <w:r w:rsidR="005A2158" w:rsidRPr="00D41BDD">
        <w:rPr>
          <w:rFonts w:eastAsia="Times New Roman" w:cs="Times New Roman"/>
          <w:szCs w:val="20"/>
          <w:lang w:val="en-US"/>
        </w:rPr>
        <w:t>Δp</w:t>
      </w:r>
      <w:r w:rsidR="00423A9F" w:rsidRPr="00D41BDD">
        <w:rPr>
          <w:rFonts w:eastAsia="Times New Roman" w:cs="Times New Roman"/>
          <w:i/>
          <w:szCs w:val="20"/>
          <w:vertAlign w:val="subscript"/>
          <w:lang w:val="en-US"/>
        </w:rPr>
        <w:t>i,t</w:t>
      </w:r>
      <w:r w:rsidR="00B0509A">
        <w:rPr>
          <w:rFonts w:eastAsia="Times New Roman" w:cs="Times New Roman"/>
          <w:i/>
          <w:szCs w:val="20"/>
          <w:vertAlign w:val="subscript"/>
          <w:lang w:val="en-US"/>
        </w:rPr>
        <w:t xml:space="preserve"> </w:t>
      </w:r>
      <w:r w:rsidR="005A2158" w:rsidRPr="00D41BDD">
        <w:rPr>
          <w:rFonts w:eastAsia="Times New Roman" w:cs="Times New Roman"/>
          <w:i/>
          <w:szCs w:val="20"/>
          <w:lang w:val="en-US"/>
        </w:rPr>
        <w:t>=</w:t>
      </w:r>
      <w:r w:rsidR="00B0509A">
        <w:rPr>
          <w:rFonts w:eastAsia="Times New Roman" w:cs="Times New Roman"/>
          <w:i/>
          <w:szCs w:val="20"/>
          <w:lang w:val="en-US"/>
        </w:rPr>
        <w:t xml:space="preserve"> </w:t>
      </w:r>
      <w:r w:rsidR="005A2158" w:rsidRPr="00D41BDD">
        <w:rPr>
          <w:rFonts w:eastAsia="Times New Roman" w:cs="Times New Roman"/>
          <w:szCs w:val="20"/>
          <w:lang w:val="en-US"/>
        </w:rPr>
        <w:t>Δm</w:t>
      </w:r>
      <w:r w:rsidR="00423A9F" w:rsidRPr="00D41BDD">
        <w:rPr>
          <w:rFonts w:eastAsia="Times New Roman" w:cs="Times New Roman"/>
          <w:i/>
          <w:szCs w:val="20"/>
          <w:vertAlign w:val="subscript"/>
          <w:lang w:val="en-US"/>
        </w:rPr>
        <w:t>i,t</w:t>
      </w:r>
      <w:r w:rsidR="00B0509A">
        <w:rPr>
          <w:rFonts w:eastAsia="Times New Roman" w:cs="Times New Roman"/>
          <w:i/>
          <w:szCs w:val="20"/>
          <w:vertAlign w:val="subscript"/>
          <w:lang w:val="en-US"/>
        </w:rPr>
        <w:t xml:space="preserve"> </w:t>
      </w:r>
      <w:r w:rsidR="005A2158" w:rsidRPr="00D41BDD">
        <w:rPr>
          <w:rFonts w:eastAsia="Times New Roman" w:cs="Times New Roman"/>
          <w:i/>
          <w:szCs w:val="20"/>
          <w:lang w:val="en-US"/>
        </w:rPr>
        <w:t>+</w:t>
      </w:r>
      <w:r w:rsidR="00B0509A">
        <w:rPr>
          <w:rFonts w:eastAsia="Times New Roman" w:cs="Times New Roman"/>
          <w:i/>
          <w:szCs w:val="20"/>
          <w:lang w:val="en-US"/>
        </w:rPr>
        <w:t xml:space="preserve"> </w:t>
      </w:r>
      <w:r w:rsidR="005A2158" w:rsidRPr="00D41BDD">
        <w:rPr>
          <w:rFonts w:eastAsia="Times New Roman" w:cs="Times New Roman"/>
          <w:szCs w:val="20"/>
          <w:lang w:val="en-US"/>
        </w:rPr>
        <w:t>Δu</w:t>
      </w:r>
      <w:r w:rsidR="00423A9F" w:rsidRPr="00D41BDD">
        <w:rPr>
          <w:rFonts w:eastAsia="Times New Roman" w:cs="Times New Roman"/>
          <w:i/>
          <w:szCs w:val="20"/>
          <w:vertAlign w:val="subscript"/>
          <w:lang w:val="en-US"/>
        </w:rPr>
        <w:t>i,t</w:t>
      </w:r>
      <w:r w:rsidR="005A2158">
        <w:rPr>
          <w:rFonts w:eastAsia="Times New Roman" w:cs="Times New Roman"/>
          <w:szCs w:val="20"/>
          <w:lang w:val="en-US"/>
        </w:rPr>
        <w:t>.  By definition the change in efficient price</w:t>
      </w:r>
      <w:r w:rsidR="004719E5">
        <w:rPr>
          <w:rFonts w:eastAsia="Times New Roman" w:cs="Times New Roman"/>
          <w:szCs w:val="20"/>
          <w:lang w:val="en-US"/>
        </w:rPr>
        <w:t xml:space="preserve"> reflects the arrival of new information, therefore</w:t>
      </w:r>
      <w:r w:rsidR="005A2158">
        <w:rPr>
          <w:rFonts w:eastAsia="Times New Roman" w:cs="Times New Roman"/>
          <w:szCs w:val="20"/>
          <w:lang w:val="en-US"/>
        </w:rPr>
        <w:t xml:space="preserve"> Δm</w:t>
      </w:r>
      <w:r w:rsidR="00423A9F" w:rsidRPr="007A0589">
        <w:rPr>
          <w:rFonts w:eastAsia="Times New Roman" w:cs="Times New Roman"/>
          <w:i/>
          <w:szCs w:val="20"/>
          <w:vertAlign w:val="subscript"/>
          <w:lang w:val="en-US"/>
        </w:rPr>
        <w:t>i,t</w:t>
      </w:r>
      <w:r w:rsidR="00D314AF" w:rsidRPr="007A0589">
        <w:rPr>
          <w:rFonts w:eastAsia="Times New Roman" w:cs="Times New Roman"/>
          <w:i/>
          <w:szCs w:val="20"/>
          <w:lang w:val="en-US"/>
        </w:rPr>
        <w:t xml:space="preserve"> </w:t>
      </w:r>
      <w:r w:rsidR="00D314AF">
        <w:rPr>
          <w:rFonts w:eastAsia="Times New Roman" w:cs="Times New Roman"/>
          <w:szCs w:val="20"/>
          <w:lang w:val="en-US"/>
        </w:rPr>
        <w:t xml:space="preserve">is serially uncorrelated. </w:t>
      </w:r>
      <w:r w:rsidR="005A2158">
        <w:rPr>
          <w:rFonts w:eastAsia="Times New Roman" w:cs="Times New Roman"/>
          <w:szCs w:val="20"/>
          <w:lang w:val="en-US"/>
        </w:rPr>
        <w:t xml:space="preserve">The noise term </w:t>
      </w:r>
      <w:r w:rsidR="005A2158" w:rsidRPr="00D41BDD">
        <w:rPr>
          <w:rFonts w:eastAsia="Times New Roman" w:cs="Times New Roman"/>
          <w:szCs w:val="20"/>
          <w:lang w:val="en-US"/>
        </w:rPr>
        <w:t>Δu</w:t>
      </w:r>
      <w:r w:rsidR="00423A9F" w:rsidRPr="00D41BDD">
        <w:rPr>
          <w:rFonts w:eastAsia="Times New Roman" w:cs="Times New Roman"/>
          <w:i/>
          <w:szCs w:val="20"/>
          <w:vertAlign w:val="subscript"/>
          <w:lang w:val="en-US"/>
        </w:rPr>
        <w:t>i,t</w:t>
      </w:r>
      <w:r w:rsidR="005A2158">
        <w:rPr>
          <w:rFonts w:eastAsia="Times New Roman" w:cs="Times New Roman"/>
          <w:szCs w:val="20"/>
          <w:lang w:val="en-US"/>
        </w:rPr>
        <w:t xml:space="preserve"> captures the </w:t>
      </w:r>
      <w:r w:rsidR="00D314AF">
        <w:rPr>
          <w:rFonts w:eastAsia="Times New Roman" w:cs="Times New Roman"/>
          <w:szCs w:val="20"/>
          <w:lang w:val="en-US"/>
        </w:rPr>
        <w:t xml:space="preserve">serial correlation in returns. </w:t>
      </w:r>
      <w:r w:rsidR="00942BD6">
        <w:rPr>
          <w:rFonts w:eastAsia="Times New Roman" w:cs="Times New Roman"/>
          <w:szCs w:val="20"/>
          <w:lang w:val="en-US"/>
        </w:rPr>
        <w:t>I</w:t>
      </w:r>
      <w:r w:rsidR="00617402">
        <w:rPr>
          <w:rFonts w:eastAsia="Times New Roman" w:cs="Times New Roman"/>
          <w:szCs w:val="20"/>
          <w:lang w:val="en-US"/>
        </w:rPr>
        <w:t xml:space="preserve">nformation flow </w:t>
      </w:r>
      <w:r w:rsidR="00423A9F">
        <w:rPr>
          <w:rFonts w:eastAsia="Times New Roman" w:cs="Times New Roman"/>
          <w:szCs w:val="20"/>
          <w:lang w:val="en-US"/>
        </w:rPr>
        <w:t xml:space="preserve">in market </w:t>
      </w:r>
      <w:r w:rsidR="00423A9F" w:rsidRPr="00D314AF">
        <w:rPr>
          <w:rFonts w:eastAsia="Times New Roman" w:cs="Times New Roman"/>
          <w:i/>
          <w:szCs w:val="20"/>
          <w:lang w:val="en-US"/>
        </w:rPr>
        <w:t>i</w:t>
      </w:r>
      <w:r w:rsidR="00423A9F">
        <w:rPr>
          <w:rFonts w:eastAsia="Times New Roman" w:cs="Times New Roman"/>
          <w:szCs w:val="20"/>
          <w:lang w:val="en-US"/>
        </w:rPr>
        <w:t xml:space="preserve"> </w:t>
      </w:r>
      <w:r w:rsidR="00942BD6">
        <w:rPr>
          <w:rFonts w:eastAsia="Times New Roman" w:cs="Times New Roman"/>
          <w:szCs w:val="20"/>
          <w:lang w:val="en-US"/>
        </w:rPr>
        <w:t xml:space="preserve">is defined as the variation of the efficient price in market </w:t>
      </w:r>
      <w:r w:rsidR="00942BD6" w:rsidRPr="007A0589">
        <w:rPr>
          <w:rFonts w:eastAsia="Times New Roman" w:cs="Times New Roman"/>
          <w:i/>
          <w:szCs w:val="20"/>
          <w:lang w:val="en-US"/>
        </w:rPr>
        <w:t>i</w:t>
      </w:r>
      <w:r w:rsidR="00942BD6">
        <w:rPr>
          <w:rFonts w:eastAsia="Times New Roman" w:cs="Times New Roman"/>
          <w:szCs w:val="20"/>
          <w:lang w:val="en-US"/>
        </w:rPr>
        <w:t xml:space="preserve"> and is captured </w:t>
      </w:r>
      <w:r w:rsidR="00617402">
        <w:rPr>
          <w:rFonts w:eastAsia="Times New Roman" w:cs="Times New Roman"/>
          <w:szCs w:val="20"/>
          <w:lang w:val="en-US"/>
        </w:rPr>
        <w:t xml:space="preserve">by the variance of </w:t>
      </w:r>
      <w:r w:rsidR="00617402" w:rsidRPr="00D41BDD">
        <w:rPr>
          <w:rFonts w:eastAsia="Times New Roman" w:cs="Times New Roman"/>
          <w:szCs w:val="20"/>
          <w:lang w:val="en-US"/>
        </w:rPr>
        <w:t>Δm</w:t>
      </w:r>
      <w:r w:rsidR="00423A9F" w:rsidRPr="00D41BDD">
        <w:rPr>
          <w:rFonts w:eastAsia="Times New Roman" w:cs="Times New Roman"/>
          <w:i/>
          <w:szCs w:val="20"/>
          <w:vertAlign w:val="subscript"/>
          <w:lang w:val="en-US"/>
        </w:rPr>
        <w:t>i,t</w:t>
      </w:r>
      <w:r w:rsidR="00942BD6">
        <w:rPr>
          <w:rFonts w:eastAsia="Times New Roman" w:cs="Times New Roman"/>
          <w:szCs w:val="20"/>
          <w:lang w:val="en-US"/>
        </w:rPr>
        <w:t xml:space="preserve">.  </w:t>
      </w:r>
      <w:r w:rsidR="00423A9F">
        <w:rPr>
          <w:rFonts w:eastAsia="Times New Roman" w:cs="Times New Roman"/>
          <w:szCs w:val="20"/>
          <w:lang w:val="en-US"/>
        </w:rPr>
        <w:t>The information share</w:t>
      </w:r>
      <w:r w:rsidR="00F435D4">
        <w:rPr>
          <w:rFonts w:eastAsia="Times New Roman" w:cs="Times New Roman"/>
          <w:szCs w:val="20"/>
          <w:lang w:val="en-US"/>
        </w:rPr>
        <w:t xml:space="preserve"> (IS)</w:t>
      </w:r>
      <w:r w:rsidR="00423A9F">
        <w:rPr>
          <w:rFonts w:eastAsia="Times New Roman" w:cs="Times New Roman"/>
          <w:szCs w:val="20"/>
          <w:lang w:val="en-US"/>
        </w:rPr>
        <w:t xml:space="preserve"> of market </w:t>
      </w:r>
      <w:r w:rsidR="00423A9F" w:rsidRPr="0054056C">
        <w:rPr>
          <w:rFonts w:eastAsia="Times New Roman" w:cs="Times New Roman"/>
          <w:i/>
          <w:szCs w:val="20"/>
          <w:lang w:val="en-US"/>
        </w:rPr>
        <w:t>i</w:t>
      </w:r>
      <w:r w:rsidR="00423A9F">
        <w:rPr>
          <w:rFonts w:eastAsia="Times New Roman" w:cs="Times New Roman"/>
          <w:szCs w:val="20"/>
          <w:lang w:val="en-US"/>
        </w:rPr>
        <w:t xml:space="preserve"> is given by </w:t>
      </w:r>
      <m:oMath>
        <m:r>
          <m:rPr>
            <m:sty m:val="p"/>
          </m:rPr>
          <w:rPr>
            <w:rFonts w:ascii="Cambria Math" w:hAnsi="Cambria Math" w:cs="Times New Roman"/>
            <w:szCs w:val="24"/>
            <w:lang w:val="en-US"/>
          </w:rPr>
          <m:t>I</m:t>
        </m:r>
        <m:sSub>
          <m:sSubPr>
            <m:ctrlPr>
              <w:rPr>
                <w:rFonts w:ascii="Cambria Math" w:hAnsi="Cambria Math" w:cs="Times New Roman"/>
                <w:szCs w:val="24"/>
                <w:lang w:val="en-US"/>
              </w:rPr>
            </m:ctrlPr>
          </m:sSubPr>
          <m:e>
            <m:r>
              <m:rPr>
                <m:sty m:val="p"/>
              </m:rPr>
              <w:rPr>
                <w:rFonts w:ascii="Cambria Math" w:hAnsi="Cambria Math" w:cs="Times New Roman"/>
                <w:szCs w:val="24"/>
                <w:lang w:val="en-US"/>
              </w:rPr>
              <m:t>S</m:t>
            </m:r>
          </m:e>
          <m:sub>
            <m:r>
              <m:rPr>
                <m:sty m:val="p"/>
              </m:rPr>
              <w:rPr>
                <w:rFonts w:ascii="Cambria Math" w:hAnsi="Cambria Math" w:cs="Times New Roman"/>
                <w:szCs w:val="24"/>
                <w:lang w:val="en-US"/>
              </w:rPr>
              <m:t>i</m:t>
            </m:r>
          </m:sub>
        </m:sSub>
        <m:r>
          <m:rPr>
            <m:sty m:val="p"/>
          </m:rPr>
          <w:rPr>
            <w:rFonts w:ascii="Cambria Math" w:hAnsi="Cambria Math" w:cs="Times New Roman"/>
            <w:szCs w:val="24"/>
            <w:lang w:val="en-US"/>
          </w:rPr>
          <m:t>=</m:t>
        </m:r>
        <m:f>
          <m:fPr>
            <m:ctrlPr>
              <w:rPr>
                <w:rFonts w:ascii="Cambria Math" w:hAnsi="Cambria Math" w:cs="Times New Roman"/>
                <w:szCs w:val="24"/>
                <w:lang w:val="en-US"/>
              </w:rPr>
            </m:ctrlPr>
          </m:fPr>
          <m:num>
            <m:r>
              <m:rPr>
                <m:sty m:val="p"/>
              </m:rPr>
              <w:rPr>
                <w:rFonts w:ascii="Cambria Math" w:hAnsi="Cambria Math" w:cs="Times New Roman"/>
                <w:szCs w:val="24"/>
                <w:lang w:val="en-US"/>
              </w:rPr>
              <m:t>var(Δ</m:t>
            </m:r>
            <m:sSub>
              <m:sSubPr>
                <m:ctrlPr>
                  <w:rPr>
                    <w:rFonts w:ascii="Cambria Math" w:hAnsi="Cambria Math" w:cs="Times New Roman"/>
                    <w:szCs w:val="24"/>
                    <w:lang w:val="en-US"/>
                  </w:rPr>
                </m:ctrlPr>
              </m:sSubPr>
              <m:e>
                <m:r>
                  <m:rPr>
                    <m:sty m:val="p"/>
                  </m:rPr>
                  <w:rPr>
                    <w:rFonts w:ascii="Cambria Math" w:hAnsi="Cambria Math" w:cs="Times New Roman"/>
                    <w:szCs w:val="24"/>
                    <w:lang w:val="en-US"/>
                  </w:rPr>
                  <m:t>m</m:t>
                </m:r>
              </m:e>
              <m:sub>
                <m:r>
                  <m:rPr>
                    <m:sty m:val="p"/>
                  </m:rPr>
                  <w:rPr>
                    <w:rFonts w:ascii="Cambria Math" w:hAnsi="Cambria Math" w:cs="Times New Roman"/>
                    <w:szCs w:val="24"/>
                    <w:lang w:val="en-US"/>
                  </w:rPr>
                  <m:t>i,t</m:t>
                </m:r>
              </m:sub>
            </m:sSub>
            <m:r>
              <m:rPr>
                <m:sty m:val="p"/>
              </m:rPr>
              <w:rPr>
                <w:rFonts w:ascii="Cambria Math" w:hAnsi="Cambria Math" w:cs="Times New Roman"/>
                <w:szCs w:val="24"/>
                <w:lang w:val="en-US"/>
              </w:rPr>
              <m:t>)</m:t>
            </m:r>
          </m:num>
          <m:den>
            <m:nary>
              <m:naryPr>
                <m:chr m:val="∑"/>
                <m:limLoc m:val="subSup"/>
                <m:ctrlPr>
                  <w:rPr>
                    <w:rFonts w:ascii="Cambria Math" w:hAnsi="Cambria Math" w:cs="Times New Roman"/>
                    <w:szCs w:val="24"/>
                    <w:lang w:val="en-US"/>
                  </w:rPr>
                </m:ctrlPr>
              </m:naryPr>
              <m:sub>
                <m:r>
                  <m:rPr>
                    <m:sty m:val="p"/>
                  </m:rPr>
                  <w:rPr>
                    <w:rFonts w:ascii="Cambria Math" w:hAnsi="Cambria Math" w:cs="Times New Roman"/>
                    <w:szCs w:val="24"/>
                    <w:lang w:val="en-US"/>
                  </w:rPr>
                  <m:t>j=1</m:t>
                </m:r>
              </m:sub>
              <m:sup>
                <m:r>
                  <m:rPr>
                    <m:sty m:val="p"/>
                  </m:rPr>
                  <w:rPr>
                    <w:rFonts w:ascii="Cambria Math" w:hAnsi="Cambria Math" w:cs="Times New Roman"/>
                    <w:szCs w:val="24"/>
                    <w:lang w:val="en-US"/>
                  </w:rPr>
                  <m:t>n</m:t>
                </m:r>
              </m:sup>
              <m:e>
                <m:r>
                  <m:rPr>
                    <m:sty m:val="p"/>
                  </m:rPr>
                  <w:rPr>
                    <w:rFonts w:ascii="Cambria Math" w:hAnsi="Cambria Math" w:cs="Times New Roman"/>
                    <w:szCs w:val="24"/>
                    <w:lang w:val="en-US"/>
                  </w:rPr>
                  <m:t>var(Δ</m:t>
                </m:r>
                <m:sSub>
                  <m:sSubPr>
                    <m:ctrlPr>
                      <w:rPr>
                        <w:rFonts w:ascii="Cambria Math" w:hAnsi="Cambria Math" w:cs="Times New Roman"/>
                        <w:szCs w:val="24"/>
                        <w:lang w:val="en-US"/>
                      </w:rPr>
                    </m:ctrlPr>
                  </m:sSubPr>
                  <m:e>
                    <m:r>
                      <m:rPr>
                        <m:sty m:val="p"/>
                      </m:rPr>
                      <w:rPr>
                        <w:rFonts w:ascii="Cambria Math" w:hAnsi="Cambria Math" w:cs="Times New Roman"/>
                        <w:szCs w:val="24"/>
                        <w:lang w:val="en-US"/>
                      </w:rPr>
                      <m:t>m</m:t>
                    </m:r>
                  </m:e>
                  <m:sub>
                    <m:r>
                      <m:rPr>
                        <m:sty m:val="p"/>
                      </m:rPr>
                      <w:rPr>
                        <w:rFonts w:ascii="Cambria Math" w:hAnsi="Cambria Math" w:cs="Times New Roman"/>
                        <w:szCs w:val="24"/>
                        <w:lang w:val="en-US"/>
                      </w:rPr>
                      <m:t>j,t</m:t>
                    </m:r>
                  </m:sub>
                </m:sSub>
                <m:r>
                  <m:rPr>
                    <m:sty m:val="p"/>
                  </m:rPr>
                  <w:rPr>
                    <w:rFonts w:ascii="Cambria Math" w:hAnsi="Cambria Math" w:cs="Times New Roman"/>
                    <w:szCs w:val="24"/>
                    <w:lang w:val="en-US"/>
                  </w:rPr>
                  <m:t>)</m:t>
                </m:r>
              </m:e>
            </m:nary>
          </m:den>
        </m:f>
      </m:oMath>
      <w:r w:rsidR="00C941AC">
        <w:rPr>
          <w:rFonts w:eastAsia="Times New Roman" w:cs="Times New Roman"/>
          <w:szCs w:val="24"/>
          <w:lang w:val="en-US"/>
        </w:rPr>
        <w:t xml:space="preserve">. </w:t>
      </w:r>
      <w:r w:rsidR="00B0509A">
        <w:rPr>
          <w:rFonts w:eastAsia="Times New Roman" w:cs="Times New Roman"/>
          <w:szCs w:val="24"/>
          <w:lang w:val="en-US"/>
        </w:rPr>
        <w:t>To measure var(Δm</w:t>
      </w:r>
      <w:r w:rsidR="00B0509A">
        <w:rPr>
          <w:rFonts w:eastAsia="Times New Roman" w:cs="Times New Roman"/>
          <w:szCs w:val="24"/>
          <w:vertAlign w:val="subscript"/>
          <w:lang w:val="en-US"/>
        </w:rPr>
        <w:t>i,t</w:t>
      </w:r>
      <w:r w:rsidR="00B0509A">
        <w:rPr>
          <w:rFonts w:eastAsia="Times New Roman" w:cs="Times New Roman"/>
          <w:szCs w:val="24"/>
          <w:lang w:val="en-US"/>
        </w:rPr>
        <w:t xml:space="preserve">), </w:t>
      </w:r>
      <w:r w:rsidR="00ED311F">
        <w:rPr>
          <w:rFonts w:eastAsia="Times New Roman" w:cs="Times New Roman"/>
          <w:szCs w:val="20"/>
          <w:lang w:val="en-US"/>
        </w:rPr>
        <w:fldChar w:fldCharType="begin"/>
      </w:r>
      <w:r w:rsidR="00B0509A">
        <w:rPr>
          <w:rFonts w:eastAsia="Times New Roman" w:cs="Times New Roman"/>
          <w:szCs w:val="20"/>
          <w:lang w:val="en-US"/>
        </w:rPr>
        <w:instrText xml:space="preserve"> ADDIN EN.CITE &lt;EndNote&gt;&lt;Cite&gt;&lt;Author&gt;Wang&lt;/Author&gt;&lt;Year&gt;2011&lt;/Year&gt;&lt;RecNum&gt;749&lt;/RecNum&gt;&lt;DisplayText&gt;Wang and Yang (2011)&lt;/DisplayText&gt;&lt;record&gt;&lt;rec-number&gt;749&lt;/rec-number&gt;&lt;foreign-keys&gt;&lt;key app="EN" db-id="szetpsas1ep5veesd5xvva5qdxwetsvpfs5x"&gt;749&lt;/key&gt;&lt;/foreign-keys&gt;&lt;ref-type name="Journal Article"&gt;17&lt;/ref-type&gt;&lt;contributors&gt;&lt;authors&gt;&lt;author&gt;Wang, Jianxin&lt;/author&gt;&lt;author&gt;Yang, Minxian&lt;/author&gt;&lt;/authors&gt;&lt;/contributors&gt;&lt;titles&gt;&lt;title&gt;Housewives of Tokyo versus the gnomes of Zurich: Measuring price discovery in sequential markets&lt;/title&gt;&lt;secondary-title&gt;Journal of Financial Markets&lt;/secondary-title&gt;&lt;/titles&gt;&lt;periodical&gt;&lt;full-title&gt;Journal of Financial Markets&lt;/full-title&gt;&lt;/periodical&gt;&lt;pages&gt;82-108&lt;/pages&gt;&lt;volume&gt;14&lt;/volume&gt;&lt;number&gt;1&lt;/number&gt;&lt;dates&gt;&lt;year&gt;2011&lt;/year&gt;&lt;/dates&gt;&lt;isbn&gt;1386-4181&lt;/isbn&gt;&lt;urls&gt;&lt;/urls&gt;&lt;/record&gt;&lt;/Cite&gt;&lt;/EndNote&gt;</w:instrText>
      </w:r>
      <w:r w:rsidR="00ED311F">
        <w:rPr>
          <w:rFonts w:eastAsia="Times New Roman" w:cs="Times New Roman"/>
          <w:szCs w:val="20"/>
          <w:lang w:val="en-US"/>
        </w:rPr>
        <w:fldChar w:fldCharType="separate"/>
      </w:r>
      <w:hyperlink w:anchor="_ENREF_39" w:tooltip="Wang, 2011 #749" w:history="1">
        <w:r w:rsidR="00C419D5">
          <w:rPr>
            <w:rFonts w:eastAsia="Times New Roman" w:cs="Times New Roman"/>
            <w:noProof/>
            <w:szCs w:val="20"/>
            <w:lang w:val="en-US"/>
          </w:rPr>
          <w:t>Wang and Yang (2011</w:t>
        </w:r>
      </w:hyperlink>
      <w:r w:rsidR="00B0509A">
        <w:rPr>
          <w:rFonts w:eastAsia="Times New Roman" w:cs="Times New Roman"/>
          <w:noProof/>
          <w:szCs w:val="20"/>
          <w:lang w:val="en-US"/>
        </w:rPr>
        <w:t>)</w:t>
      </w:r>
      <w:r w:rsidR="00ED311F">
        <w:rPr>
          <w:rFonts w:eastAsia="Times New Roman" w:cs="Times New Roman"/>
          <w:szCs w:val="20"/>
          <w:lang w:val="en-US"/>
        </w:rPr>
        <w:fldChar w:fldCharType="end"/>
      </w:r>
      <w:r w:rsidR="00B0509A">
        <w:rPr>
          <w:rFonts w:eastAsia="Times New Roman" w:cs="Times New Roman"/>
          <w:szCs w:val="20"/>
          <w:lang w:val="en-US"/>
        </w:rPr>
        <w:t xml:space="preserve"> suggest using the two-scale realized variance (TSRV) of </w:t>
      </w:r>
      <w:r w:rsidR="00ED311F">
        <w:rPr>
          <w:rFonts w:eastAsia="Times New Roman" w:cs="Times New Roman"/>
          <w:szCs w:val="20"/>
          <w:lang w:val="en-US"/>
        </w:rPr>
        <w:fldChar w:fldCharType="begin"/>
      </w:r>
      <w:r w:rsidR="00C419D5">
        <w:rPr>
          <w:rFonts w:eastAsia="Times New Roman" w:cs="Times New Roman"/>
          <w:szCs w:val="20"/>
          <w:lang w:val="en-US"/>
        </w:rPr>
        <w:instrText xml:space="preserve"> ADDIN EN.CITE &lt;EndNote&gt;&lt;Cite&gt;&lt;Author&gt;Zhang&lt;/Author&gt;&lt;Year&gt;2005&lt;/Year&gt;&lt;RecNum&gt;733&lt;/RecNum&gt;&lt;DisplayText&gt;Zhang, Mykland and Aït-Sahalia (2005)&lt;/DisplayText&gt;&lt;record&gt;&lt;rec-number&gt;733&lt;/rec-number&gt;&lt;foreign-keys&gt;&lt;key app="EN" db-id="szetpsas1ep5veesd5xvva5qdxwetsvpfs5x"&gt;733&lt;/key&gt;&lt;/foreign-keys&gt;&lt;ref-type name="Journal Article"&gt;17&lt;/ref-type&gt;&lt;contributors&gt;&lt;authors&gt;&lt;author&gt;Zhang, Lan&lt;/author&gt;&lt;author&gt;Mykland, Per A&lt;/author&gt;&lt;author&gt;Aït-Sahalia, Yacine&lt;/author&gt;&lt;/authors&gt;&lt;/contributors&gt;&lt;titles&gt;&lt;title&gt;A tale of two time scales&lt;/title&gt;&lt;secondary-title&gt;Journal of the American Statistical Association&lt;/secondary-title&gt;&lt;/titles&gt;&lt;periodical&gt;&lt;full-title&gt;Journal of the American Statistical Association&lt;/full-title&gt;&lt;/periodical&gt;&lt;pages&gt;1394-1411&lt;/pages&gt;&lt;volume&gt;100&lt;/volume&gt;&lt;number&gt;472&lt;/number&gt;&lt;dates&gt;&lt;year&gt;2005&lt;/year&gt;&lt;/dates&gt;&lt;urls&gt;&lt;/urls&gt;&lt;/record&gt;&lt;/Cite&gt;&lt;/EndNote&gt;</w:instrText>
      </w:r>
      <w:r w:rsidR="00ED311F">
        <w:rPr>
          <w:rFonts w:eastAsia="Times New Roman" w:cs="Times New Roman"/>
          <w:szCs w:val="20"/>
          <w:lang w:val="en-US"/>
        </w:rPr>
        <w:fldChar w:fldCharType="separate"/>
      </w:r>
      <w:hyperlink w:anchor="_ENREF_42" w:tooltip="Zhang, 2005 #733" w:history="1">
        <w:r w:rsidR="00C419D5">
          <w:rPr>
            <w:rFonts w:eastAsia="Times New Roman" w:cs="Times New Roman"/>
            <w:noProof/>
            <w:szCs w:val="20"/>
            <w:lang w:val="en-US"/>
          </w:rPr>
          <w:t>Zhang, Mykland and Aït-Sahalia (2005</w:t>
        </w:r>
      </w:hyperlink>
      <w:r w:rsidR="00C419D5">
        <w:rPr>
          <w:rFonts w:eastAsia="Times New Roman" w:cs="Times New Roman"/>
          <w:noProof/>
          <w:szCs w:val="20"/>
          <w:lang w:val="en-US"/>
        </w:rPr>
        <w:t>)</w:t>
      </w:r>
      <w:r w:rsidR="00ED311F">
        <w:rPr>
          <w:rFonts w:eastAsia="Times New Roman" w:cs="Times New Roman"/>
          <w:szCs w:val="20"/>
          <w:lang w:val="en-US"/>
        </w:rPr>
        <w:fldChar w:fldCharType="end"/>
      </w:r>
      <w:r w:rsidR="00B0509A">
        <w:rPr>
          <w:rFonts w:eastAsia="Times New Roman" w:cs="Times New Roman"/>
          <w:szCs w:val="20"/>
          <w:lang w:val="en-US"/>
        </w:rPr>
        <w:t>. TSRV removes the return noise that is serially correlated over time and is a consistent estimator of the true integrated variance driven by information.</w:t>
      </w:r>
    </w:p>
    <w:p w:rsidR="00C840AA" w:rsidRDefault="00ED311F" w:rsidP="00A11F7C">
      <w:pPr>
        <w:suppressAutoHyphens/>
        <w:rPr>
          <w:rFonts w:eastAsia="Times New Roman" w:cs="Times New Roman"/>
          <w:szCs w:val="20"/>
          <w:lang w:val="en-US"/>
        </w:rPr>
      </w:pPr>
      <w:r>
        <w:fldChar w:fldCharType="begin"/>
      </w:r>
      <w:r w:rsidR="00C419D5">
        <w:instrText xml:space="preserve"> ADDIN EN.CITE &lt;EndNote&gt;&lt;Cite&gt;&lt;Author&gt;Barndorff-Nielsen&lt;/Author&gt;&lt;Year&gt;2008&lt;/Year&gt;&lt;RecNum&gt;792&lt;/RecNum&gt;&lt;DisplayText&gt;Barndorff-Nielsen&lt;style face="italic"&gt; et al.&lt;/style&gt; (2008)&lt;/DisplayText&gt;&lt;record&gt;&lt;rec-number&gt;792&lt;/rec-number&gt;&lt;foreign-keys&gt;&lt;key app="EN" db-id="szetpsas1ep5veesd5xvva5qdxwetsvpfs5x"&gt;792&lt;/key&gt;&lt;/foreign-keys&gt;&lt;ref-type name="Journal Article"&gt;17&lt;/ref-type&gt;&lt;contributors&gt;&lt;authors&gt;&lt;author&gt;Barndorff-Nielsen, Ole E&lt;/author&gt;&lt;author&gt;Hansen, Peter Reinhard&lt;/author&gt;&lt;author&gt;Lunde, Asger&lt;/author&gt;&lt;author&gt;Shephard, Neil&lt;/author&gt;&lt;/authors&gt;&lt;/contributors&gt;&lt;titles&gt;&lt;title&gt;Designing realized kernels to measure the ex post variation of equity prices in the presence of noise&lt;/title&gt;&lt;secondary-title&gt;Econometrica&lt;/secondary-title&gt;&lt;/titles&gt;&lt;periodical&gt;&lt;full-title&gt;Econometrica&lt;/full-title&gt;&lt;/periodical&gt;&lt;pages&gt;1481-1536&lt;/pages&gt;&lt;volume&gt;76&lt;/volume&gt;&lt;number&gt;6&lt;/number&gt;&lt;dates&gt;&lt;year&gt;2008&lt;/year&gt;&lt;/dates&gt;&lt;isbn&gt;1468-0262&lt;/isbn&gt;&lt;urls&gt;&lt;/urls&gt;&lt;/record&gt;&lt;/Cite&gt;&lt;/EndNote&gt;</w:instrText>
      </w:r>
      <w:r>
        <w:fldChar w:fldCharType="separate"/>
      </w:r>
      <w:hyperlink w:anchor="_ENREF_4" w:tooltip="Barndorff-Nielsen, 2008 #792" w:history="1">
        <w:r w:rsidR="00C419D5">
          <w:rPr>
            <w:noProof/>
          </w:rPr>
          <w:t>Barndorff-Nielsen</w:t>
        </w:r>
        <w:r w:rsidR="00C419D5" w:rsidRPr="00C419D5">
          <w:rPr>
            <w:i/>
            <w:noProof/>
          </w:rPr>
          <w:t xml:space="preserve"> et al.</w:t>
        </w:r>
        <w:r w:rsidR="00C419D5">
          <w:rPr>
            <w:noProof/>
          </w:rPr>
          <w:t xml:space="preserve"> (2008</w:t>
        </w:r>
      </w:hyperlink>
      <w:r w:rsidR="00C419D5">
        <w:rPr>
          <w:noProof/>
        </w:rPr>
        <w:t>)</w:t>
      </w:r>
      <w:r>
        <w:fldChar w:fldCharType="end"/>
      </w:r>
      <w:r w:rsidR="00E22525">
        <w:rPr>
          <w:rFonts w:eastAsia="Times New Roman" w:cs="Times New Roman"/>
          <w:noProof/>
          <w:szCs w:val="20"/>
          <w:lang w:val="en-US"/>
        </w:rPr>
        <w:t xml:space="preserve"> </w:t>
      </w:r>
      <w:r w:rsidR="00C840AA">
        <w:rPr>
          <w:rFonts w:eastAsia="Times New Roman" w:cs="Times New Roman"/>
          <w:szCs w:val="20"/>
          <w:lang w:val="en-US"/>
        </w:rPr>
        <w:t xml:space="preserve">show that </w:t>
      </w:r>
      <w:r w:rsidR="0069458C">
        <w:rPr>
          <w:rFonts w:eastAsia="Times New Roman" w:cs="Times New Roman"/>
          <w:szCs w:val="20"/>
          <w:lang w:val="en-US"/>
        </w:rPr>
        <w:t xml:space="preserve">the </w:t>
      </w:r>
      <w:r w:rsidR="0069458C" w:rsidRPr="007A0589">
        <w:rPr>
          <w:rFonts w:eastAsia="Times New Roman" w:cs="Times New Roman"/>
          <w:i/>
          <w:szCs w:val="20"/>
          <w:lang w:val="en-US"/>
        </w:rPr>
        <w:t>k</w:t>
      </w:r>
      <w:r w:rsidR="0069458C">
        <w:rPr>
          <w:rFonts w:eastAsia="Times New Roman" w:cs="Times New Roman"/>
          <w:szCs w:val="20"/>
          <w:lang w:val="en-US"/>
        </w:rPr>
        <w:t xml:space="preserve">-subsampling </w:t>
      </w:r>
      <w:r w:rsidR="00C840AA">
        <w:rPr>
          <w:rFonts w:eastAsia="Times New Roman" w:cs="Times New Roman"/>
          <w:szCs w:val="20"/>
          <w:lang w:val="en-US"/>
        </w:rPr>
        <w:t xml:space="preserve">TSRV on a trading day </w:t>
      </w:r>
      <w:r w:rsidR="00C840AA" w:rsidRPr="007D75A2">
        <w:rPr>
          <w:rFonts w:eastAsia="Times New Roman" w:cs="Times New Roman"/>
          <w:i/>
          <w:szCs w:val="20"/>
          <w:lang w:val="en-US"/>
        </w:rPr>
        <w:t>t</w:t>
      </w:r>
      <w:r w:rsidR="00C840AA">
        <w:rPr>
          <w:rFonts w:eastAsia="Times New Roman" w:cs="Times New Roman"/>
          <w:szCs w:val="20"/>
          <w:lang w:val="en-US"/>
        </w:rPr>
        <w:t xml:space="preserve"> for market </w:t>
      </w:r>
      <w:r w:rsidR="00C840AA" w:rsidRPr="007D75A2">
        <w:rPr>
          <w:rFonts w:eastAsia="Times New Roman" w:cs="Times New Roman"/>
          <w:i/>
          <w:szCs w:val="20"/>
          <w:lang w:val="en-US"/>
        </w:rPr>
        <w:t>i</w:t>
      </w:r>
      <w:r w:rsidR="00C840AA">
        <w:rPr>
          <w:rFonts w:eastAsia="Times New Roman" w:cs="Times New Roman"/>
          <w:szCs w:val="20"/>
          <w:lang w:val="en-US"/>
        </w:rPr>
        <w:t xml:space="preserve"> </w:t>
      </w:r>
      <w:r w:rsidR="0069458C">
        <w:rPr>
          <w:rFonts w:eastAsia="Times New Roman" w:cs="Times New Roman"/>
          <w:szCs w:val="20"/>
          <w:lang w:val="en-US"/>
        </w:rPr>
        <w:t>is given by</w:t>
      </w:r>
      <w:r w:rsidR="00C840AA">
        <w:rPr>
          <w:rFonts w:eastAsia="Times New Roman" w:cs="Times New Roman"/>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2"/>
      </w:tblGrid>
      <w:tr w:rsidR="006A506C" w:rsidTr="006A506C">
        <w:tc>
          <w:tcPr>
            <w:tcW w:w="8613" w:type="dxa"/>
          </w:tcPr>
          <w:p w:rsidR="006A506C" w:rsidRDefault="006A506C" w:rsidP="009953BF">
            <w:pPr>
              <w:suppressAutoHyphens/>
              <w:ind w:firstLine="0"/>
              <w:jc w:val="center"/>
              <w:rPr>
                <w:rFonts w:eastAsia="Times New Roman" w:cs="Times New Roman"/>
                <w:szCs w:val="20"/>
                <w:lang w:val="en-US"/>
              </w:rPr>
            </w:pPr>
            <m:oMath>
              <m:r>
                <m:rPr>
                  <m:sty m:val="p"/>
                </m:rPr>
                <w:rPr>
                  <w:rFonts w:ascii="Cambria Math" w:hAnsi="Cambria Math" w:cs="Times New Roman"/>
                  <w:szCs w:val="24"/>
                  <w:lang w:val="en-US"/>
                </w:rPr>
                <m:t>TSR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w:rPr>
                      <w:rFonts w:ascii="Cambria Math" w:hAnsi="Cambria Math" w:cs="Times New Roman"/>
                      <w:szCs w:val="24"/>
                      <w:lang w:val="en-US"/>
                    </w:rPr>
                    <m:t>i,t</m:t>
                  </m:r>
                </m:sub>
              </m:sSub>
              <m:r>
                <m:rPr>
                  <m:sty m:val="p"/>
                </m:rPr>
                <w:rPr>
                  <w:rFonts w:ascii="Cambria Math" w:cs="Times New Roman"/>
                  <w:szCs w:val="24"/>
                  <w:lang w:val="en-US"/>
                </w:rPr>
                <m:t>=</m:t>
              </m:r>
              <m:f>
                <m:fPr>
                  <m:ctrlPr>
                    <w:rPr>
                      <w:rFonts w:ascii="Cambria Math" w:hAnsi="Cambria Math" w:cs="Times New Roman"/>
                      <w:szCs w:val="24"/>
                      <w:lang w:val="en-US"/>
                    </w:rPr>
                  </m:ctrlPr>
                </m:fPr>
                <m:num>
                  <m:r>
                    <m:rPr>
                      <m:sty m:val="p"/>
                    </m:rPr>
                    <w:rPr>
                      <w:rFonts w:ascii="Cambria Math" w:cs="Times New Roman"/>
                      <w:szCs w:val="24"/>
                      <w:lang w:val="en-US"/>
                    </w:rPr>
                    <m:t>1</m:t>
                  </m:r>
                </m:num>
                <m:den>
                  <m:r>
                    <m:rPr>
                      <m:sty m:val="p"/>
                    </m:rPr>
                    <w:rPr>
                      <w:rFonts w:ascii="Cambria Math" w:hAnsi="Cambria Math" w:cs="Times New Roman"/>
                      <w:szCs w:val="24"/>
                      <w:lang w:val="en-US"/>
                    </w:rPr>
                    <m:t>k</m:t>
                  </m:r>
                </m:den>
              </m:f>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j</m:t>
                  </m:r>
                  <m:r>
                    <m:rPr>
                      <m:sty m:val="p"/>
                    </m:rPr>
                    <w:rPr>
                      <w:rFonts w:ascii="Cambria Math" w:cs="Times New Roman"/>
                      <w:szCs w:val="24"/>
                      <w:lang w:val="en-US"/>
                    </w:rPr>
                    <m:t>=1</m:t>
                  </m:r>
                </m:sub>
                <m:sup>
                  <m:r>
                    <m:rPr>
                      <m:sty m:val="p"/>
                    </m:rPr>
                    <w:rPr>
                      <w:rFonts w:ascii="Cambria Math" w:hAnsi="Cambria Math" w:cs="Times New Roman"/>
                      <w:szCs w:val="24"/>
                      <w:lang w:val="en-US"/>
                    </w:rPr>
                    <m:t>k</m:t>
                  </m:r>
                </m:sup>
                <m:e>
                  <m:r>
                    <m:rPr>
                      <m:sty m:val="p"/>
                    </m:rPr>
                    <w:rPr>
                      <w:rFonts w:ascii="Cambria Math" w:hAnsi="Cambria Math" w:cs="Times New Roman"/>
                      <w:szCs w:val="24"/>
                      <w:lang w:val="en-US"/>
                    </w:rPr>
                    <m:t>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w:rPr>
                          <w:rFonts w:ascii="Cambria Math" w:hAnsi="Cambria Math" w:cs="Times New Roman"/>
                          <w:szCs w:val="24"/>
                          <w:lang w:val="en-US"/>
                        </w:rPr>
                        <m:t>i,t,j</m:t>
                      </m:r>
                    </m:sub>
                  </m:sSub>
                  <m:r>
                    <m:rPr>
                      <m:sty m:val="p"/>
                    </m:rPr>
                    <w:rPr>
                      <w:rFonts w:ascii="Cambria Math" w:hAnsi="Cambria Math" w:cs="Times New Roman"/>
                      <w:szCs w:val="24"/>
                      <w:lang w:val="en-US"/>
                    </w:rPr>
                    <m:t>-</m:t>
                  </m:r>
                  <m:f>
                    <m:fPr>
                      <m:ctrlPr>
                        <w:rPr>
                          <w:rFonts w:ascii="Cambria Math" w:hAnsi="Cambria Math" w:cs="Times New Roman"/>
                          <w:szCs w:val="24"/>
                          <w:lang w:val="en-US"/>
                        </w:rPr>
                      </m:ctrlPr>
                    </m:fPr>
                    <m:num>
                      <m:r>
                        <m:rPr>
                          <m:sty m:val="p"/>
                        </m:rPr>
                        <w:rPr>
                          <w:rFonts w:ascii="Cambria Math" w:hAnsi="Cambria Math" w:cs="Times New Roman"/>
                          <w:szCs w:val="24"/>
                          <w:lang w:val="en-US"/>
                        </w:rPr>
                        <m:t>m-k</m:t>
                      </m:r>
                      <m:r>
                        <m:rPr>
                          <m:sty m:val="p"/>
                        </m:rPr>
                        <w:rPr>
                          <w:rFonts w:ascii="Cambria Math" w:cs="Times New Roman"/>
                          <w:szCs w:val="24"/>
                          <w:lang w:val="en-US"/>
                        </w:rPr>
                        <m:t>+1</m:t>
                      </m:r>
                    </m:num>
                    <m:den>
                      <m:r>
                        <m:rPr>
                          <m:sty m:val="p"/>
                        </m:rPr>
                        <w:rPr>
                          <w:rFonts w:ascii="Cambria Math" w:hAnsi="Cambria Math" w:cs="Times New Roman"/>
                          <w:szCs w:val="24"/>
                          <w:lang w:val="en-US"/>
                        </w:rPr>
                        <m:t>mk</m:t>
                      </m:r>
                    </m:den>
                  </m:f>
                  <m:r>
                    <m:rPr>
                      <m:sty m:val="p"/>
                    </m:rPr>
                    <w:rPr>
                      <w:rFonts w:ascii="Cambria Math" w:hAnsi="Cambria Math" w:cs="Times New Roman"/>
                      <w:szCs w:val="24"/>
                      <w:lang w:val="en-US"/>
                    </w:rPr>
                    <m:t>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m:rPr>
                          <m:sty m:val="p"/>
                        </m:rPr>
                        <w:rPr>
                          <w:rFonts w:ascii="Cambria Math" w:hAnsi="Cambria Math" w:cs="Times New Roman"/>
                          <w:szCs w:val="24"/>
                          <w:lang w:val="en-US"/>
                        </w:rPr>
                        <m:t>i,t</m:t>
                      </m:r>
                    </m:sub>
                  </m:sSub>
                </m:e>
              </m:nary>
              <m:r>
                <m:rPr>
                  <m:sty m:val="p"/>
                </m:rPr>
                <w:rPr>
                  <w:rFonts w:ascii="Cambria Math" w:cs="Times New Roman"/>
                  <w:szCs w:val="24"/>
                  <w:lang w:val="en-US"/>
                </w:rPr>
                <m:t xml:space="preserve"> </m:t>
              </m:r>
            </m:oMath>
            <w:r>
              <w:rPr>
                <w:rFonts w:eastAsia="Times New Roman" w:cs="Times New Roman"/>
                <w:szCs w:val="24"/>
                <w:lang w:val="en-US"/>
              </w:rPr>
              <w:t xml:space="preserve"> </w:t>
            </w:r>
          </w:p>
        </w:tc>
        <w:tc>
          <w:tcPr>
            <w:tcW w:w="1242" w:type="dxa"/>
          </w:tcPr>
          <w:p w:rsidR="006A506C" w:rsidRDefault="006A506C" w:rsidP="00A11F7C">
            <w:pPr>
              <w:suppressAutoHyphens/>
              <w:ind w:firstLine="0"/>
              <w:rPr>
                <w:rFonts w:eastAsia="Times New Roman" w:cs="Times New Roman"/>
                <w:szCs w:val="20"/>
                <w:lang w:val="en-US"/>
              </w:rPr>
            </w:pPr>
            <w:r>
              <w:rPr>
                <w:rFonts w:eastAsia="Times New Roman" w:cs="Times New Roman"/>
                <w:szCs w:val="20"/>
                <w:lang w:val="en-US"/>
              </w:rPr>
              <w:t>(1)</w:t>
            </w:r>
          </w:p>
        </w:tc>
      </w:tr>
    </w:tbl>
    <w:p w:rsidR="003C553E" w:rsidRDefault="003C553E" w:rsidP="0069458C">
      <w:pPr>
        <w:suppressAutoHyphens/>
        <w:ind w:firstLine="0"/>
        <w:rPr>
          <w:rFonts w:eastAsia="Times New Roman" w:cs="Times New Roman"/>
          <w:szCs w:val="20"/>
          <w:lang w:val="en-US"/>
        </w:rPr>
      </w:pPr>
      <w:r>
        <w:rPr>
          <w:rFonts w:eastAsia="Times New Roman" w:cs="Times New Roman"/>
          <w:szCs w:val="20"/>
          <w:lang w:val="en-US"/>
        </w:rPr>
        <w:t>The variables are defined as</w:t>
      </w:r>
      <w:r w:rsidR="00977701">
        <w:rPr>
          <w:rFonts w:eastAsia="Times New Roman" w:cs="Times New Roman"/>
          <w:szCs w:val="20"/>
          <w:lang w:val="en-US"/>
        </w:rPr>
        <w:t>:</w:t>
      </w:r>
    </w:p>
    <w:p w:rsidR="0069458C" w:rsidRDefault="0069458C" w:rsidP="003C553E">
      <w:pPr>
        <w:pStyle w:val="ListParagraph"/>
        <w:numPr>
          <w:ilvl w:val="0"/>
          <w:numId w:val="5"/>
        </w:numPr>
        <w:suppressAutoHyphens/>
        <w:rPr>
          <w:rFonts w:eastAsia="Times New Roman" w:cs="Times New Roman"/>
          <w:szCs w:val="20"/>
          <w:lang w:val="en-US"/>
        </w:rPr>
      </w:pPr>
      <w:r w:rsidRPr="00D314AF">
        <w:rPr>
          <w:rFonts w:eastAsia="Times New Roman" w:cs="Times New Roman"/>
          <w:i/>
          <w:szCs w:val="20"/>
          <w:lang w:val="en-US"/>
        </w:rPr>
        <w:lastRenderedPageBreak/>
        <w:t>m</w:t>
      </w:r>
      <w:r w:rsidRPr="003C553E">
        <w:rPr>
          <w:rFonts w:eastAsia="Times New Roman" w:cs="Times New Roman"/>
          <w:szCs w:val="20"/>
          <w:lang w:val="en-US"/>
        </w:rPr>
        <w:t xml:space="preserve"> is th</w:t>
      </w:r>
      <w:r w:rsidR="003C553E">
        <w:rPr>
          <w:rFonts w:eastAsia="Times New Roman" w:cs="Times New Roman"/>
          <w:szCs w:val="20"/>
          <w:lang w:val="en-US"/>
        </w:rPr>
        <w:t>e number of intraday intervals.  In our case, m is the number of 1-</w:t>
      </w:r>
      <w:r w:rsidR="00A93694">
        <w:rPr>
          <w:rFonts w:eastAsia="Times New Roman" w:cs="Times New Roman"/>
          <w:szCs w:val="20"/>
          <w:lang w:val="en-US"/>
        </w:rPr>
        <w:t xml:space="preserve">minute </w:t>
      </w:r>
      <w:r w:rsidR="003C553E">
        <w:rPr>
          <w:rFonts w:eastAsia="Times New Roman" w:cs="Times New Roman"/>
          <w:szCs w:val="20"/>
          <w:lang w:val="en-US"/>
        </w:rPr>
        <w:t xml:space="preserve">intervals for each 8-hour market, i.e. </w:t>
      </w:r>
      <w:r w:rsidR="00F208E0" w:rsidRPr="00A06F4A">
        <w:rPr>
          <w:rFonts w:eastAsia="Times New Roman" w:cs="Times New Roman"/>
          <w:i/>
          <w:szCs w:val="20"/>
          <w:lang w:val="en-US"/>
        </w:rPr>
        <w:t>m</w:t>
      </w:r>
      <w:r w:rsidR="00F208E0">
        <w:rPr>
          <w:rFonts w:eastAsia="Times New Roman" w:cs="Times New Roman"/>
          <w:szCs w:val="20"/>
          <w:lang w:val="en-US"/>
        </w:rPr>
        <w:t xml:space="preserve"> = </w:t>
      </w:r>
      <w:r w:rsidR="00A93694">
        <w:rPr>
          <w:rFonts w:eastAsia="Times New Roman" w:cs="Times New Roman"/>
          <w:szCs w:val="20"/>
          <w:lang w:val="en-US"/>
        </w:rPr>
        <w:t>4</w:t>
      </w:r>
      <w:r w:rsidR="003C553E">
        <w:rPr>
          <w:rFonts w:eastAsia="Times New Roman" w:cs="Times New Roman"/>
          <w:szCs w:val="20"/>
          <w:lang w:val="en-US"/>
        </w:rPr>
        <w:t xml:space="preserve">80.  </w:t>
      </w:r>
    </w:p>
    <w:p w:rsidR="003C553E" w:rsidRPr="00FE5D15" w:rsidRDefault="007D7521" w:rsidP="003C553E">
      <w:pPr>
        <w:pStyle w:val="ListParagraph"/>
        <w:numPr>
          <w:ilvl w:val="0"/>
          <w:numId w:val="5"/>
        </w:numPr>
        <w:suppressAutoHyphens/>
        <w:rPr>
          <w:rFonts w:eastAsia="Times New Roman" w:cs="Times New Roman"/>
          <w:szCs w:val="20"/>
          <w:lang w:val="en-US"/>
        </w:rPr>
      </w:pPr>
      <m:oMath>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RV</m:t>
            </m:r>
          </m:e>
          <m:sub>
            <m:r>
              <w:rPr>
                <w:rFonts w:ascii="Cambria Math" w:eastAsia="Times New Roman" w:hAnsi="Cambria Math" w:cs="Times New Roman"/>
                <w:szCs w:val="20"/>
                <w:lang w:val="en-US"/>
              </w:rPr>
              <m:t>i,t</m:t>
            </m:r>
          </m:sub>
        </m:sSub>
        <m:r>
          <m:rPr>
            <m:sty m:val="p"/>
          </m:rPr>
          <w:rPr>
            <w:rFonts w:ascii="Cambria Math" w:eastAsia="Times New Roman" w:hAnsi="Cambria Math" w:cs="Times New Roman"/>
            <w:szCs w:val="20"/>
            <w:lang w:val="en-US"/>
          </w:rPr>
          <m:t>=</m:t>
        </m:r>
        <m:nary>
          <m:naryPr>
            <m:chr m:val="∑"/>
            <m:limLoc m:val="subSup"/>
            <m:ctrlPr>
              <w:rPr>
                <w:rFonts w:ascii="Cambria Math" w:eastAsia="Times New Roman" w:hAnsi="Cambria Math" w:cs="Times New Roman"/>
                <w:szCs w:val="20"/>
                <w:lang w:val="en-US"/>
              </w:rPr>
            </m:ctrlPr>
          </m:naryPr>
          <m:sub>
            <m:r>
              <m:rPr>
                <m:sty m:val="p"/>
              </m:rPr>
              <w:rPr>
                <w:rFonts w:ascii="Cambria Math" w:eastAsia="Times New Roman" w:hAnsi="Cambria Math" w:cs="Times New Roman"/>
                <w:szCs w:val="20"/>
                <w:lang w:val="en-US"/>
              </w:rPr>
              <m:t>s=1</m:t>
            </m:r>
          </m:sub>
          <m:sup>
            <m:r>
              <m:rPr>
                <m:sty m:val="p"/>
              </m:rPr>
              <w:rPr>
                <w:rFonts w:ascii="Cambria Math" w:eastAsia="Times New Roman" w:hAnsi="Cambria Math" w:cs="Times New Roman"/>
                <w:szCs w:val="20"/>
                <w:lang w:val="en-US"/>
              </w:rPr>
              <m:t>m</m:t>
            </m:r>
          </m:sup>
          <m:e>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r</m:t>
                </m:r>
              </m:e>
              <m:sub>
                <m:r>
                  <w:rPr>
                    <w:rFonts w:ascii="Cambria Math" w:eastAsia="Times New Roman" w:hAnsi="Cambria Math" w:cs="Times New Roman"/>
                    <w:szCs w:val="20"/>
                    <w:lang w:val="en-US"/>
                  </w:rPr>
                  <m:t>i,t,s</m:t>
                </m:r>
              </m:sub>
              <m:sup>
                <m:r>
                  <m:rPr>
                    <m:sty m:val="p"/>
                  </m:rPr>
                  <w:rPr>
                    <w:rFonts w:ascii="Cambria Math" w:eastAsia="Times New Roman" w:hAnsi="Cambria Math" w:cs="Times New Roman"/>
                    <w:szCs w:val="20"/>
                    <w:lang w:val="en-US"/>
                  </w:rPr>
                  <m:t>2</m:t>
                </m:r>
              </m:sup>
            </m:sSubSup>
          </m:e>
        </m:nary>
      </m:oMath>
      <w:r w:rsidR="003C553E" w:rsidRPr="00FE5D15">
        <w:rPr>
          <w:rFonts w:eastAsia="Times New Roman" w:cs="Times New Roman"/>
          <w:szCs w:val="20"/>
          <w:lang w:val="en-US"/>
        </w:rPr>
        <w:t xml:space="preserve"> and r</w:t>
      </w:r>
      <w:r w:rsidR="003C553E" w:rsidRPr="0054056C">
        <w:rPr>
          <w:rFonts w:eastAsia="Times New Roman" w:cs="Times New Roman"/>
          <w:i/>
          <w:szCs w:val="20"/>
          <w:vertAlign w:val="subscript"/>
          <w:lang w:val="en-US"/>
        </w:rPr>
        <w:t>i,t,s</w:t>
      </w:r>
      <w:r w:rsidR="003C553E" w:rsidRPr="00FE5D15">
        <w:rPr>
          <w:rFonts w:eastAsia="Times New Roman" w:cs="Times New Roman"/>
          <w:szCs w:val="20"/>
          <w:lang w:val="en-US"/>
        </w:rPr>
        <w:t xml:space="preserve"> is the 1-</w:t>
      </w:r>
      <w:r w:rsidR="00A93694">
        <w:rPr>
          <w:rFonts w:eastAsia="Times New Roman" w:cs="Times New Roman"/>
          <w:szCs w:val="20"/>
          <w:lang w:val="en-US"/>
        </w:rPr>
        <w:t>minute</w:t>
      </w:r>
      <w:r w:rsidR="00A93694" w:rsidRPr="00FE5D15">
        <w:rPr>
          <w:rFonts w:eastAsia="Times New Roman" w:cs="Times New Roman"/>
          <w:szCs w:val="20"/>
          <w:lang w:val="en-US"/>
        </w:rPr>
        <w:t xml:space="preserve"> </w:t>
      </w:r>
      <w:r w:rsidR="003C553E" w:rsidRPr="00FE5D15">
        <w:rPr>
          <w:rFonts w:eastAsia="Times New Roman" w:cs="Times New Roman"/>
          <w:szCs w:val="20"/>
          <w:lang w:val="en-US"/>
        </w:rPr>
        <w:t xml:space="preserve">return in interval </w:t>
      </w:r>
      <w:r w:rsidR="003C553E" w:rsidRPr="007A0589">
        <w:rPr>
          <w:rFonts w:eastAsia="Times New Roman" w:cs="Times New Roman"/>
          <w:i/>
          <w:szCs w:val="20"/>
          <w:lang w:val="en-US"/>
        </w:rPr>
        <w:t>s</w:t>
      </w:r>
      <w:r w:rsidR="003C553E" w:rsidRPr="00FE5D15">
        <w:rPr>
          <w:rFonts w:eastAsia="Times New Roman" w:cs="Times New Roman"/>
          <w:szCs w:val="20"/>
          <w:lang w:val="en-US"/>
        </w:rPr>
        <w:t xml:space="preserve">. </w:t>
      </w:r>
    </w:p>
    <w:p w:rsidR="003C553E" w:rsidRDefault="003C553E" w:rsidP="003C553E">
      <w:pPr>
        <w:pStyle w:val="ListParagraph"/>
        <w:numPr>
          <w:ilvl w:val="0"/>
          <w:numId w:val="5"/>
        </w:numPr>
        <w:suppressAutoHyphens/>
        <w:rPr>
          <w:rFonts w:eastAsia="Times New Roman" w:cs="Times New Roman"/>
          <w:szCs w:val="20"/>
          <w:lang w:val="en-US"/>
        </w:rPr>
      </w:pPr>
      <w:r w:rsidRPr="00D314AF">
        <w:rPr>
          <w:rFonts w:eastAsia="Times New Roman" w:cs="Times New Roman"/>
          <w:i/>
          <w:szCs w:val="20"/>
          <w:lang w:val="en-US"/>
        </w:rPr>
        <w:t>k</w:t>
      </w:r>
      <w:r>
        <w:rPr>
          <w:rFonts w:eastAsia="Times New Roman" w:cs="Times New Roman"/>
          <w:szCs w:val="20"/>
          <w:lang w:val="en-US"/>
        </w:rPr>
        <w:t xml:space="preserve"> is the number of sub-grids</w:t>
      </w:r>
      <w:r w:rsidR="001979F4">
        <w:rPr>
          <w:rFonts w:eastAsia="Times New Roman" w:cs="Times New Roman"/>
          <w:szCs w:val="20"/>
          <w:lang w:val="en-US"/>
        </w:rPr>
        <w:t xml:space="preserve"> on 1-</w:t>
      </w:r>
      <w:r w:rsidR="00A93694">
        <w:rPr>
          <w:rFonts w:eastAsia="Times New Roman" w:cs="Times New Roman"/>
          <w:szCs w:val="20"/>
          <w:lang w:val="en-US"/>
        </w:rPr>
        <w:t xml:space="preserve">minute </w:t>
      </w:r>
      <w:r w:rsidR="001979F4">
        <w:rPr>
          <w:rFonts w:eastAsia="Times New Roman" w:cs="Times New Roman"/>
          <w:szCs w:val="20"/>
          <w:lang w:val="en-US"/>
        </w:rPr>
        <w:t xml:space="preserve">grid.  </w:t>
      </w:r>
      <w:r>
        <w:rPr>
          <w:rFonts w:eastAsia="Times New Roman" w:cs="Times New Roman"/>
          <w:szCs w:val="20"/>
          <w:lang w:val="en-US"/>
        </w:rPr>
        <w:t>We resample at 5-minute intervals</w:t>
      </w:r>
      <w:r w:rsidR="001979F4">
        <w:rPr>
          <w:rFonts w:eastAsia="Times New Roman" w:cs="Times New Roman"/>
          <w:szCs w:val="20"/>
          <w:lang w:val="en-US"/>
        </w:rPr>
        <w:t xml:space="preserve">, therefore </w:t>
      </w:r>
      <w:r w:rsidR="001979F4" w:rsidRPr="009B2D23">
        <w:rPr>
          <w:rFonts w:eastAsia="Times New Roman" w:cs="Times New Roman"/>
          <w:i/>
          <w:szCs w:val="20"/>
          <w:lang w:val="en-US"/>
        </w:rPr>
        <w:t>k</w:t>
      </w:r>
      <w:r w:rsidR="001979F4">
        <w:rPr>
          <w:rFonts w:eastAsia="Times New Roman" w:cs="Times New Roman"/>
          <w:szCs w:val="20"/>
          <w:lang w:val="en-US"/>
        </w:rPr>
        <w:t xml:space="preserve"> = </w:t>
      </w:r>
      <w:r w:rsidR="00A93694">
        <w:rPr>
          <w:rFonts w:eastAsia="Times New Roman" w:cs="Times New Roman"/>
          <w:szCs w:val="20"/>
          <w:lang w:val="en-US"/>
        </w:rPr>
        <w:t>5</w:t>
      </w:r>
      <w:r>
        <w:rPr>
          <w:rFonts w:eastAsia="Times New Roman" w:cs="Times New Roman"/>
          <w:szCs w:val="20"/>
          <w:lang w:val="en-US"/>
        </w:rPr>
        <w:t xml:space="preserve">.  </w:t>
      </w:r>
      <w:r w:rsidR="00073F71">
        <w:rPr>
          <w:rFonts w:eastAsia="Times New Roman" w:cs="Times New Roman"/>
          <w:szCs w:val="20"/>
          <w:lang w:val="en-US"/>
        </w:rPr>
        <w:t xml:space="preserve">Each resampling </w:t>
      </w:r>
      <w:r w:rsidR="00073F71" w:rsidRPr="00F435D4">
        <w:rPr>
          <w:rFonts w:eastAsia="Times New Roman" w:cs="Times New Roman"/>
          <w:i/>
          <w:szCs w:val="20"/>
          <w:lang w:val="en-US"/>
        </w:rPr>
        <w:t>j</w:t>
      </w:r>
      <w:r w:rsidR="00073F71">
        <w:rPr>
          <w:rFonts w:eastAsia="Times New Roman" w:cs="Times New Roman"/>
          <w:szCs w:val="20"/>
          <w:lang w:val="en-US"/>
        </w:rPr>
        <w:t xml:space="preserve"> starts at a different 1-</w:t>
      </w:r>
      <w:r w:rsidR="00954BA0">
        <w:rPr>
          <w:rFonts w:eastAsia="Times New Roman" w:cs="Times New Roman"/>
          <w:szCs w:val="20"/>
          <w:lang w:val="en-US"/>
        </w:rPr>
        <w:t xml:space="preserve">minute </w:t>
      </w:r>
      <w:r w:rsidR="00073F71">
        <w:rPr>
          <w:rFonts w:eastAsia="Times New Roman" w:cs="Times New Roman"/>
          <w:szCs w:val="20"/>
          <w:lang w:val="en-US"/>
        </w:rPr>
        <w:t xml:space="preserve">grid.  </w:t>
      </w:r>
    </w:p>
    <w:p w:rsidR="00073F71" w:rsidRPr="003C553E" w:rsidRDefault="006169A8" w:rsidP="003C553E">
      <w:pPr>
        <w:pStyle w:val="ListParagraph"/>
        <w:numPr>
          <w:ilvl w:val="0"/>
          <w:numId w:val="5"/>
        </w:numPr>
        <w:suppressAutoHyphens/>
        <w:rPr>
          <w:rFonts w:eastAsia="Times New Roman" w:cs="Times New Roman"/>
          <w:szCs w:val="20"/>
          <w:lang w:val="en-US"/>
        </w:rPr>
      </w:pPr>
      <w:r>
        <w:rPr>
          <w:rFonts w:eastAsia="Times New Roman" w:cs="Times New Roman"/>
          <w:szCs w:val="20"/>
          <w:lang w:val="en-US"/>
        </w:rPr>
        <w:t>RV</w:t>
      </w:r>
      <w:r w:rsidRPr="0054056C">
        <w:rPr>
          <w:rFonts w:eastAsia="Times New Roman" w:cs="Times New Roman"/>
          <w:i/>
          <w:szCs w:val="20"/>
          <w:vertAlign w:val="subscript"/>
          <w:lang w:val="en-US"/>
        </w:rPr>
        <w:t>i,t,j</w:t>
      </w:r>
      <w:r w:rsidRPr="0054056C">
        <w:rPr>
          <w:rFonts w:eastAsia="Times New Roman" w:cs="Times New Roman"/>
          <w:i/>
          <w:szCs w:val="20"/>
          <w:lang w:val="en-US"/>
        </w:rPr>
        <w:t xml:space="preserve"> </w:t>
      </w:r>
      <w:r>
        <w:rPr>
          <w:rFonts w:eastAsia="Times New Roman" w:cs="Times New Roman"/>
          <w:szCs w:val="20"/>
          <w:lang w:val="en-US"/>
        </w:rPr>
        <w:t xml:space="preserve">is the </w:t>
      </w:r>
      <w:r w:rsidRPr="0054056C">
        <w:rPr>
          <w:rFonts w:eastAsia="Times New Roman" w:cs="Times New Roman"/>
          <w:i/>
          <w:szCs w:val="20"/>
          <w:lang w:val="en-US"/>
        </w:rPr>
        <w:t>j</w:t>
      </w:r>
      <w:r w:rsidRPr="006169A8">
        <w:rPr>
          <w:rFonts w:eastAsia="Times New Roman" w:cs="Times New Roman"/>
          <w:szCs w:val="20"/>
          <w:vertAlign w:val="superscript"/>
          <w:lang w:val="en-US"/>
        </w:rPr>
        <w:t>th</w:t>
      </w:r>
      <w:r>
        <w:rPr>
          <w:rFonts w:eastAsia="Times New Roman" w:cs="Times New Roman"/>
          <w:szCs w:val="20"/>
          <w:lang w:val="en-US"/>
        </w:rPr>
        <w:t xml:space="preserve"> RV based on 5-minute resampling, each </w:t>
      </w:r>
      <w:r w:rsidR="001979F4" w:rsidRPr="007A0589">
        <w:rPr>
          <w:rFonts w:eastAsia="Times New Roman" w:cs="Times New Roman"/>
          <w:i/>
          <w:szCs w:val="20"/>
          <w:lang w:val="en-US"/>
        </w:rPr>
        <w:t>j</w:t>
      </w:r>
      <w:r w:rsidR="001979F4">
        <w:rPr>
          <w:rFonts w:eastAsia="Times New Roman" w:cs="Times New Roman"/>
          <w:szCs w:val="20"/>
          <w:lang w:val="en-US"/>
        </w:rPr>
        <w:t xml:space="preserve"> </w:t>
      </w:r>
      <w:r>
        <w:rPr>
          <w:rFonts w:eastAsia="Times New Roman" w:cs="Times New Roman"/>
          <w:szCs w:val="20"/>
          <w:lang w:val="en-US"/>
        </w:rPr>
        <w:t>starting from a different 1-</w:t>
      </w:r>
      <w:r w:rsidR="00A93694">
        <w:rPr>
          <w:rFonts w:eastAsia="Times New Roman" w:cs="Times New Roman"/>
          <w:szCs w:val="20"/>
          <w:lang w:val="en-US"/>
        </w:rPr>
        <w:t xml:space="preserve">minute </w:t>
      </w:r>
      <w:r>
        <w:rPr>
          <w:rFonts w:eastAsia="Times New Roman" w:cs="Times New Roman"/>
          <w:szCs w:val="20"/>
          <w:lang w:val="en-US"/>
        </w:rPr>
        <w:t xml:space="preserve">grid.  </w:t>
      </w:r>
    </w:p>
    <w:p w:rsidR="0069458C" w:rsidRDefault="001979F4" w:rsidP="00A11F7C">
      <w:pPr>
        <w:suppressAutoHyphens/>
        <w:rPr>
          <w:rFonts w:eastAsia="Times New Roman" w:cs="Times New Roman"/>
          <w:szCs w:val="20"/>
          <w:lang w:val="en-US"/>
        </w:rPr>
      </w:pPr>
      <w:r>
        <w:rPr>
          <w:rFonts w:eastAsia="Times New Roman" w:cs="Times New Roman"/>
          <w:szCs w:val="20"/>
          <w:lang w:val="en-US"/>
        </w:rPr>
        <w:t xml:space="preserve">Theorem 6 of </w:t>
      </w:r>
      <w:r w:rsidR="00ED311F">
        <w:rPr>
          <w:rFonts w:eastAsia="Times New Roman" w:cs="Times New Roman"/>
          <w:szCs w:val="20"/>
          <w:lang w:val="en-US"/>
        </w:rPr>
        <w:fldChar w:fldCharType="begin"/>
      </w:r>
      <w:r w:rsidR="009B6EF1">
        <w:rPr>
          <w:rFonts w:eastAsia="Times New Roman" w:cs="Times New Roman"/>
          <w:szCs w:val="20"/>
          <w:lang w:val="en-US"/>
        </w:rPr>
        <w:instrText xml:space="preserve"> ADDIN EN.CITE &lt;EndNote&gt;&lt;Cite&gt;&lt;Author&gt;Barndorff-Nielsen&lt;/Author&gt;&lt;Year&gt;2008&lt;/Year&gt;&lt;RecNum&gt;792&lt;/RecNum&gt;&lt;DisplayText&gt;Barndorff-Nielsen&lt;style face="italic"&gt; et al.&lt;/style&gt; (2008)&lt;/DisplayText&gt;&lt;record&gt;&lt;rec-number&gt;792&lt;/rec-number&gt;&lt;foreign-keys&gt;&lt;key app="EN" db-id="szetpsas1ep5veesd5xvva5qdxwetsvpfs5x"&gt;792&lt;/key&gt;&lt;/foreign-keys&gt;&lt;ref-type name="Journal Article"&gt;17&lt;/ref-type&gt;&lt;contributors&gt;&lt;authors&gt;&lt;author&gt;Barndorff-Nielsen, Ole E&lt;/author&gt;&lt;author&gt;Hansen, Peter Reinhard&lt;/author&gt;&lt;author&gt;Lunde, Asger&lt;/author&gt;&lt;author&gt;Shephard, Neil&lt;/author&gt;&lt;/authors&gt;&lt;/contributors&gt;&lt;titles&gt;&lt;title&gt;Designing realized kernels to measure the ex post variation of equity prices in the presence of noise&lt;/title&gt;&lt;secondary-title&gt;Econometrica&lt;/secondary-title&gt;&lt;/titles&gt;&lt;periodical&gt;&lt;full-title&gt;Econometrica&lt;/full-title&gt;&lt;/periodical&gt;&lt;pages&gt;1481-1536&lt;/pages&gt;&lt;volume&gt;76&lt;/volume&gt;&lt;number&gt;6&lt;/number&gt;&lt;dates&gt;&lt;year&gt;2008&lt;/year&gt;&lt;/dates&gt;&lt;isbn&gt;1468-0262&lt;/isbn&gt;&lt;urls&gt;&lt;/urls&gt;&lt;/record&gt;&lt;/Cite&gt;&lt;/EndNote&gt;</w:instrText>
      </w:r>
      <w:r w:rsidR="00ED311F">
        <w:rPr>
          <w:rFonts w:eastAsia="Times New Roman" w:cs="Times New Roman"/>
          <w:szCs w:val="20"/>
          <w:lang w:val="en-US"/>
        </w:rPr>
        <w:fldChar w:fldCharType="separate"/>
      </w:r>
      <w:hyperlink w:anchor="_ENREF_4" w:tooltip="Barndorff-Nielsen, 2008 #792" w:history="1">
        <w:r w:rsidR="00C419D5">
          <w:rPr>
            <w:rFonts w:eastAsia="Times New Roman" w:cs="Times New Roman"/>
            <w:noProof/>
            <w:szCs w:val="20"/>
            <w:lang w:val="en-US"/>
          </w:rPr>
          <w:t>Barndorff-Nielsen</w:t>
        </w:r>
        <w:r w:rsidR="00C419D5" w:rsidRPr="009B6EF1">
          <w:rPr>
            <w:rFonts w:eastAsia="Times New Roman" w:cs="Times New Roman"/>
            <w:i/>
            <w:noProof/>
            <w:szCs w:val="20"/>
            <w:lang w:val="en-US"/>
          </w:rPr>
          <w:t xml:space="preserve"> et al.</w:t>
        </w:r>
        <w:r w:rsidR="00C419D5">
          <w:rPr>
            <w:rFonts w:eastAsia="Times New Roman" w:cs="Times New Roman"/>
            <w:noProof/>
            <w:szCs w:val="20"/>
            <w:lang w:val="en-US"/>
          </w:rPr>
          <w:t xml:space="preserve"> (2008</w:t>
        </w:r>
      </w:hyperlink>
      <w:r w:rsidR="009B6EF1">
        <w:rPr>
          <w:rFonts w:eastAsia="Times New Roman" w:cs="Times New Roman"/>
          <w:noProof/>
          <w:szCs w:val="20"/>
          <w:lang w:val="en-US"/>
        </w:rPr>
        <w:t>)</w:t>
      </w:r>
      <w:r w:rsidR="00ED311F">
        <w:rPr>
          <w:rFonts w:eastAsia="Times New Roman" w:cs="Times New Roman"/>
          <w:szCs w:val="20"/>
          <w:lang w:val="en-US"/>
        </w:rPr>
        <w:fldChar w:fldCharType="end"/>
      </w:r>
      <w:r w:rsidR="00DB2ABB">
        <w:rPr>
          <w:rFonts w:eastAsia="Times New Roman" w:cs="Times New Roman"/>
          <w:szCs w:val="20"/>
          <w:lang w:val="en-US"/>
        </w:rPr>
        <w:t xml:space="preserve"> </w:t>
      </w:r>
      <w:r>
        <w:rPr>
          <w:rFonts w:eastAsia="Times New Roman" w:cs="Times New Roman"/>
          <w:szCs w:val="20"/>
          <w:lang w:val="en-US"/>
        </w:rPr>
        <w:t>shows that</w:t>
      </w:r>
      <w:r w:rsidR="00977701">
        <w:rPr>
          <w:rFonts w:eastAsia="Times New Roman" w:cs="Times New Roman"/>
          <w:szCs w:val="20"/>
          <w:lang w:val="en-US"/>
        </w:rPr>
        <w:t>:</w:t>
      </w:r>
      <w:r>
        <w:rPr>
          <w:rFonts w:eastAsia="Times New Roman" w:cs="Times New Roman"/>
          <w:szCs w:val="20"/>
          <w:lang w:val="en-U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242"/>
      </w:tblGrid>
      <w:tr w:rsidR="00B82415" w:rsidTr="006A506C">
        <w:trPr>
          <w:trHeight w:val="616"/>
        </w:trPr>
        <w:tc>
          <w:tcPr>
            <w:tcW w:w="4370" w:type="pct"/>
            <w:vAlign w:val="center"/>
          </w:tcPr>
          <w:p w:rsidR="00B82415" w:rsidRPr="00B82415" w:rsidRDefault="00B82415" w:rsidP="00062757">
            <w:pPr>
              <w:suppressAutoHyphens/>
              <w:ind w:firstLine="0"/>
              <w:jc w:val="center"/>
              <w:rPr>
                <w:rFonts w:eastAsia="Times New Roman" w:cs="Times New Roman"/>
                <w:szCs w:val="20"/>
                <w:lang w:val="en-US"/>
              </w:rPr>
            </w:pPr>
            <m:oMath>
              <m:r>
                <m:rPr>
                  <m:sty m:val="p"/>
                </m:rPr>
                <w:rPr>
                  <w:rFonts w:ascii="Cambria Math" w:hAnsi="Cambria Math" w:cs="Times New Roman"/>
                  <w:szCs w:val="24"/>
                  <w:lang w:val="en-US"/>
                </w:rPr>
                <m:t>TSR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w:rPr>
                      <w:rFonts w:ascii="Cambria Math" w:hAnsi="Cambria Math" w:cs="Times New Roman"/>
                      <w:szCs w:val="24"/>
                      <w:lang w:val="en-US"/>
                    </w:rPr>
                    <m:t>i,t</m:t>
                  </m:r>
                </m:sub>
              </m:sSub>
              <m:r>
                <m:rPr>
                  <m:sty m:val="p"/>
                </m:rPr>
                <w:rPr>
                  <w:rFonts w:ascii="Cambria Math" w:cs="Times New Roman"/>
                  <w:szCs w:val="24"/>
                  <w:lang w:val="en-US"/>
                </w:rPr>
                <m:t>=</m:t>
              </m:r>
              <m:d>
                <m:dPr>
                  <m:ctrlPr>
                    <w:rPr>
                      <w:rFonts w:ascii="Cambria Math" w:hAnsi="Cambria Math" w:cs="Times New Roman"/>
                      <w:szCs w:val="24"/>
                      <w:lang w:val="en-US"/>
                    </w:rPr>
                  </m:ctrlPr>
                </m:dPr>
                <m:e>
                  <m:r>
                    <m:rPr>
                      <m:sty m:val="p"/>
                    </m:rPr>
                    <w:rPr>
                      <w:rFonts w:ascii="Cambria Math" w:cs="Times New Roman"/>
                      <w:szCs w:val="24"/>
                      <w:lang w:val="en-US"/>
                    </w:rPr>
                    <m:t>1</m:t>
                  </m:r>
                  <m:r>
                    <m:rPr>
                      <m:sty m:val="p"/>
                    </m:rPr>
                    <w:rPr>
                      <w:rFonts w:ascii="Cambria Math" w:cs="Times New Roman"/>
                      <w:szCs w:val="24"/>
                      <w:lang w:val="en-US"/>
                    </w:rPr>
                    <m:t>-</m:t>
                  </m:r>
                  <m:f>
                    <m:fPr>
                      <m:ctrlPr>
                        <w:rPr>
                          <w:rFonts w:ascii="Cambria Math" w:hAnsi="Cambria Math" w:cs="Times New Roman"/>
                          <w:szCs w:val="24"/>
                          <w:lang w:val="en-US"/>
                        </w:rPr>
                      </m:ctrlPr>
                    </m:fPr>
                    <m:num>
                      <m:r>
                        <m:rPr>
                          <m:sty m:val="p"/>
                        </m:rPr>
                        <w:rPr>
                          <w:rFonts w:ascii="Cambria Math" w:hAnsi="Cambria Math" w:cs="Times New Roman"/>
                          <w:szCs w:val="24"/>
                          <w:lang w:val="en-US"/>
                        </w:rPr>
                        <m:t>m-k</m:t>
                      </m:r>
                      <m:r>
                        <m:rPr>
                          <m:sty m:val="p"/>
                        </m:rPr>
                        <w:rPr>
                          <w:rFonts w:ascii="Cambria Math" w:cs="Times New Roman"/>
                          <w:szCs w:val="24"/>
                          <w:lang w:val="en-US"/>
                        </w:rPr>
                        <m:t>+1</m:t>
                      </m:r>
                    </m:num>
                    <m:den>
                      <m:r>
                        <m:rPr>
                          <m:sty m:val="p"/>
                        </m:rPr>
                        <w:rPr>
                          <w:rFonts w:ascii="Cambria Math" w:hAnsi="Cambria Math" w:cs="Times New Roman"/>
                          <w:szCs w:val="24"/>
                          <w:lang w:val="en-US"/>
                        </w:rPr>
                        <m:t>mk</m:t>
                      </m:r>
                    </m:den>
                  </m:f>
                </m:e>
              </m:d>
              <m:sSub>
                <m:sSubPr>
                  <m:ctrlPr>
                    <w:rPr>
                      <w:rFonts w:ascii="Cambria Math" w:hAnsi="Cambria Math" w:cs="Times New Roman"/>
                      <w:szCs w:val="24"/>
                      <w:lang w:val="en-US"/>
                    </w:rPr>
                  </m:ctrlPr>
                </m:sSubPr>
                <m:e>
                  <m:acc>
                    <m:accPr>
                      <m:ctrlPr>
                        <w:rPr>
                          <w:rFonts w:ascii="Cambria Math" w:hAnsi="Cambria Math" w:cs="Times New Roman"/>
                          <w:szCs w:val="24"/>
                          <w:lang w:val="en-US"/>
                        </w:rPr>
                      </m:ctrlPr>
                    </m:accPr>
                    <m:e>
                      <m:r>
                        <m:rPr>
                          <m:sty m:val="p"/>
                        </m:rPr>
                        <w:rPr>
                          <w:rFonts w:ascii="Cambria Math" w:hAnsi="Cambria Math" w:cs="Times New Roman"/>
                          <w:szCs w:val="24"/>
                          <w:lang w:val="en-US"/>
                        </w:rPr>
                        <m:t>γ</m:t>
                      </m:r>
                    </m:e>
                  </m:acc>
                </m:e>
                <m:sub>
                  <m:r>
                    <m:rPr>
                      <m:sty m:val="p"/>
                    </m:rPr>
                    <w:rPr>
                      <w:rFonts w:ascii="Cambria Math" w:cs="Times New Roman"/>
                      <w:szCs w:val="24"/>
                      <w:lang w:val="en-US"/>
                    </w:rPr>
                    <m:t>i,t,0</m:t>
                  </m:r>
                </m:sub>
              </m:sSub>
              <m:r>
                <m:rPr>
                  <m:sty m:val="p"/>
                </m:rPr>
                <w:rPr>
                  <w:rFonts w:ascii="Cambria Math" w:cs="Times New Roman"/>
                  <w:szCs w:val="24"/>
                  <w:lang w:val="en-US"/>
                </w:rPr>
                <m:t>+</m:t>
              </m:r>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h</m:t>
                  </m:r>
                  <m:r>
                    <m:rPr>
                      <m:sty m:val="p"/>
                    </m:rPr>
                    <w:rPr>
                      <w:rFonts w:ascii="Cambria Math" w:cs="Times New Roman"/>
                      <w:szCs w:val="24"/>
                      <w:lang w:val="en-US"/>
                    </w:rPr>
                    <m:t>=1</m:t>
                  </m:r>
                </m:sub>
                <m:sup>
                  <m:r>
                    <m:rPr>
                      <m:sty m:val="p"/>
                    </m:rPr>
                    <w:rPr>
                      <w:rFonts w:ascii="Cambria Math" w:hAnsi="Cambria Math" w:cs="Times New Roman"/>
                      <w:szCs w:val="24"/>
                      <w:lang w:val="en-US"/>
                    </w:rPr>
                    <m:t>k</m:t>
                  </m:r>
                </m:sup>
                <m:e>
                  <m:f>
                    <m:fPr>
                      <m:ctrlPr>
                        <w:rPr>
                          <w:rFonts w:ascii="Cambria Math" w:hAnsi="Cambria Math" w:cs="Times New Roman"/>
                          <w:szCs w:val="24"/>
                          <w:lang w:val="en-US"/>
                        </w:rPr>
                      </m:ctrlPr>
                    </m:fPr>
                    <m:num>
                      <m:r>
                        <m:rPr>
                          <m:sty m:val="p"/>
                        </m:rPr>
                        <w:rPr>
                          <w:rFonts w:ascii="Cambria Math" w:hAnsi="Cambria Math" w:cs="Times New Roman"/>
                          <w:szCs w:val="24"/>
                          <w:lang w:val="en-US"/>
                        </w:rPr>
                        <m:t>k-h</m:t>
                      </m:r>
                    </m:num>
                    <m:den>
                      <m:r>
                        <m:rPr>
                          <m:sty m:val="p"/>
                        </m:rPr>
                        <w:rPr>
                          <w:rFonts w:ascii="Cambria Math" w:hAnsi="Cambria Math" w:cs="Times New Roman"/>
                          <w:szCs w:val="24"/>
                          <w:lang w:val="en-US"/>
                        </w:rPr>
                        <m:t>k</m:t>
                      </m:r>
                    </m:den>
                  </m:f>
                  <m:r>
                    <m:rPr>
                      <m:sty m:val="p"/>
                    </m:rPr>
                    <w:rPr>
                      <w:rFonts w:ascii="Cambria Math" w:hAnsi="Cambria Math" w:cs="Times New Roman"/>
                      <w:szCs w:val="24"/>
                      <w:lang w:val="en-US"/>
                    </w:rPr>
                    <m:t>(</m:t>
                  </m:r>
                  <m:sSub>
                    <m:sSubPr>
                      <m:ctrlPr>
                        <w:rPr>
                          <w:rFonts w:ascii="Cambria Math" w:hAnsi="Cambria Math" w:cs="Times New Roman"/>
                          <w:szCs w:val="24"/>
                          <w:lang w:val="en-US"/>
                        </w:rPr>
                      </m:ctrlPr>
                    </m:sSubPr>
                    <m:e>
                      <m:acc>
                        <m:accPr>
                          <m:ctrlPr>
                            <w:rPr>
                              <w:rFonts w:ascii="Cambria Math" w:hAnsi="Cambria Math" w:cs="Times New Roman"/>
                              <w:szCs w:val="24"/>
                              <w:lang w:val="en-US"/>
                            </w:rPr>
                          </m:ctrlPr>
                        </m:accPr>
                        <m:e>
                          <m:r>
                            <m:rPr>
                              <m:sty m:val="p"/>
                            </m:rPr>
                            <w:rPr>
                              <w:rFonts w:ascii="Cambria Math" w:hAnsi="Cambria Math" w:cs="Times New Roman"/>
                              <w:szCs w:val="24"/>
                              <w:lang w:val="en-US"/>
                            </w:rPr>
                            <m:t>γ</m:t>
                          </m:r>
                        </m:e>
                      </m:acc>
                    </m:e>
                    <m:sub>
                      <m:r>
                        <m:rPr>
                          <m:sty m:val="p"/>
                        </m:rPr>
                        <w:rPr>
                          <w:rFonts w:ascii="Cambria Math" w:hAnsi="Cambria Math" w:cs="Times New Roman"/>
                          <w:szCs w:val="24"/>
                          <w:lang w:val="en-US"/>
                        </w:rPr>
                        <m:t>i,t,-h</m:t>
                      </m:r>
                    </m:sub>
                  </m:sSub>
                  <m:r>
                    <m:rPr>
                      <m:sty m:val="p"/>
                    </m:rPr>
                    <w:rPr>
                      <w:rFonts w:ascii="Cambria Math" w:cs="Times New Roman"/>
                      <w:szCs w:val="24"/>
                      <w:lang w:val="en-US"/>
                    </w:rPr>
                    <m:t>+</m:t>
                  </m:r>
                  <m:sSub>
                    <m:sSubPr>
                      <m:ctrlPr>
                        <w:rPr>
                          <w:rFonts w:ascii="Cambria Math" w:hAnsi="Cambria Math" w:cs="Times New Roman"/>
                          <w:szCs w:val="24"/>
                          <w:lang w:val="en-US"/>
                        </w:rPr>
                      </m:ctrlPr>
                    </m:sSubPr>
                    <m:e>
                      <m:acc>
                        <m:accPr>
                          <m:ctrlPr>
                            <w:rPr>
                              <w:rFonts w:ascii="Cambria Math" w:hAnsi="Cambria Math" w:cs="Times New Roman"/>
                              <w:szCs w:val="24"/>
                              <w:lang w:val="en-US"/>
                            </w:rPr>
                          </m:ctrlPr>
                        </m:accPr>
                        <m:e>
                          <m:r>
                            <m:rPr>
                              <m:sty m:val="p"/>
                            </m:rPr>
                            <w:rPr>
                              <w:rFonts w:ascii="Cambria Math" w:hAnsi="Cambria Math" w:cs="Times New Roman"/>
                              <w:szCs w:val="24"/>
                              <w:lang w:val="en-US"/>
                            </w:rPr>
                            <m:t>γ</m:t>
                          </m:r>
                        </m:e>
                      </m:acc>
                    </m:e>
                    <m:sub>
                      <m:r>
                        <m:rPr>
                          <m:sty m:val="p"/>
                        </m:rPr>
                        <w:rPr>
                          <w:rFonts w:ascii="Cambria Math" w:hAnsi="Cambria Math" w:cs="Times New Roman"/>
                          <w:szCs w:val="24"/>
                          <w:lang w:val="en-US"/>
                        </w:rPr>
                        <m:t>i,t,h</m:t>
                      </m:r>
                    </m:sub>
                  </m:sSub>
                  <m:r>
                    <m:rPr>
                      <m:sty m:val="p"/>
                    </m:rPr>
                    <w:rPr>
                      <w:rFonts w:ascii="Cambria Math" w:cs="Times New Roman"/>
                      <w:szCs w:val="24"/>
                      <w:lang w:val="en-US"/>
                    </w:rPr>
                    <m:t>)</m:t>
                  </m:r>
                </m:e>
              </m:nary>
              <m:r>
                <m:rPr>
                  <m:sty m:val="p"/>
                </m:rPr>
                <w:rPr>
                  <w:rFonts w:ascii="Cambria Math" w:hAnsi="Cambria Math" w:cs="Times New Roman"/>
                  <w:szCs w:val="24"/>
                  <w:lang w:val="en-US"/>
                </w:rPr>
                <m:t>-</m:t>
              </m:r>
              <m:f>
                <m:fPr>
                  <m:ctrlPr>
                    <w:rPr>
                      <w:rFonts w:ascii="Cambria Math" w:hAnsi="Cambria Math" w:cs="Times New Roman"/>
                      <w:szCs w:val="24"/>
                      <w:lang w:val="en-US"/>
                    </w:rPr>
                  </m:ctrlPr>
                </m:fPr>
                <m:num>
                  <m:r>
                    <m:rPr>
                      <m:sty m:val="p"/>
                    </m:rPr>
                    <w:rPr>
                      <w:rFonts w:ascii="Cambria Math" w:hAnsi="Cambria Math" w:cs="Times New Roman"/>
                      <w:szCs w:val="24"/>
                      <w:lang w:val="en-US"/>
                    </w:rPr>
                    <m:t>1</m:t>
                  </m:r>
                </m:num>
                <m:den>
                  <m:r>
                    <m:rPr>
                      <m:sty m:val="p"/>
                    </m:rPr>
                    <w:rPr>
                      <w:rFonts w:ascii="Cambria Math" w:hAnsi="Cambria Math" w:cs="Times New Roman"/>
                      <w:szCs w:val="24"/>
                      <w:lang w:val="en-US"/>
                    </w:rPr>
                    <m:t>k</m:t>
                  </m:r>
                </m:den>
              </m:f>
              <m:sSub>
                <m:sSubPr>
                  <m:ctrlPr>
                    <w:rPr>
                      <w:rFonts w:ascii="Cambria Math" w:hAnsi="Cambria Math" w:cs="Times New Roman"/>
                      <w:szCs w:val="24"/>
                      <w:lang w:val="en-US"/>
                    </w:rPr>
                  </m:ctrlPr>
                </m:sSubPr>
                <m:e>
                  <m:r>
                    <m:rPr>
                      <m:sty m:val="p"/>
                    </m:rPr>
                    <w:rPr>
                      <w:rFonts w:ascii="Cambria Math" w:hAnsi="Cambria Math" w:cs="Times New Roman"/>
                      <w:szCs w:val="24"/>
                      <w:lang w:val="en-US"/>
                    </w:rPr>
                    <m:t>R</m:t>
                  </m:r>
                </m:e>
                <m:sub>
                  <m:r>
                    <w:rPr>
                      <w:rFonts w:ascii="Cambria Math" w:hAnsi="Cambria Math" w:cs="Times New Roman"/>
                      <w:szCs w:val="24"/>
                      <w:lang w:val="en-US"/>
                    </w:rPr>
                    <m:t>k</m:t>
                  </m:r>
                </m:sub>
              </m:sSub>
            </m:oMath>
            <w:r>
              <w:rPr>
                <w:rFonts w:eastAsia="Times New Roman" w:cs="Times New Roman"/>
                <w:szCs w:val="24"/>
                <w:lang w:val="en-US"/>
              </w:rPr>
              <w:t xml:space="preserve"> </w:t>
            </w:r>
          </w:p>
        </w:tc>
        <w:tc>
          <w:tcPr>
            <w:tcW w:w="630" w:type="pct"/>
            <w:vAlign w:val="center"/>
          </w:tcPr>
          <w:p w:rsidR="00B82415" w:rsidRDefault="006A506C" w:rsidP="006A506C">
            <w:pPr>
              <w:suppressAutoHyphens/>
              <w:ind w:firstLine="0"/>
              <w:jc w:val="left"/>
              <w:rPr>
                <w:rFonts w:eastAsia="Times New Roman" w:cs="Times New Roman"/>
                <w:szCs w:val="24"/>
                <w:lang w:val="en-US"/>
              </w:rPr>
            </w:pPr>
            <w:r>
              <w:rPr>
                <w:rFonts w:eastAsia="Times New Roman" w:cs="Times New Roman"/>
                <w:szCs w:val="24"/>
                <w:lang w:val="en-US"/>
              </w:rPr>
              <w:t>(2</w:t>
            </w:r>
            <w:r w:rsidR="00B82415">
              <w:rPr>
                <w:rFonts w:eastAsia="Times New Roman" w:cs="Times New Roman"/>
                <w:szCs w:val="24"/>
                <w:lang w:val="en-US"/>
              </w:rPr>
              <w:t>)</w:t>
            </w:r>
          </w:p>
        </w:tc>
      </w:tr>
    </w:tbl>
    <w:p w:rsidR="00423A9F" w:rsidRPr="00DD19F8" w:rsidRDefault="00062757" w:rsidP="00DD19F8">
      <w:pPr>
        <w:suppressAutoHyphens/>
        <w:ind w:firstLine="0"/>
        <w:rPr>
          <w:rFonts w:eastAsia="Times New Roman" w:cs="Times New Roman"/>
          <w:szCs w:val="20"/>
          <w:lang w:val="en-US"/>
        </w:rPr>
      </w:pPr>
      <w:r>
        <w:rPr>
          <w:rFonts w:eastAsia="Times New Roman" w:cs="Times New Roman"/>
          <w:szCs w:val="20"/>
          <w:lang w:val="en-US"/>
        </w:rPr>
        <w:t xml:space="preserve">Here </w:t>
      </w:r>
      <m:oMath>
        <m:sSub>
          <m:sSubPr>
            <m:ctrlPr>
              <w:rPr>
                <w:rFonts w:ascii="Cambria Math" w:eastAsia="Times New Roman" w:hAnsi="Cambria Math" w:cs="Times New Roman"/>
                <w:szCs w:val="20"/>
                <w:lang w:val="en-US"/>
              </w:rPr>
            </m:ctrlPr>
          </m:sSubPr>
          <m:e>
            <m:acc>
              <m:accPr>
                <m:ctrlPr>
                  <w:rPr>
                    <w:rFonts w:ascii="Cambria Math" w:eastAsia="Times New Roman" w:hAnsi="Cambria Math" w:cs="Times New Roman"/>
                    <w:szCs w:val="20"/>
                    <w:lang w:val="en-US"/>
                  </w:rPr>
                </m:ctrlPr>
              </m:accPr>
              <m:e>
                <m:r>
                  <m:rPr>
                    <m:sty m:val="p"/>
                  </m:rPr>
                  <w:rPr>
                    <w:rFonts w:ascii="Cambria Math" w:eastAsia="Times New Roman" w:hAnsi="Cambria Math" w:cs="Times New Roman"/>
                    <w:szCs w:val="20"/>
                    <w:lang w:val="en-US"/>
                  </w:rPr>
                  <m:t>γ</m:t>
                </m:r>
              </m:e>
            </m:acc>
          </m:e>
          <m:sub>
            <m:r>
              <w:rPr>
                <w:rFonts w:ascii="Cambria Math" w:eastAsia="Times New Roman" w:hAnsi="Cambria Math" w:cs="Times New Roman"/>
                <w:szCs w:val="20"/>
                <w:lang w:val="en-US"/>
              </w:rPr>
              <m:t>i,t,±h</m:t>
            </m:r>
          </m:sub>
        </m:sSub>
        <m:r>
          <m:rPr>
            <m:sty m:val="p"/>
          </m:rPr>
          <w:rPr>
            <w:rFonts w:ascii="Cambria Math" w:eastAsia="Times New Roman" w:hAnsi="Cambria Math" w:cs="Times New Roman"/>
            <w:szCs w:val="20"/>
            <w:lang w:val="en-US"/>
          </w:rPr>
          <m:t>≡</m:t>
        </m:r>
        <m:nary>
          <m:naryPr>
            <m:chr m:val="∑"/>
            <m:limLoc m:val="subSup"/>
            <m:ctrlPr>
              <w:rPr>
                <w:rFonts w:ascii="Cambria Math" w:eastAsia="Times New Roman" w:hAnsi="Cambria Math" w:cs="Times New Roman"/>
                <w:szCs w:val="20"/>
                <w:lang w:val="en-US"/>
              </w:rPr>
            </m:ctrlPr>
          </m:naryPr>
          <m:sub>
            <m:r>
              <m:rPr>
                <m:sty m:val="p"/>
              </m:rPr>
              <w:rPr>
                <w:rFonts w:ascii="Cambria Math" w:eastAsia="Times New Roman" w:hAnsi="Cambria Math" w:cs="Times New Roman"/>
                <w:szCs w:val="20"/>
                <w:lang w:val="en-US"/>
              </w:rPr>
              <m:t>s=1</m:t>
            </m:r>
          </m:sub>
          <m:sup>
            <m:r>
              <m:rPr>
                <m:sty m:val="p"/>
              </m:rPr>
              <w:rPr>
                <w:rFonts w:ascii="Cambria Math" w:eastAsia="Times New Roman" w:hAnsi="Cambria Math" w:cs="Times New Roman"/>
                <w:szCs w:val="20"/>
                <w:lang w:val="en-US"/>
              </w:rPr>
              <m:t>m-h</m:t>
            </m:r>
          </m:sup>
          <m:e>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r</m:t>
                </m:r>
              </m:e>
              <m:sub>
                <m:r>
                  <w:rPr>
                    <w:rFonts w:ascii="Cambria Math" w:eastAsia="Times New Roman" w:hAnsi="Cambria Math" w:cs="Times New Roman"/>
                    <w:szCs w:val="20"/>
                    <w:lang w:val="en-US"/>
                  </w:rPr>
                  <m:t>i,t,s</m:t>
                </m:r>
              </m:sub>
            </m:sSub>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r</m:t>
                </m:r>
              </m:e>
              <m:sub>
                <m:r>
                  <w:rPr>
                    <w:rFonts w:ascii="Cambria Math" w:eastAsia="Times New Roman" w:hAnsi="Cambria Math" w:cs="Times New Roman"/>
                    <w:szCs w:val="20"/>
                    <w:lang w:val="en-US"/>
                  </w:rPr>
                  <m:t>i,t,s+h</m:t>
                </m:r>
              </m:sub>
            </m:sSub>
          </m:e>
        </m:nary>
      </m:oMath>
      <w:r w:rsidR="00F208E0">
        <w:rPr>
          <w:rFonts w:eastAsia="Times New Roman" w:cs="Times New Roman"/>
          <w:szCs w:val="20"/>
          <w:lang w:val="en-US"/>
        </w:rPr>
        <w:t xml:space="preserve"> </w:t>
      </w:r>
      <w:r>
        <w:rPr>
          <w:rFonts w:eastAsia="Times New Roman" w:cs="Times New Roman"/>
          <w:szCs w:val="20"/>
          <w:lang w:val="en-US"/>
        </w:rPr>
        <w:t xml:space="preserve">for </w:t>
      </w:r>
      <w:r w:rsidRPr="0054056C">
        <w:rPr>
          <w:rFonts w:eastAsia="Times New Roman" w:cs="Times New Roman"/>
          <w:i/>
          <w:szCs w:val="20"/>
          <w:lang w:val="en-US"/>
        </w:rPr>
        <w:t>h</w:t>
      </w:r>
      <w:r>
        <w:rPr>
          <w:rFonts w:eastAsia="Times New Roman" w:cs="Times New Roman"/>
          <w:szCs w:val="20"/>
          <w:lang w:val="en-US"/>
        </w:rPr>
        <w:t xml:space="preserve"> = 0, 1, …, </w:t>
      </w:r>
      <w:r w:rsidRPr="00A72FC7">
        <w:rPr>
          <w:rFonts w:eastAsia="Times New Roman" w:cs="Times New Roman"/>
          <w:i/>
          <w:szCs w:val="20"/>
          <w:lang w:val="en-US"/>
        </w:rPr>
        <w:t>m-1</w:t>
      </w:r>
      <w:r>
        <w:rPr>
          <w:rFonts w:eastAsia="Times New Roman" w:cs="Times New Roman"/>
          <w:szCs w:val="20"/>
          <w:lang w:val="en-US"/>
        </w:rPr>
        <w:t xml:space="preserve">.  Clearly </w:t>
      </w:r>
      <m:oMath>
        <m:sSub>
          <m:sSubPr>
            <m:ctrlPr>
              <w:rPr>
                <w:rFonts w:ascii="Cambria Math" w:eastAsia="Times New Roman" w:hAnsi="Cambria Math" w:cs="Times New Roman"/>
                <w:szCs w:val="20"/>
                <w:lang w:val="en-US"/>
              </w:rPr>
            </m:ctrlPr>
          </m:sSubPr>
          <m:e>
            <m:acc>
              <m:accPr>
                <m:ctrlPr>
                  <w:rPr>
                    <w:rFonts w:ascii="Cambria Math" w:eastAsia="Times New Roman" w:hAnsi="Cambria Math" w:cs="Times New Roman"/>
                    <w:szCs w:val="20"/>
                    <w:lang w:val="en-US"/>
                  </w:rPr>
                </m:ctrlPr>
              </m:accPr>
              <m:e>
                <m:r>
                  <m:rPr>
                    <m:sty m:val="p"/>
                  </m:rPr>
                  <w:rPr>
                    <w:rFonts w:ascii="Cambria Math" w:eastAsia="Times New Roman" w:hAnsi="Cambria Math" w:cs="Times New Roman"/>
                    <w:szCs w:val="20"/>
                    <w:lang w:val="en-US"/>
                  </w:rPr>
                  <m:t>γ</m:t>
                </m:r>
              </m:e>
            </m:acc>
          </m:e>
          <m:sub>
            <m:r>
              <w:rPr>
                <w:rFonts w:ascii="Cambria Math" w:eastAsia="Times New Roman" w:hAnsi="Cambria Math" w:cs="Times New Roman"/>
                <w:szCs w:val="20"/>
                <w:lang w:val="en-US"/>
              </w:rPr>
              <m:t>i,t,0</m:t>
            </m:r>
          </m:sub>
        </m:sSub>
      </m:oMath>
      <w:r>
        <w:rPr>
          <w:rFonts w:eastAsia="Times New Roman" w:cs="Times New Roman"/>
          <w:szCs w:val="20"/>
          <w:lang w:val="en-US"/>
        </w:rPr>
        <w:t xml:space="preserve"> = RV</w:t>
      </w:r>
      <w:r w:rsidRPr="0054056C">
        <w:rPr>
          <w:rFonts w:eastAsia="Times New Roman" w:cs="Times New Roman"/>
          <w:i/>
          <w:szCs w:val="20"/>
          <w:vertAlign w:val="subscript"/>
          <w:lang w:val="en-US"/>
        </w:rPr>
        <w:t>i,t</w:t>
      </w:r>
      <w:r>
        <w:rPr>
          <w:rFonts w:eastAsia="Times New Roman" w:cs="Times New Roman"/>
          <w:szCs w:val="20"/>
          <w:lang w:val="en-US"/>
        </w:rPr>
        <w:t xml:space="preserve"> and </w:t>
      </w:r>
      <m:oMath>
        <m:sSub>
          <m:sSubPr>
            <m:ctrlPr>
              <w:rPr>
                <w:rFonts w:ascii="Cambria Math" w:eastAsia="Times New Roman" w:hAnsi="Cambria Math" w:cs="Times New Roman"/>
                <w:szCs w:val="20"/>
                <w:lang w:val="en-US"/>
              </w:rPr>
            </m:ctrlPr>
          </m:sSubPr>
          <m:e>
            <m:acc>
              <m:accPr>
                <m:ctrlPr>
                  <w:rPr>
                    <w:rFonts w:ascii="Cambria Math" w:eastAsia="Times New Roman" w:hAnsi="Cambria Math" w:cs="Times New Roman"/>
                    <w:szCs w:val="20"/>
                    <w:lang w:val="en-US"/>
                  </w:rPr>
                </m:ctrlPr>
              </m:accPr>
              <m:e>
                <m:r>
                  <m:rPr>
                    <m:sty m:val="p"/>
                  </m:rPr>
                  <w:rPr>
                    <w:rFonts w:ascii="Cambria Math" w:eastAsia="Times New Roman" w:hAnsi="Cambria Math" w:cs="Times New Roman"/>
                    <w:szCs w:val="20"/>
                    <w:lang w:val="en-US"/>
                  </w:rPr>
                  <m:t>γ</m:t>
                </m:r>
              </m:e>
            </m:acc>
          </m:e>
          <m:sub>
            <m:r>
              <w:rPr>
                <w:rFonts w:ascii="Cambria Math" w:eastAsia="Times New Roman" w:hAnsi="Cambria Math" w:cs="Times New Roman"/>
                <w:szCs w:val="20"/>
                <w:lang w:val="en-US"/>
              </w:rPr>
              <m:t>i,t,±h</m:t>
            </m:r>
          </m:sub>
        </m:sSub>
      </m:oMath>
      <w:r w:rsidR="00423A9F">
        <w:rPr>
          <w:rFonts w:eastAsia="Times New Roman" w:cs="Times New Roman"/>
          <w:szCs w:val="20"/>
          <w:lang w:val="en-US"/>
        </w:rPr>
        <w:t xml:space="preserve"> are the realized co-variances at different leads and lags.</w:t>
      </w:r>
      <w:r>
        <w:rPr>
          <w:rFonts w:eastAsia="Times New Roman" w:cs="Times New Roman"/>
          <w:szCs w:val="20"/>
          <w:lang w:val="en-US"/>
        </w:rPr>
        <w:t xml:space="preserve">  </w:t>
      </w:r>
      <w:r w:rsidR="0054056C">
        <w:rPr>
          <w:rFonts w:eastAsia="Times New Roman" w:cs="Times New Roman"/>
          <w:szCs w:val="20"/>
          <w:lang w:val="en-US"/>
        </w:rPr>
        <w:t xml:space="preserve">Also </w:t>
      </w:r>
      <w:r w:rsidR="00F208E0">
        <w:rPr>
          <w:rFonts w:eastAsia="Times New Roman" w:cs="Times New Roman"/>
          <w:szCs w:val="20"/>
          <w:lang w:val="en-US"/>
        </w:rPr>
        <w:t>R</w:t>
      </w:r>
      <w:r w:rsidR="00E36FA3" w:rsidRPr="001177C2">
        <w:rPr>
          <w:rFonts w:eastAsia="Times New Roman" w:cs="Times New Roman"/>
          <w:i/>
          <w:szCs w:val="20"/>
          <w:vertAlign w:val="subscript"/>
          <w:lang w:val="en-US"/>
        </w:rPr>
        <w:t>i,t,1</w:t>
      </w:r>
      <w:r w:rsidR="00F208E0" w:rsidRPr="001177C2">
        <w:rPr>
          <w:rFonts w:eastAsia="Times New Roman" w:cs="Times New Roman"/>
          <w:i/>
          <w:szCs w:val="20"/>
          <w:lang w:val="en-US"/>
        </w:rPr>
        <w:t xml:space="preserve"> </w:t>
      </w:r>
      <w:r w:rsidR="00F208E0">
        <w:rPr>
          <w:rFonts w:eastAsia="Times New Roman" w:cs="Times New Roman"/>
          <w:szCs w:val="20"/>
          <w:lang w:val="en-US"/>
        </w:rPr>
        <w:t>= 0, and R</w:t>
      </w:r>
      <w:r w:rsidR="00E36FA3" w:rsidRPr="0054056C">
        <w:rPr>
          <w:rFonts w:eastAsia="Times New Roman" w:cs="Times New Roman"/>
          <w:i/>
          <w:szCs w:val="20"/>
          <w:vertAlign w:val="subscript"/>
          <w:lang w:val="en-US"/>
        </w:rPr>
        <w:t>i,t,k</w:t>
      </w:r>
      <w:r w:rsidR="00F208E0" w:rsidRPr="0054056C">
        <w:rPr>
          <w:rFonts w:eastAsia="Times New Roman" w:cs="Times New Roman"/>
          <w:i/>
          <w:szCs w:val="20"/>
          <w:lang w:val="en-US"/>
        </w:rPr>
        <w:t xml:space="preserve"> </w:t>
      </w:r>
      <m:oMath>
        <m:r>
          <w:rPr>
            <w:rFonts w:ascii="Cambria Math" w:eastAsia="Times New Roman" w:hAnsi="Cambria Math" w:cs="Times New Roman"/>
            <w:szCs w:val="20"/>
            <w:lang w:val="en-US"/>
          </w:rPr>
          <m:t>≡</m:t>
        </m:r>
      </m:oMath>
      <w:r w:rsidR="00F208E0">
        <w:rPr>
          <w:rFonts w:eastAsia="Times New Roman" w:cs="Times New Roman"/>
          <w:szCs w:val="20"/>
          <w:lang w:val="en-US"/>
        </w:rPr>
        <w:t xml:space="preserve"> R</w:t>
      </w:r>
      <w:r w:rsidR="00E36FA3">
        <w:rPr>
          <w:rFonts w:eastAsia="Times New Roman" w:cs="Times New Roman"/>
          <w:szCs w:val="20"/>
          <w:vertAlign w:val="subscript"/>
          <w:lang w:val="en-US"/>
        </w:rPr>
        <w:t>i,t,k</w:t>
      </w:r>
      <w:r w:rsidR="00F208E0">
        <w:rPr>
          <w:rFonts w:eastAsia="Times New Roman" w:cs="Times New Roman"/>
          <w:szCs w:val="20"/>
          <w:vertAlign w:val="subscript"/>
          <w:lang w:val="en-US"/>
        </w:rPr>
        <w:t>-1</w:t>
      </w:r>
      <w:r w:rsidR="00F208E0">
        <w:rPr>
          <w:rFonts w:eastAsia="Times New Roman" w:cs="Times New Roman"/>
          <w:szCs w:val="20"/>
          <w:lang w:val="en-US"/>
        </w:rPr>
        <w:t xml:space="preserve"> + </w:t>
      </w:r>
      <m:oMath>
        <m:sSup>
          <m:sSupPr>
            <m:ctrlPr>
              <w:rPr>
                <w:rFonts w:ascii="Cambria Math" w:eastAsia="Times New Roman" w:hAnsi="Cambria Math" w:cs="Times New Roman"/>
                <w:szCs w:val="20"/>
                <w:lang w:val="en-US"/>
              </w:rPr>
            </m:ctrlPr>
          </m:sSupPr>
          <m:e>
            <m:d>
              <m:dPr>
                <m:ctrlPr>
                  <w:rPr>
                    <w:rFonts w:ascii="Cambria Math" w:eastAsia="Times New Roman" w:hAnsi="Cambria Math" w:cs="Times New Roman"/>
                    <w:szCs w:val="20"/>
                    <w:lang w:val="en-US"/>
                  </w:rPr>
                </m:ctrlPr>
              </m:dPr>
              <m:e>
                <m:nary>
                  <m:naryPr>
                    <m:chr m:val="∑"/>
                    <m:limLoc m:val="subSup"/>
                    <m:ctrlPr>
                      <w:rPr>
                        <w:rFonts w:ascii="Cambria Math" w:eastAsia="Times New Roman" w:hAnsi="Cambria Math" w:cs="Times New Roman"/>
                        <w:szCs w:val="20"/>
                        <w:lang w:val="en-US"/>
                      </w:rPr>
                    </m:ctrlPr>
                  </m:naryPr>
                  <m:sub>
                    <m:r>
                      <m:rPr>
                        <m:sty m:val="p"/>
                      </m:rPr>
                      <w:rPr>
                        <w:rFonts w:ascii="Cambria Math" w:eastAsia="Times New Roman" w:hAnsi="Cambria Math" w:cs="Times New Roman"/>
                        <w:szCs w:val="20"/>
                        <w:lang w:val="en-US"/>
                      </w:rPr>
                      <m:t>s=1</m:t>
                    </m:r>
                  </m:sub>
                  <m:sup>
                    <m:r>
                      <m:rPr>
                        <m:sty m:val="p"/>
                      </m:rPr>
                      <w:rPr>
                        <w:rFonts w:ascii="Cambria Math" w:eastAsia="Times New Roman" w:hAnsi="Cambria Math" w:cs="Times New Roman"/>
                        <w:szCs w:val="20"/>
                        <w:lang w:val="en-US"/>
                      </w:rPr>
                      <m:t>k-1</m:t>
                    </m:r>
                  </m:sup>
                  <m:e>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r</m:t>
                        </m:r>
                      </m:e>
                      <m:sub>
                        <m:r>
                          <w:rPr>
                            <w:rFonts w:ascii="Cambria Math" w:eastAsia="Times New Roman" w:hAnsi="Cambria Math" w:cs="Times New Roman"/>
                            <w:szCs w:val="20"/>
                            <w:lang w:val="en-US"/>
                          </w:rPr>
                          <m:t>i,t,s</m:t>
                        </m:r>
                      </m:sub>
                    </m:sSub>
                  </m:e>
                </m:nary>
              </m:e>
            </m:d>
          </m:e>
          <m:sup>
            <m:r>
              <m:rPr>
                <m:sty m:val="p"/>
              </m:rPr>
              <w:rPr>
                <w:rFonts w:ascii="Cambria Math" w:eastAsia="Times New Roman" w:hAnsi="Cambria Math" w:cs="Times New Roman"/>
                <w:szCs w:val="20"/>
                <w:lang w:val="en-US"/>
              </w:rPr>
              <m:t>2</m:t>
            </m:r>
          </m:sup>
        </m:sSup>
        <m:r>
          <m:rPr>
            <m:sty m:val="p"/>
          </m:rPr>
          <w:rPr>
            <w:rFonts w:ascii="Cambria Math" w:eastAsia="Times New Roman" w:hAnsi="Cambria Math" w:cs="Times New Roman"/>
            <w:szCs w:val="20"/>
            <w:lang w:val="en-US"/>
          </w:rPr>
          <m:t>+</m:t>
        </m:r>
        <m:sSup>
          <m:sSupPr>
            <m:ctrlPr>
              <w:rPr>
                <w:rFonts w:ascii="Cambria Math" w:eastAsia="Times New Roman" w:hAnsi="Cambria Math" w:cs="Times New Roman"/>
                <w:szCs w:val="20"/>
                <w:lang w:val="en-US"/>
              </w:rPr>
            </m:ctrlPr>
          </m:sSupPr>
          <m:e>
            <m:d>
              <m:dPr>
                <m:ctrlPr>
                  <w:rPr>
                    <w:rFonts w:ascii="Cambria Math" w:eastAsia="Times New Roman" w:hAnsi="Cambria Math" w:cs="Times New Roman"/>
                    <w:szCs w:val="20"/>
                    <w:lang w:val="en-US"/>
                  </w:rPr>
                </m:ctrlPr>
              </m:dPr>
              <m:e>
                <m:nary>
                  <m:naryPr>
                    <m:chr m:val="∑"/>
                    <m:limLoc m:val="subSup"/>
                    <m:ctrlPr>
                      <w:rPr>
                        <w:rFonts w:ascii="Cambria Math" w:eastAsia="Times New Roman" w:hAnsi="Cambria Math" w:cs="Times New Roman"/>
                        <w:szCs w:val="20"/>
                        <w:lang w:val="en-US"/>
                      </w:rPr>
                    </m:ctrlPr>
                  </m:naryPr>
                  <m:sub>
                    <m:r>
                      <m:rPr>
                        <m:sty m:val="p"/>
                      </m:rPr>
                      <w:rPr>
                        <w:rFonts w:ascii="Cambria Math" w:eastAsia="Times New Roman" w:hAnsi="Cambria Math" w:cs="Times New Roman"/>
                        <w:szCs w:val="20"/>
                        <w:lang w:val="en-US"/>
                      </w:rPr>
                      <m:t>s=0</m:t>
                    </m:r>
                  </m:sub>
                  <m:sup>
                    <m:r>
                      <m:rPr>
                        <m:sty m:val="p"/>
                      </m:rPr>
                      <w:rPr>
                        <w:rFonts w:ascii="Cambria Math" w:eastAsia="Times New Roman" w:hAnsi="Cambria Math" w:cs="Times New Roman"/>
                        <w:szCs w:val="20"/>
                        <w:lang w:val="en-US"/>
                      </w:rPr>
                      <m:t>k-2</m:t>
                    </m:r>
                  </m:sup>
                  <m:e>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r</m:t>
                        </m:r>
                      </m:e>
                      <m:sub>
                        <m:r>
                          <w:rPr>
                            <w:rFonts w:ascii="Cambria Math" w:eastAsia="Times New Roman" w:hAnsi="Cambria Math" w:cs="Times New Roman"/>
                            <w:szCs w:val="20"/>
                            <w:lang w:val="en-US"/>
                          </w:rPr>
                          <m:t>i,t,m-s</m:t>
                        </m:r>
                      </m:sub>
                    </m:sSub>
                  </m:e>
                </m:nary>
              </m:e>
            </m:d>
          </m:e>
          <m:sup>
            <m:r>
              <m:rPr>
                <m:sty m:val="p"/>
              </m:rPr>
              <w:rPr>
                <w:rFonts w:ascii="Cambria Math" w:eastAsia="Times New Roman" w:hAnsi="Cambria Math" w:cs="Times New Roman"/>
                <w:szCs w:val="20"/>
                <w:lang w:val="en-US"/>
              </w:rPr>
              <m:t>2</m:t>
            </m:r>
          </m:sup>
        </m:sSup>
      </m:oMath>
      <w:r>
        <w:rPr>
          <w:rFonts w:eastAsia="Times New Roman" w:cs="Times New Roman"/>
          <w:szCs w:val="20"/>
          <w:lang w:val="en-US"/>
        </w:rPr>
        <w:t xml:space="preserve">.  </w:t>
      </w:r>
      <w:r w:rsidR="00AA74CC">
        <w:rPr>
          <w:rFonts w:eastAsia="Times New Roman" w:cs="Times New Roman"/>
          <w:szCs w:val="20"/>
          <w:lang w:val="en-US"/>
        </w:rPr>
        <w:t>Note that TSRV is closely related</w:t>
      </w:r>
      <w:r w:rsidR="00F805AC">
        <w:rPr>
          <w:rFonts w:eastAsia="Times New Roman" w:cs="Times New Roman"/>
          <w:szCs w:val="20"/>
          <w:lang w:val="en-US"/>
        </w:rPr>
        <w:t xml:space="preserve"> to the Bartlett kernel used in constructing autocorrelation-consistent covariance matrix, e.g.</w:t>
      </w:r>
      <w:r w:rsidR="00DB2ABB">
        <w:rPr>
          <w:rFonts w:eastAsia="Times New Roman" w:cs="Times New Roman"/>
          <w:szCs w:val="20"/>
          <w:lang w:val="en-US"/>
        </w:rPr>
        <w:t xml:space="preserve"> </w:t>
      </w:r>
      <w:r w:rsidR="00F805AC">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&lt;EndNote&gt;&lt;Cite&gt;&lt;Author&gt;Newey&lt;/Author&gt;&lt;Year&gt;1987&lt;/Year&gt;&lt;RecNum&gt;793&lt;/RecNum&gt;&lt;DisplayText&gt;Newey and West (1987)&lt;/DisplayText&gt;&lt;record&gt;&lt;rec-number&gt;793&lt;/rec-number&gt;&lt;foreign-keys&gt;&lt;key app="EN" db-id="szetpsas1ep5veesd5xvva5qdxwetsvpfs5x"&gt;793&lt;/key&gt;&lt;/foreign-keys&gt;&lt;ref-type name="Journal Article"&gt;17&lt;/ref-type&gt;&lt;contributors&gt;&lt;authors&gt;&lt;author&gt;Newey, Whitney K&lt;/author&gt;&lt;author&gt;West, Kenneth D&lt;/author&gt;&lt;/authors&gt;&lt;/contributors&gt;&lt;titles&gt;&lt;title&gt;Hypothesis testing with efficient method of moments estimation&lt;/title&gt;&lt;secondary-title&gt;International Economic Review&lt;/secondary-title&gt;&lt;/titles&gt;&lt;periodical&gt;&lt;full-title&gt;International Economic Review&lt;/full-title&gt;&lt;/periodical&gt;&lt;pages&gt;777-787&lt;/pages&gt;&lt;volume&gt;28&lt;/volume&gt;&lt;number&gt;3&lt;/number&gt;&lt;dates&gt;&lt;year&gt;1987&lt;/year&gt;&lt;/dates&gt;&lt;isbn&gt;0020-6598&lt;/isbn&gt;&lt;urls&gt;&lt;/urls&gt;&lt;/record&gt;&lt;/Cite&gt;&lt;/EndNote&gt;</w:instrText>
      </w:r>
      <w:r w:rsidR="00ED311F">
        <w:rPr>
          <w:rFonts w:eastAsia="Times New Roman" w:cs="Times New Roman"/>
          <w:szCs w:val="20"/>
          <w:lang w:val="en-US"/>
        </w:rPr>
        <w:fldChar w:fldCharType="separate"/>
      </w:r>
      <w:hyperlink w:anchor="_ENREF_32" w:tooltip="Newey, 1987 #793" w:history="1">
        <w:r w:rsidR="00C419D5">
          <w:rPr>
            <w:rFonts w:eastAsia="Times New Roman" w:cs="Times New Roman"/>
            <w:noProof/>
            <w:szCs w:val="20"/>
            <w:lang w:val="en-US"/>
          </w:rPr>
          <w:t>Newey and West (1987</w:t>
        </w:r>
      </w:hyperlink>
      <w:r w:rsidR="00DB2ABB">
        <w:rPr>
          <w:rFonts w:eastAsia="Times New Roman" w:cs="Times New Roman"/>
          <w:noProof/>
          <w:szCs w:val="20"/>
          <w:lang w:val="en-US"/>
        </w:rPr>
        <w:t>)</w:t>
      </w:r>
      <w:r w:rsidR="00ED311F">
        <w:rPr>
          <w:rFonts w:eastAsia="Times New Roman" w:cs="Times New Roman"/>
          <w:szCs w:val="20"/>
          <w:lang w:val="en-US"/>
        </w:rPr>
        <w:fldChar w:fldCharType="end"/>
      </w:r>
      <w:r w:rsidR="00DB2ABB">
        <w:rPr>
          <w:rFonts w:eastAsia="Times New Roman" w:cs="Times New Roman"/>
          <w:szCs w:val="20"/>
          <w:lang w:val="en-US"/>
        </w:rPr>
        <w:t xml:space="preserve">. </w:t>
      </w:r>
      <w:r w:rsidR="00D61ABF">
        <w:rPr>
          <w:rFonts w:eastAsia="Times New Roman" w:cs="Times New Roman"/>
          <w:szCs w:val="20"/>
          <w:lang w:val="en-US"/>
        </w:rPr>
        <w:t xml:space="preserve">As the Newey-West covariance matrix, TSRV corrects the effects of return autocorrelation. </w:t>
      </w:r>
      <w:r w:rsidR="009A273F">
        <w:rPr>
          <w:rFonts w:eastAsia="Times New Roman" w:cs="Times New Roman"/>
          <w:szCs w:val="20"/>
          <w:lang w:val="en-US"/>
        </w:rPr>
        <w:t xml:space="preserve">We </w:t>
      </w:r>
      <w:r w:rsidR="00AA25C3">
        <w:rPr>
          <w:rFonts w:eastAsia="Times New Roman" w:cs="Times New Roman"/>
          <w:szCs w:val="20"/>
          <w:lang w:val="en-US"/>
        </w:rPr>
        <w:t xml:space="preserve">also </w:t>
      </w:r>
      <w:r w:rsidR="009A273F">
        <w:rPr>
          <w:rFonts w:eastAsia="Times New Roman" w:cs="Times New Roman"/>
          <w:szCs w:val="20"/>
          <w:lang w:val="en-US"/>
        </w:rPr>
        <w:t>winsorize the</w:t>
      </w:r>
      <w:r w:rsidR="005F7E43">
        <w:rPr>
          <w:rFonts w:eastAsia="Times New Roman" w:cs="Times New Roman"/>
          <w:szCs w:val="20"/>
          <w:lang w:val="en-US"/>
        </w:rPr>
        <w:t xml:space="preserve"> </w:t>
      </w:r>
      <w:r w:rsidR="00501D0B">
        <w:rPr>
          <w:rFonts w:eastAsia="Times New Roman" w:cs="Times New Roman"/>
          <w:szCs w:val="20"/>
          <w:lang w:val="en-US"/>
        </w:rPr>
        <w:t>daily TSRV</w:t>
      </w:r>
      <w:r w:rsidR="005F7E43">
        <w:rPr>
          <w:rFonts w:eastAsia="Times New Roman" w:cs="Times New Roman"/>
          <w:szCs w:val="20"/>
          <w:lang w:val="en-US"/>
        </w:rPr>
        <w:t xml:space="preserve"> at the 1st and 99th percentile to </w:t>
      </w:r>
      <w:r w:rsidR="00501D0B">
        <w:rPr>
          <w:rFonts w:eastAsia="Times New Roman" w:cs="Times New Roman"/>
          <w:szCs w:val="20"/>
          <w:lang w:val="en-US"/>
        </w:rPr>
        <w:t xml:space="preserve">reduce the </w:t>
      </w:r>
      <w:r w:rsidR="00AF55DA">
        <w:rPr>
          <w:rFonts w:eastAsia="Times New Roman" w:cs="Times New Roman"/>
          <w:szCs w:val="20"/>
          <w:lang w:val="en-US"/>
        </w:rPr>
        <w:t xml:space="preserve">noise in </w:t>
      </w:r>
      <w:r w:rsidR="00ED7457">
        <w:rPr>
          <w:rFonts w:eastAsia="Times New Roman" w:cs="Times New Roman"/>
          <w:szCs w:val="20"/>
          <w:lang w:val="en-US"/>
        </w:rPr>
        <w:t>extreme observations</w:t>
      </w:r>
      <w:r w:rsidR="005F7E43">
        <w:rPr>
          <w:rFonts w:eastAsia="Times New Roman" w:cs="Times New Roman"/>
          <w:szCs w:val="20"/>
          <w:lang w:val="en-US"/>
        </w:rPr>
        <w:t>.</w:t>
      </w:r>
      <w:r w:rsidR="00D61ABF">
        <w:rPr>
          <w:rFonts w:eastAsia="Times New Roman" w:cs="Times New Roman"/>
          <w:szCs w:val="20"/>
          <w:lang w:val="en-US"/>
        </w:rPr>
        <w:t xml:space="preserve"> </w:t>
      </w:r>
      <w:r w:rsidR="00DD19F8">
        <w:rPr>
          <w:rFonts w:eastAsia="Times New Roman" w:cs="Times New Roman"/>
          <w:szCs w:val="20"/>
          <w:lang w:val="en-US"/>
        </w:rPr>
        <w:t xml:space="preserve">With TSRV as the proxy for the variance of the efficient price, the information share of market </w:t>
      </w:r>
      <w:r w:rsidR="00DD19F8" w:rsidRPr="007A0589">
        <w:rPr>
          <w:rFonts w:eastAsia="Times New Roman" w:cs="Times New Roman"/>
          <w:i/>
          <w:szCs w:val="20"/>
          <w:lang w:val="en-US"/>
        </w:rPr>
        <w:t>i</w:t>
      </w:r>
      <w:r w:rsidR="00DD19F8">
        <w:rPr>
          <w:rFonts w:eastAsia="Times New Roman" w:cs="Times New Roman"/>
          <w:szCs w:val="20"/>
          <w:lang w:val="en-US"/>
        </w:rPr>
        <w:t xml:space="preserve"> on day </w:t>
      </w:r>
      <w:r w:rsidR="00DD19F8" w:rsidRPr="007A0589">
        <w:rPr>
          <w:rFonts w:eastAsia="Times New Roman" w:cs="Times New Roman"/>
          <w:i/>
          <w:szCs w:val="20"/>
          <w:lang w:val="en-US"/>
        </w:rPr>
        <w:t>t</w:t>
      </w:r>
      <w:r w:rsidR="00DD19F8">
        <w:rPr>
          <w:rFonts w:eastAsia="Times New Roman" w:cs="Times New Roman"/>
          <w:szCs w:val="20"/>
          <w:lang w:val="en-US"/>
        </w:rPr>
        <w:t xml:space="preserve"> is given by </w:t>
      </w:r>
      <m:oMath>
        <m:r>
          <m:rPr>
            <m:sty m:val="p"/>
          </m:rPr>
          <w:rPr>
            <w:rFonts w:ascii="Cambria Math" w:hAnsi="Cambria Math" w:cs="Times New Roman"/>
            <w:szCs w:val="24"/>
            <w:lang w:val="en-US"/>
          </w:rPr>
          <m:t>I</m:t>
        </m:r>
        <m:sSub>
          <m:sSubPr>
            <m:ctrlPr>
              <w:rPr>
                <w:rFonts w:ascii="Cambria Math" w:hAnsi="Cambria Math" w:cs="Times New Roman"/>
                <w:szCs w:val="24"/>
                <w:lang w:val="en-US"/>
              </w:rPr>
            </m:ctrlPr>
          </m:sSubPr>
          <m:e>
            <m:r>
              <m:rPr>
                <m:sty m:val="p"/>
              </m:rPr>
              <w:rPr>
                <w:rFonts w:ascii="Cambria Math" w:hAnsi="Cambria Math" w:cs="Times New Roman"/>
                <w:szCs w:val="24"/>
                <w:lang w:val="en-US"/>
              </w:rPr>
              <m:t>S</m:t>
            </m:r>
          </m:e>
          <m:sub>
            <m:r>
              <w:rPr>
                <w:rFonts w:ascii="Cambria Math" w:hAnsi="Cambria Math" w:cs="Times New Roman"/>
                <w:szCs w:val="24"/>
                <w:lang w:val="en-US"/>
              </w:rPr>
              <m:t>i,t</m:t>
            </m:r>
          </m:sub>
        </m:sSub>
        <m:r>
          <m:rPr>
            <m:sty m:val="p"/>
          </m:rPr>
          <w:rPr>
            <w:rFonts w:ascii="Cambria Math" w:hAnsi="Cambria Math" w:cs="Times New Roman"/>
            <w:szCs w:val="24"/>
            <w:lang w:val="en-US"/>
          </w:rPr>
          <m:t>=</m:t>
        </m:r>
        <m:f>
          <m:fPr>
            <m:ctrlPr>
              <w:rPr>
                <w:rFonts w:ascii="Cambria Math" w:hAnsi="Cambria Math" w:cs="Times New Roman"/>
                <w:szCs w:val="24"/>
                <w:lang w:val="en-US"/>
              </w:rPr>
            </m:ctrlPr>
          </m:fPr>
          <m:num>
            <m:r>
              <m:rPr>
                <m:sty m:val="p"/>
              </m:rPr>
              <w:rPr>
                <w:rFonts w:ascii="Cambria Math" w:hAnsi="Cambria Math" w:cs="Times New Roman"/>
                <w:szCs w:val="24"/>
                <w:lang w:val="en-US"/>
              </w:rPr>
              <m:t>TSR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m:rPr>
                    <m:sty m:val="p"/>
                  </m:rPr>
                  <w:rPr>
                    <w:rFonts w:ascii="Cambria Math" w:hAnsi="Cambria Math" w:cs="Times New Roman"/>
                    <w:szCs w:val="24"/>
                    <w:lang w:val="en-US"/>
                  </w:rPr>
                  <m:t>i</m:t>
                </m:r>
                <m:r>
                  <w:rPr>
                    <w:rFonts w:ascii="Cambria Math" w:hAnsi="Cambria Math" w:cs="Times New Roman"/>
                    <w:szCs w:val="24"/>
                    <w:lang w:val="en-US"/>
                  </w:rPr>
                  <m:t>,t</m:t>
                </m:r>
              </m:sub>
            </m:sSub>
          </m:num>
          <m:den>
            <m:nary>
              <m:naryPr>
                <m:chr m:val="∑"/>
                <m:limLoc m:val="subSup"/>
                <m:ctrlPr>
                  <w:rPr>
                    <w:rFonts w:ascii="Cambria Math" w:hAnsi="Cambria Math" w:cs="Times New Roman"/>
                    <w:szCs w:val="24"/>
                    <w:lang w:val="en-US"/>
                  </w:rPr>
                </m:ctrlPr>
              </m:naryPr>
              <m:sub>
                <m:r>
                  <m:rPr>
                    <m:sty m:val="p"/>
                  </m:rPr>
                  <w:rPr>
                    <w:rFonts w:ascii="Cambria Math" w:hAnsi="Cambria Math" w:cs="Times New Roman"/>
                    <w:szCs w:val="24"/>
                    <w:lang w:val="en-US"/>
                  </w:rPr>
                  <m:t>j=1</m:t>
                </m:r>
              </m:sub>
              <m:sup>
                <m:r>
                  <m:rPr>
                    <m:sty m:val="p"/>
                  </m:rPr>
                  <w:rPr>
                    <w:rFonts w:ascii="Cambria Math" w:hAnsi="Cambria Math" w:cs="Times New Roman"/>
                    <w:szCs w:val="24"/>
                    <w:lang w:val="en-US"/>
                  </w:rPr>
                  <m:t>n</m:t>
                </m:r>
              </m:sup>
              <m:e>
                <m:r>
                  <m:rPr>
                    <m:sty m:val="p"/>
                  </m:rPr>
                  <w:rPr>
                    <w:rFonts w:ascii="Cambria Math" w:hAnsi="Cambria Math" w:cs="Times New Roman"/>
                    <w:szCs w:val="24"/>
                    <w:lang w:val="en-US"/>
                  </w:rPr>
                  <m:t>TSR</m:t>
                </m:r>
                <m:sSub>
                  <m:sSubPr>
                    <m:ctrlPr>
                      <w:rPr>
                        <w:rFonts w:ascii="Cambria Math" w:hAnsi="Cambria Math" w:cs="Times New Roman"/>
                        <w:szCs w:val="24"/>
                        <w:lang w:val="en-US"/>
                      </w:rPr>
                    </m:ctrlPr>
                  </m:sSubPr>
                  <m:e>
                    <m:r>
                      <m:rPr>
                        <m:sty m:val="p"/>
                      </m:rPr>
                      <w:rPr>
                        <w:rFonts w:ascii="Cambria Math" w:hAnsi="Cambria Math" w:cs="Times New Roman"/>
                        <w:szCs w:val="24"/>
                        <w:lang w:val="en-US"/>
                      </w:rPr>
                      <m:t>V</m:t>
                    </m:r>
                  </m:e>
                  <m:sub>
                    <m:r>
                      <m:rPr>
                        <m:sty m:val="p"/>
                      </m:rPr>
                      <w:rPr>
                        <w:rFonts w:ascii="Cambria Math" w:hAnsi="Cambria Math" w:cs="Times New Roman"/>
                        <w:szCs w:val="24"/>
                        <w:lang w:val="en-US"/>
                      </w:rPr>
                      <m:t>j,t</m:t>
                    </m:r>
                  </m:sub>
                </m:sSub>
              </m:e>
            </m:nary>
          </m:den>
        </m:f>
      </m:oMath>
      <w:r w:rsidR="00DD19F8">
        <w:rPr>
          <w:rFonts w:eastAsia="Times New Roman" w:cs="Times New Roman"/>
          <w:szCs w:val="24"/>
          <w:lang w:val="en-US"/>
        </w:rPr>
        <w:t xml:space="preserve">.  </w:t>
      </w:r>
    </w:p>
    <w:p w:rsidR="005F7E43" w:rsidRDefault="0073075A" w:rsidP="00A11F7C">
      <w:pPr>
        <w:suppressAutoHyphens/>
        <w:rPr>
          <w:rFonts w:eastAsia="Times New Roman" w:cs="Times New Roman"/>
          <w:szCs w:val="20"/>
          <w:lang w:val="en-US"/>
        </w:rPr>
      </w:pPr>
      <w:r>
        <w:rPr>
          <w:rFonts w:eastAsia="Times New Roman" w:cs="Times New Roman"/>
          <w:szCs w:val="20"/>
          <w:lang w:val="en-US"/>
        </w:rPr>
        <w:t xml:space="preserve">A popular measure for price discovery in a non-overlapping setting is the weighted price contribution (WPC) proposed by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&lt;EndNote&gt;&lt;Cite&gt;&lt;Author&gt;Barclay&lt;/Author&gt;&lt;Year&gt;1993&lt;/Year&gt;&lt;RecNum&gt;316&lt;/RecNum&gt;&lt;DisplayText&gt;Barclay and Warner (1993)&lt;/DisplayText&gt;&lt;record&gt;&lt;rec-number&gt;316&lt;/rec-number&gt;&lt;foreign-keys&gt;&lt;key app="EN" db-id="szetpsas1ep5veesd5xvva5qdxwetsvpfs5x"&gt;316&lt;/key&gt;&lt;/foreign-keys&gt;&lt;ref-type name="Journal Article"&gt;17&lt;/ref-type&gt;&lt;contributors&gt;&lt;authors&gt;&lt;author&gt;Barclay, Michael J.&lt;/author&gt;&lt;author&gt;Warner, Jerold B.&lt;/author&gt;&lt;/authors&gt;&lt;/contributors&gt;&lt;titles&gt;&lt;title&gt;Stealth trading and volatility : Which trades move prices?&lt;/title&gt;&lt;secondary-title&gt;Journal of Financial Economics&lt;/secondary-title&gt;&lt;/titles&gt;&lt;periodical&gt;&lt;full-title&gt;Journal of Financial Economics&lt;/full-title&gt;&lt;/periodical&gt;&lt;pages&gt;281-305&lt;/pages&gt;&lt;volume&gt;34&lt;/volume&gt;&lt;number&gt;3&lt;/number&gt;&lt;keywords&gt;&lt;keyword&gt;Microstructure&lt;/keyword&gt;&lt;keyword&gt;Volatility&lt;/keyword&gt;&lt;keyword&gt;Insiders&lt;/keyword&gt;&lt;keyword&gt;Volume&lt;/keyword&gt;&lt;keyword&gt;Efficiency&lt;/keyword&gt;&lt;/keywords&gt;&lt;dates&gt;&lt;year&gt;1993&lt;/year&gt;&lt;/dates&gt;&lt;urls&gt;&lt;related-urls&gt;&lt;url&gt;http://www.sciencedirect.com/science/article/B6VBX-45GSH3H-1H/2/244346213e7106ecd56497b15db87903 &lt;/url&gt;&lt;/related-urls&gt;&lt;/urls&gt;&lt;/record&gt;&lt;/Cite&gt;&lt;/EndNote&gt;</w:instrText>
      </w:r>
      <w:r w:rsidR="00ED311F">
        <w:rPr>
          <w:rFonts w:eastAsia="Times New Roman" w:cs="Times New Roman"/>
          <w:szCs w:val="20"/>
          <w:lang w:val="en-US"/>
        </w:rPr>
        <w:fldChar w:fldCharType="separate"/>
      </w:r>
      <w:hyperlink w:anchor="_ENREF_3" w:tooltip="Barclay, 1993 #316" w:history="1">
        <w:r w:rsidR="00C419D5">
          <w:rPr>
            <w:rFonts w:eastAsia="Times New Roman" w:cs="Times New Roman"/>
            <w:noProof/>
            <w:szCs w:val="20"/>
            <w:lang w:val="en-US"/>
          </w:rPr>
          <w:t>Barclay and Warner (1993</w:t>
        </w:r>
      </w:hyperlink>
      <w:r w:rsidR="00E778CD">
        <w:rPr>
          <w:rFonts w:eastAsia="Times New Roman" w:cs="Times New Roman"/>
          <w:noProof/>
          <w:szCs w:val="20"/>
          <w:lang w:val="en-US"/>
        </w:rPr>
        <w:t>)</w:t>
      </w:r>
      <w:r w:rsidR="00ED311F">
        <w:rPr>
          <w:rFonts w:eastAsia="Times New Roman" w:cs="Times New Roman"/>
          <w:szCs w:val="20"/>
          <w:lang w:val="en-US"/>
        </w:rPr>
        <w:fldChar w:fldCharType="end"/>
      </w:r>
      <w:r>
        <w:rPr>
          <w:rFonts w:eastAsia="Times New Roman" w:cs="Times New Roman"/>
          <w:szCs w:val="20"/>
          <w:lang w:val="en-US"/>
        </w:rPr>
        <w:t xml:space="preserve"> but named by</w:t>
      </w:r>
      <w:r w:rsidR="00E778CD">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&lt;EndNote&gt;&lt;Cite&gt;&lt;Author&gt;Cao&lt;/Author&gt;&lt;Year&gt;2000&lt;/Year&gt;&lt;RecNum&gt;781&lt;/RecNum&gt;&lt;DisplayText&gt;Cao, Ghysels and Hatheway (2000)&lt;/DisplayText&gt;&lt;record&gt;&lt;rec-number&gt;781&lt;/rec-number&gt;&lt;foreign-keys&gt;&lt;key app="EN" db-id="szetpsas1ep5veesd5xvva5qdxwetsvpfs5x"&gt;781&lt;/key&gt;&lt;/foreign-keys&gt;&lt;ref-type name="Journal Article"&gt;17&lt;/ref-type&gt;&lt;contributors&gt;&lt;authors&gt;&lt;author&gt;Cao, Charles&lt;/author&gt;&lt;author&gt;Ghysels, Eric&lt;/author&gt;&lt;author&gt;Hatheway, Frank&lt;/author&gt;&lt;/authors&gt;&lt;/contributors&gt;&lt;titles&gt;&lt;title&gt;Price discovery without trading: Evidence from the Nasdaq preopening&lt;/title&gt;&lt;secondary-title&gt;Journal of Finance&lt;/secondary-title&gt;&lt;/titles&gt;&lt;periodical&gt;&lt;full-title&gt;Journal of Finance&lt;/full-title&gt;&lt;/periodical&gt;&lt;pages&gt;1339-1365&lt;/pages&gt;&lt;volume&gt;55&lt;/volume&gt;&lt;number&gt;3&lt;/number&gt;&lt;dates&gt;&lt;year&gt;2000&lt;/year&gt;&lt;/dates&gt;&lt;isbn&gt;1540-6261&lt;/isbn&gt;&lt;urls&gt;&lt;/urls&gt;&lt;/record&gt;&lt;/Cite&gt;&lt;/EndNote&gt;</w:instrText>
      </w:r>
      <w:r w:rsidR="00ED311F">
        <w:rPr>
          <w:rFonts w:eastAsia="Times New Roman" w:cs="Times New Roman"/>
          <w:szCs w:val="20"/>
          <w:lang w:val="en-US"/>
        </w:rPr>
        <w:fldChar w:fldCharType="separate"/>
      </w:r>
      <w:hyperlink w:anchor="_ENREF_9" w:tooltip="Cao, 2000 #781" w:history="1">
        <w:r w:rsidR="00C419D5">
          <w:rPr>
            <w:rFonts w:eastAsia="Times New Roman" w:cs="Times New Roman"/>
            <w:noProof/>
            <w:szCs w:val="20"/>
            <w:lang w:val="en-US"/>
          </w:rPr>
          <w:t>Cao, Ghysels and Hatheway (2000</w:t>
        </w:r>
      </w:hyperlink>
      <w:r w:rsidR="00E778CD">
        <w:rPr>
          <w:rFonts w:eastAsia="Times New Roman" w:cs="Times New Roman"/>
          <w:noProof/>
          <w:szCs w:val="20"/>
          <w:lang w:val="en-US"/>
        </w:rPr>
        <w:t>)</w:t>
      </w:r>
      <w:r w:rsidR="00ED311F">
        <w:rPr>
          <w:rFonts w:eastAsia="Times New Roman" w:cs="Times New Roman"/>
          <w:szCs w:val="20"/>
          <w:lang w:val="en-US"/>
        </w:rPr>
        <w:fldChar w:fldCharType="end"/>
      </w:r>
      <w:r>
        <w:rPr>
          <w:rFonts w:eastAsia="Times New Roman" w:cs="Times New Roman"/>
          <w:szCs w:val="20"/>
          <w:lang w:val="en-US"/>
        </w:rPr>
        <w:t xml:space="preserve">.  If the return on day </w:t>
      </w:r>
      <w:r w:rsidRPr="0054056C">
        <w:rPr>
          <w:rFonts w:eastAsia="Times New Roman" w:cs="Times New Roman"/>
          <w:i/>
          <w:szCs w:val="20"/>
          <w:lang w:val="en-US"/>
        </w:rPr>
        <w:t>t</w:t>
      </w:r>
      <w:r>
        <w:rPr>
          <w:rFonts w:eastAsia="Times New Roman" w:cs="Times New Roman"/>
          <w:szCs w:val="20"/>
          <w:lang w:val="en-US"/>
        </w:rPr>
        <w:t xml:space="preserve"> in market </w:t>
      </w:r>
      <w:r w:rsidRPr="0054056C">
        <w:rPr>
          <w:rFonts w:eastAsia="Times New Roman" w:cs="Times New Roman"/>
          <w:i/>
          <w:szCs w:val="20"/>
          <w:lang w:val="en-US"/>
        </w:rPr>
        <w:t>i</w:t>
      </w:r>
      <w:r>
        <w:rPr>
          <w:rFonts w:eastAsia="Times New Roman" w:cs="Times New Roman"/>
          <w:szCs w:val="20"/>
          <w:lang w:val="en-US"/>
        </w:rPr>
        <w:t xml:space="preserve"> is r</w:t>
      </w:r>
      <w:r w:rsidRPr="0054056C">
        <w:rPr>
          <w:rFonts w:eastAsia="Times New Roman" w:cs="Times New Roman"/>
          <w:i/>
          <w:szCs w:val="20"/>
          <w:vertAlign w:val="subscript"/>
          <w:lang w:val="en-US"/>
        </w:rPr>
        <w:t>i,t</w:t>
      </w:r>
      <w:r>
        <w:rPr>
          <w:rFonts w:eastAsia="Times New Roman" w:cs="Times New Roman"/>
          <w:szCs w:val="20"/>
          <w:lang w:val="en-US"/>
        </w:rPr>
        <w:t xml:space="preserve"> and the return across all market is r</w:t>
      </w:r>
      <w:r w:rsidRPr="0054056C">
        <w:rPr>
          <w:rFonts w:eastAsia="Times New Roman" w:cs="Times New Roman"/>
          <w:i/>
          <w:szCs w:val="20"/>
          <w:vertAlign w:val="subscript"/>
          <w:lang w:val="en-US"/>
        </w:rPr>
        <w:t>t</w:t>
      </w:r>
      <w:r>
        <w:rPr>
          <w:rFonts w:eastAsia="Times New Roman" w:cs="Times New Roman"/>
          <w:szCs w:val="20"/>
          <w:lang w:val="en-US"/>
        </w:rPr>
        <w:t xml:space="preserve">, the WPC for market </w:t>
      </w:r>
      <w:r w:rsidRPr="007A0589">
        <w:rPr>
          <w:rFonts w:eastAsia="Times New Roman" w:cs="Times New Roman"/>
          <w:i/>
          <w:szCs w:val="20"/>
          <w:lang w:val="en-US"/>
        </w:rPr>
        <w:t>i</w:t>
      </w:r>
      <w:r>
        <w:rPr>
          <w:rFonts w:eastAsia="Times New Roman" w:cs="Times New Roman"/>
          <w:szCs w:val="20"/>
          <w:lang w:val="en-US"/>
        </w:rPr>
        <w:t xml:space="preserve"> over the sample period is defined as</w:t>
      </w:r>
      <w:r w:rsidR="00977701">
        <w:rPr>
          <w:rFonts w:eastAsia="Times New Roman" w:cs="Times New Roman"/>
          <w:szCs w:val="20"/>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630"/>
      </w:tblGrid>
      <w:tr w:rsidR="005F7E43" w:rsidTr="005F7E43">
        <w:tc>
          <w:tcPr>
            <w:tcW w:w="8613" w:type="dxa"/>
            <w:vAlign w:val="center"/>
          </w:tcPr>
          <w:p w:rsidR="005F7E43" w:rsidRPr="005F7E43" w:rsidRDefault="007D7521" w:rsidP="005F7E43">
            <w:pPr>
              <w:suppressAutoHyphens/>
              <w:ind w:firstLine="0"/>
              <w:jc w:val="center"/>
              <w:rPr>
                <w:rFonts w:eastAsia="Times New Roman" w:cs="Times New Roman"/>
                <w:szCs w:val="24"/>
                <w:lang w:val="en-US"/>
              </w:rPr>
            </w:pPr>
            <m:oMath>
              <m:sSub>
                <m:sSubPr>
                  <m:ctrlPr>
                    <w:rPr>
                      <w:rFonts w:ascii="Cambria Math" w:hAnsi="Cambria Math" w:cs="Times New Roman"/>
                      <w:szCs w:val="24"/>
                      <w:lang w:val="en-US"/>
                    </w:rPr>
                  </m:ctrlPr>
                </m:sSubPr>
                <m:e>
                  <m:r>
                    <m:rPr>
                      <m:sty m:val="p"/>
                    </m:rPr>
                    <w:rPr>
                      <w:rFonts w:ascii="Cambria Math" w:hAnsi="Cambria Math" w:cs="Times New Roman"/>
                      <w:szCs w:val="24"/>
                      <w:lang w:val="en-US"/>
                    </w:rPr>
                    <m:t>WPC</m:t>
                  </m:r>
                </m:e>
                <m:sub>
                  <m:r>
                    <m:rPr>
                      <m:sty m:val="p"/>
                    </m:rPr>
                    <w:rPr>
                      <w:rFonts w:ascii="Cambria Math" w:hAnsi="Cambria Math" w:cs="Times New Roman"/>
                      <w:szCs w:val="24"/>
                      <w:lang w:val="en-US"/>
                    </w:rPr>
                    <m:t>i</m:t>
                  </m:r>
                </m:sub>
              </m:sSub>
              <m:r>
                <m:rPr>
                  <m:sty m:val="p"/>
                </m:rPr>
                <w:rPr>
                  <w:rFonts w:ascii="Cambria Math" w:cs="Times New Roman"/>
                  <w:szCs w:val="24"/>
                  <w:lang w:val="en-US"/>
                </w:rPr>
                <m:t xml:space="preserve">= </m:t>
              </m:r>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t</m:t>
                  </m:r>
                  <m:r>
                    <m:rPr>
                      <m:sty m:val="p"/>
                    </m:rPr>
                    <w:rPr>
                      <w:rFonts w:ascii="Cambria Math" w:cs="Times New Roman"/>
                      <w:szCs w:val="24"/>
                      <w:lang w:val="en-US"/>
                    </w:rPr>
                    <m:t>=1</m:t>
                  </m:r>
                </m:sub>
                <m:sup>
                  <m:r>
                    <m:rPr>
                      <m:sty m:val="p"/>
                    </m:rPr>
                    <w:rPr>
                      <w:rFonts w:ascii="Cambria Math" w:hAnsi="Cambria Math" w:cs="Times New Roman"/>
                      <w:szCs w:val="24"/>
                      <w:lang w:val="en-US"/>
                    </w:rPr>
                    <m:t>T</m:t>
                  </m:r>
                </m:sup>
                <m:e>
                  <m:f>
                    <m:fPr>
                      <m:ctrlPr>
                        <w:rPr>
                          <w:rFonts w:ascii="Cambria Math" w:hAnsi="Cambria Math" w:cs="Times New Roman"/>
                          <w:szCs w:val="24"/>
                          <w:lang w:val="en-US"/>
                        </w:rPr>
                      </m:ctrlPr>
                    </m:fPr>
                    <m:num>
                      <m:sSub>
                        <m:sSubPr>
                          <m:ctrlPr>
                            <w:rPr>
                              <w:rFonts w:ascii="Cambria Math" w:hAnsi="Cambria Math" w:cs="Times New Roman"/>
                              <w:szCs w:val="24"/>
                              <w:lang w:val="en-US"/>
                            </w:rPr>
                          </m:ctrlPr>
                        </m:sSubPr>
                        <m:e>
                          <m:r>
                            <m:rPr>
                              <m:sty m:val="p"/>
                            </m:rPr>
                            <w:rPr>
                              <w:rFonts w:ascii="Cambria Math" w:hAnsi="Cambria Math" w:cs="Times New Roman"/>
                              <w:szCs w:val="24"/>
                              <w:lang w:val="en-US"/>
                            </w:rPr>
                            <m:t>r</m:t>
                          </m:r>
                        </m:e>
                        <m:sub>
                          <m:r>
                            <m:rPr>
                              <m:sty m:val="p"/>
                            </m:rPr>
                            <w:rPr>
                              <w:rFonts w:ascii="Cambria Math" w:hAnsi="Cambria Math" w:cs="Times New Roman"/>
                              <w:szCs w:val="24"/>
                              <w:lang w:val="en-US"/>
                            </w:rPr>
                            <m:t>i</m:t>
                          </m:r>
                          <m:r>
                            <m:rPr>
                              <m:sty m:val="p"/>
                            </m:rPr>
                            <w:rPr>
                              <w:rFonts w:ascii="Cambria Math" w:cs="Times New Roman"/>
                              <w:szCs w:val="24"/>
                              <w:lang w:val="en-US"/>
                            </w:rPr>
                            <m:t>,</m:t>
                          </m:r>
                          <m:r>
                            <m:rPr>
                              <m:sty m:val="p"/>
                            </m:rPr>
                            <w:rPr>
                              <w:rFonts w:ascii="Cambria Math" w:hAnsi="Cambria Math" w:cs="Times New Roman"/>
                              <w:szCs w:val="24"/>
                              <w:lang w:val="en-US"/>
                            </w:rPr>
                            <m:t>t</m:t>
                          </m:r>
                        </m:sub>
                      </m:sSub>
                    </m:num>
                    <m:den>
                      <m:sSub>
                        <m:sSubPr>
                          <m:ctrlPr>
                            <w:rPr>
                              <w:rFonts w:ascii="Cambria Math" w:hAnsi="Cambria Math" w:cs="Times New Roman"/>
                              <w:szCs w:val="24"/>
                              <w:lang w:val="en-US"/>
                            </w:rPr>
                          </m:ctrlPr>
                        </m:sSubPr>
                        <m:e>
                          <m:r>
                            <m:rPr>
                              <m:sty m:val="p"/>
                            </m:rPr>
                            <w:rPr>
                              <w:rFonts w:ascii="Cambria Math" w:hAnsi="Cambria Math" w:cs="Times New Roman"/>
                              <w:szCs w:val="24"/>
                              <w:lang w:val="en-US"/>
                            </w:rPr>
                            <m:t>r</m:t>
                          </m:r>
                        </m:e>
                        <m:sub>
                          <m:r>
                            <m:rPr>
                              <m:sty m:val="p"/>
                            </m:rPr>
                            <w:rPr>
                              <w:rFonts w:ascii="Cambria Math" w:hAnsi="Cambria Math" w:cs="Times New Roman"/>
                              <w:szCs w:val="24"/>
                              <w:lang w:val="en-US"/>
                            </w:rPr>
                            <m:t>t</m:t>
                          </m:r>
                        </m:sub>
                      </m:sSub>
                    </m:den>
                  </m:f>
                </m:e>
              </m:nary>
              <m:d>
                <m:dPr>
                  <m:ctrlPr>
                    <w:rPr>
                      <w:rFonts w:ascii="Cambria Math" w:hAnsi="Cambria Math" w:cs="Times New Roman"/>
                      <w:szCs w:val="24"/>
                      <w:lang w:val="en-US"/>
                    </w:rPr>
                  </m:ctrlPr>
                </m:dPr>
                <m:e>
                  <m:f>
                    <m:fPr>
                      <m:ctrlPr>
                        <w:rPr>
                          <w:rFonts w:ascii="Cambria Math" w:hAnsi="Cambria Math" w:cs="Times New Roman"/>
                          <w:szCs w:val="24"/>
                          <w:lang w:val="en-US"/>
                        </w:rPr>
                      </m:ctrlPr>
                    </m:fPr>
                    <m:num>
                      <m:r>
                        <m:rPr>
                          <m:sty m:val="p"/>
                        </m:rPr>
                        <w:rPr>
                          <w:rFonts w:ascii="Cambria Math" w:cs="Times New Roman"/>
                          <w:szCs w:val="24"/>
                          <w:lang w:val="en-US"/>
                        </w:rPr>
                        <m:t>|</m:t>
                      </m:r>
                      <m:sSub>
                        <m:sSubPr>
                          <m:ctrlPr>
                            <w:rPr>
                              <w:rFonts w:ascii="Cambria Math" w:hAnsi="Cambria Math" w:cs="Times New Roman"/>
                              <w:szCs w:val="24"/>
                              <w:lang w:val="en-US"/>
                            </w:rPr>
                          </m:ctrlPr>
                        </m:sSubPr>
                        <m:e>
                          <m:r>
                            <m:rPr>
                              <m:sty m:val="p"/>
                            </m:rPr>
                            <w:rPr>
                              <w:rFonts w:ascii="Cambria Math" w:hAnsi="Cambria Math" w:cs="Times New Roman"/>
                              <w:szCs w:val="24"/>
                              <w:lang w:val="en-US"/>
                            </w:rPr>
                            <m:t>r</m:t>
                          </m:r>
                        </m:e>
                        <m:sub>
                          <m:r>
                            <m:rPr>
                              <m:sty m:val="p"/>
                            </m:rPr>
                            <w:rPr>
                              <w:rFonts w:ascii="Cambria Math" w:hAnsi="Cambria Math" w:cs="Times New Roman"/>
                              <w:szCs w:val="24"/>
                              <w:lang w:val="en-US"/>
                            </w:rPr>
                            <m:t>t</m:t>
                          </m:r>
                        </m:sub>
                      </m:sSub>
                      <m:r>
                        <m:rPr>
                          <m:sty m:val="p"/>
                        </m:rPr>
                        <w:rPr>
                          <w:rFonts w:ascii="Cambria Math" w:cs="Times New Roman"/>
                          <w:szCs w:val="24"/>
                          <w:lang w:val="en-US"/>
                        </w:rPr>
                        <m:t>|</m:t>
                      </m:r>
                    </m:num>
                    <m:den>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s</m:t>
                          </m:r>
                          <m:r>
                            <m:rPr>
                              <m:sty m:val="p"/>
                            </m:rPr>
                            <w:rPr>
                              <w:rFonts w:ascii="Cambria Math" w:cs="Times New Roman"/>
                              <w:szCs w:val="24"/>
                              <w:lang w:val="en-US"/>
                            </w:rPr>
                            <m:t>=1</m:t>
                          </m:r>
                        </m:sub>
                        <m:sup>
                          <m:r>
                            <m:rPr>
                              <m:sty m:val="p"/>
                            </m:rPr>
                            <w:rPr>
                              <w:rFonts w:ascii="Cambria Math" w:hAnsi="Cambria Math" w:cs="Times New Roman"/>
                              <w:szCs w:val="24"/>
                              <w:lang w:val="en-US"/>
                            </w:rPr>
                            <m:t>T</m:t>
                          </m:r>
                        </m:sup>
                        <m:e>
                          <m:r>
                            <m:rPr>
                              <m:sty m:val="p"/>
                            </m:rPr>
                            <w:rPr>
                              <w:rFonts w:ascii="Cambria Math" w:cs="Times New Roman"/>
                              <w:szCs w:val="24"/>
                              <w:lang w:val="en-US"/>
                            </w:rPr>
                            <m:t>|</m:t>
                          </m:r>
                          <m:sSub>
                            <m:sSubPr>
                              <m:ctrlPr>
                                <w:rPr>
                                  <w:rFonts w:ascii="Cambria Math" w:hAnsi="Cambria Math" w:cs="Times New Roman"/>
                                  <w:szCs w:val="24"/>
                                  <w:lang w:val="en-US"/>
                                </w:rPr>
                              </m:ctrlPr>
                            </m:sSubPr>
                            <m:e>
                              <m:r>
                                <m:rPr>
                                  <m:sty m:val="p"/>
                                </m:rPr>
                                <w:rPr>
                                  <w:rFonts w:ascii="Cambria Math" w:hAnsi="Cambria Math" w:cs="Times New Roman"/>
                                  <w:szCs w:val="24"/>
                                  <w:lang w:val="en-US"/>
                                </w:rPr>
                                <m:t>r</m:t>
                              </m:r>
                            </m:e>
                            <m:sub>
                              <m:r>
                                <m:rPr>
                                  <m:sty m:val="p"/>
                                </m:rPr>
                                <w:rPr>
                                  <w:rFonts w:ascii="Cambria Math" w:hAnsi="Cambria Math" w:cs="Times New Roman"/>
                                  <w:szCs w:val="24"/>
                                  <w:lang w:val="en-US"/>
                                </w:rPr>
                                <m:t>s</m:t>
                              </m:r>
                            </m:sub>
                          </m:sSub>
                          <m:r>
                            <m:rPr>
                              <m:sty m:val="p"/>
                            </m:rPr>
                            <w:rPr>
                              <w:rFonts w:ascii="Cambria Math" w:cs="Times New Roman"/>
                              <w:szCs w:val="24"/>
                              <w:lang w:val="en-US"/>
                            </w:rPr>
                            <m:t>|</m:t>
                          </m:r>
                        </m:e>
                      </m:nary>
                    </m:den>
                  </m:f>
                </m:e>
              </m:d>
            </m:oMath>
            <w:r w:rsidR="005F7E43">
              <w:rPr>
                <w:rFonts w:eastAsia="Times New Roman" w:cs="Times New Roman"/>
                <w:szCs w:val="24"/>
                <w:lang w:val="en-US"/>
              </w:rPr>
              <w:t xml:space="preserve"> </w:t>
            </w:r>
          </w:p>
        </w:tc>
        <w:tc>
          <w:tcPr>
            <w:tcW w:w="630" w:type="dxa"/>
            <w:vAlign w:val="center"/>
          </w:tcPr>
          <w:p w:rsidR="005F7E43" w:rsidRDefault="006A506C" w:rsidP="00A11F7C">
            <w:pPr>
              <w:suppressAutoHyphens/>
              <w:ind w:firstLine="0"/>
              <w:rPr>
                <w:rFonts w:eastAsia="Times New Roman" w:cs="Times New Roman"/>
                <w:szCs w:val="20"/>
                <w:lang w:val="en-US"/>
              </w:rPr>
            </w:pPr>
            <w:r>
              <w:rPr>
                <w:rFonts w:eastAsia="Times New Roman" w:cs="Times New Roman"/>
                <w:szCs w:val="24"/>
                <w:lang w:val="en-US"/>
              </w:rPr>
              <w:t>(3</w:t>
            </w:r>
            <w:r w:rsidR="005F7E43">
              <w:rPr>
                <w:rFonts w:eastAsia="Times New Roman" w:cs="Times New Roman"/>
                <w:szCs w:val="24"/>
                <w:lang w:val="en-US"/>
              </w:rPr>
              <w:t>)</w:t>
            </w:r>
          </w:p>
        </w:tc>
      </w:tr>
    </w:tbl>
    <w:p w:rsidR="00E85D6F" w:rsidRDefault="00D90356" w:rsidP="00E85D6F">
      <w:pPr>
        <w:suppressAutoHyphens/>
        <w:ind w:firstLine="0"/>
        <w:rPr>
          <w:szCs w:val="24"/>
        </w:rPr>
      </w:pPr>
      <w:r>
        <w:rPr>
          <w:rFonts w:eastAsia="Times New Roman" w:cs="Times New Roman"/>
          <w:szCs w:val="24"/>
          <w:lang w:val="en-US"/>
        </w:rPr>
        <w:t xml:space="preserve">Under the assumption of return normality, </w:t>
      </w:r>
      <w:r w:rsidR="00ED311F">
        <w:rPr>
          <w:rFonts w:eastAsia="Times New Roman" w:cs="Times New Roman"/>
          <w:szCs w:val="24"/>
          <w:lang w:val="en-US"/>
        </w:rPr>
        <w:fldChar w:fldCharType="begin"/>
      </w:r>
      <w:r w:rsidR="00BC3C36">
        <w:rPr>
          <w:rFonts w:eastAsia="Times New Roman" w:cs="Times New Roman"/>
          <w:szCs w:val="24"/>
          <w:lang w:val="en-US"/>
        </w:rPr>
        <w:instrText xml:space="preserve"> ADDIN EN.CITE &lt;EndNote&gt;&lt;Cite&gt;&lt;Author&gt;Wang&lt;/Author&gt;&lt;Year&gt;2014&lt;/Year&gt;&lt;RecNum&gt;797&lt;/RecNum&gt;&lt;DisplayText&gt;Wang and Yang (2014)&lt;/DisplayText&gt;&lt;record&gt;&lt;rec-number&gt;797&lt;/rec-number&gt;&lt;foreign-keys&gt;&lt;key app="EN" db-id="szetpsas1ep5veesd5xvva5qdxwetsvpfs5x"&gt;797&lt;/key&gt;&lt;/foreign-keys&gt;&lt;ref-type name="Journal Article"&gt;17&lt;/ref-type&gt;&lt;contributors&gt;&lt;authors&gt;&lt;author&gt;Wang, Jianxin&lt;/author&gt;&lt;author&gt;Yang, Minxian&lt;/author&gt;&lt;/authors&gt;&lt;/contributors&gt;&lt;titles&gt;&lt;title&gt;How Well Does the Weighted Price Contribution Measure Price Discovery?&lt;/title&gt;&lt;secondary-title&gt;Working Paper, University of Technology, Sydney&lt;/secondary-title&gt;&lt;/titles&gt;&lt;periodical&gt;&lt;full-title&gt;Working Paper, University of Technology, Sydney&lt;/full-title&gt;&lt;/periodical&gt;&lt;dates&gt;&lt;year&gt;2014&lt;/year&gt;&lt;/dates&gt;&lt;urls&gt;&lt;/urls&gt;&lt;/record&gt;&lt;/Cite&gt;&lt;/EndNote&gt;</w:instrText>
      </w:r>
      <w:r w:rsidR="00ED311F">
        <w:rPr>
          <w:rFonts w:eastAsia="Times New Roman" w:cs="Times New Roman"/>
          <w:szCs w:val="24"/>
          <w:lang w:val="en-US"/>
        </w:rPr>
        <w:fldChar w:fldCharType="separate"/>
      </w:r>
      <w:hyperlink w:anchor="_ENREF_40" w:tooltip="Wang, 2014 #797" w:history="1">
        <w:r w:rsidR="00C419D5">
          <w:rPr>
            <w:rFonts w:eastAsia="Times New Roman" w:cs="Times New Roman"/>
            <w:noProof/>
            <w:szCs w:val="24"/>
            <w:lang w:val="en-US"/>
          </w:rPr>
          <w:t>Wang and Yang (2014</w:t>
        </w:r>
      </w:hyperlink>
      <w:r w:rsidR="00F60E9A">
        <w:rPr>
          <w:rFonts w:eastAsia="Times New Roman" w:cs="Times New Roman"/>
          <w:noProof/>
          <w:szCs w:val="24"/>
          <w:lang w:val="en-US"/>
        </w:rPr>
        <w:t>)</w:t>
      </w:r>
      <w:r w:rsidR="00ED311F">
        <w:rPr>
          <w:rFonts w:eastAsia="Times New Roman" w:cs="Times New Roman"/>
          <w:szCs w:val="24"/>
          <w:lang w:val="en-US"/>
        </w:rPr>
        <w:fldChar w:fldCharType="end"/>
      </w:r>
      <w:r>
        <w:rPr>
          <w:rFonts w:eastAsia="Times New Roman" w:cs="Times New Roman"/>
          <w:szCs w:val="24"/>
          <w:lang w:val="en-US"/>
        </w:rPr>
        <w:t xml:space="preserve"> examine the asymptotic properties of WPC.  Let r</w:t>
      </w:r>
      <w:r w:rsidR="0054056C">
        <w:rPr>
          <w:rFonts w:eastAsia="Times New Roman" w:cs="Times New Roman"/>
          <w:i/>
          <w:szCs w:val="24"/>
          <w:vertAlign w:val="subscript"/>
          <w:lang w:val="en-US"/>
        </w:rPr>
        <w:t>-i</w:t>
      </w:r>
      <w:r w:rsidRPr="0054056C">
        <w:rPr>
          <w:rFonts w:eastAsia="Times New Roman" w:cs="Times New Roman"/>
          <w:i/>
          <w:szCs w:val="24"/>
          <w:vertAlign w:val="subscript"/>
          <w:lang w:val="en-US"/>
        </w:rPr>
        <w:t>,t</w:t>
      </w:r>
      <w:r>
        <w:rPr>
          <w:rFonts w:eastAsia="Times New Roman" w:cs="Times New Roman"/>
          <w:szCs w:val="24"/>
          <w:lang w:val="en-US"/>
        </w:rPr>
        <w:t xml:space="preserve"> be the total return in the other markets so that  </w:t>
      </w:r>
      <w:r>
        <w:rPr>
          <w:szCs w:val="24"/>
        </w:rPr>
        <w:t>r</w:t>
      </w:r>
      <w:r w:rsidRPr="0054056C">
        <w:rPr>
          <w:i/>
          <w:szCs w:val="24"/>
          <w:vertAlign w:val="subscript"/>
        </w:rPr>
        <w:t>t</w:t>
      </w:r>
      <w:r>
        <w:rPr>
          <w:szCs w:val="24"/>
          <w:vertAlign w:val="subscript"/>
        </w:rPr>
        <w:t xml:space="preserve"> </w:t>
      </w:r>
      <w:r>
        <w:rPr>
          <w:szCs w:val="24"/>
        </w:rPr>
        <w:t>= r</w:t>
      </w:r>
      <w:r>
        <w:rPr>
          <w:szCs w:val="24"/>
          <w:vertAlign w:val="subscript"/>
        </w:rPr>
        <w:t>i</w:t>
      </w:r>
      <w:r w:rsidRPr="0054056C">
        <w:rPr>
          <w:i/>
          <w:szCs w:val="24"/>
          <w:vertAlign w:val="subscript"/>
        </w:rPr>
        <w:t xml:space="preserve">,t </w:t>
      </w:r>
      <w:r>
        <w:rPr>
          <w:szCs w:val="24"/>
        </w:rPr>
        <w:t>+ r</w:t>
      </w:r>
      <w:r>
        <w:rPr>
          <w:szCs w:val="24"/>
          <w:vertAlign w:val="subscript"/>
        </w:rPr>
        <w:t>-i,t</w:t>
      </w:r>
      <w:r>
        <w:rPr>
          <w:rFonts w:eastAsia="Times New Roman" w:cs="Times New Roman"/>
          <w:szCs w:val="24"/>
          <w:lang w:val="en-US"/>
        </w:rPr>
        <w:t xml:space="preserve">.  Define </w:t>
      </w:r>
      <w:r>
        <w:rPr>
          <w:szCs w:val="24"/>
        </w:rPr>
        <w:t>σ</w:t>
      </w:r>
      <w:r>
        <w:rPr>
          <w:szCs w:val="24"/>
          <w:vertAlign w:val="superscript"/>
        </w:rPr>
        <w:t>2</w:t>
      </w:r>
      <w:r>
        <w:rPr>
          <w:szCs w:val="24"/>
        </w:rPr>
        <w:t xml:space="preserve"> = var(r</w:t>
      </w:r>
      <w:r>
        <w:rPr>
          <w:szCs w:val="24"/>
        </w:rPr>
        <w:softHyphen/>
      </w:r>
      <w:r w:rsidRPr="0054056C">
        <w:rPr>
          <w:i/>
          <w:szCs w:val="24"/>
          <w:vertAlign w:val="subscript"/>
        </w:rPr>
        <w:t>t</w:t>
      </w:r>
      <w:r>
        <w:rPr>
          <w:szCs w:val="24"/>
        </w:rPr>
        <w:t xml:space="preserve">), </w:t>
      </w:r>
      <m:oMath>
        <m:sSubSup>
          <m:sSubSupPr>
            <m:ctrlPr>
              <w:rPr>
                <w:rFonts w:ascii="Cambria Math" w:hAnsi="Cambria Math"/>
                <w:szCs w:val="24"/>
              </w:rPr>
            </m:ctrlPr>
          </m:sSubSupPr>
          <m:e>
            <m:r>
              <m:rPr>
                <m:sty m:val="p"/>
              </m:rPr>
              <w:rPr>
                <w:rFonts w:ascii="Cambria Math" w:hAnsi="Cambria Math"/>
                <w:szCs w:val="24"/>
              </w:rPr>
              <m:t>σ</m:t>
            </m:r>
          </m:e>
          <m:sub>
            <m:r>
              <m:rPr>
                <m:sty m:val="p"/>
              </m:rPr>
              <w:rPr>
                <w:rFonts w:ascii="Cambria Math" w:hAnsi="Cambria Math"/>
                <w:szCs w:val="24"/>
              </w:rPr>
              <m:t>i</m:t>
            </m:r>
          </m:sub>
          <m:sup>
            <m:r>
              <m:rPr>
                <m:sty m:val="p"/>
              </m:rPr>
              <w:rPr>
                <w:rFonts w:ascii="Cambria Math" w:hAnsi="Cambria Math"/>
                <w:szCs w:val="24"/>
              </w:rPr>
              <m:t>2</m:t>
            </m:r>
          </m:sup>
        </m:sSubSup>
      </m:oMath>
      <w:r>
        <w:rPr>
          <w:szCs w:val="24"/>
        </w:rPr>
        <w:t xml:space="preserve"> = var(r</w:t>
      </w:r>
      <w:r>
        <w:rPr>
          <w:szCs w:val="24"/>
        </w:rPr>
        <w:softHyphen/>
      </w:r>
      <w:r>
        <w:rPr>
          <w:szCs w:val="24"/>
          <w:vertAlign w:val="subscript"/>
        </w:rPr>
        <w:t>i,t</w:t>
      </w:r>
      <w:r>
        <w:rPr>
          <w:szCs w:val="24"/>
        </w:rPr>
        <w:t xml:space="preserve">), </w:t>
      </w:r>
      <m:oMath>
        <m:sSubSup>
          <m:sSubSupPr>
            <m:ctrlPr>
              <w:rPr>
                <w:rFonts w:ascii="Cambria Math" w:hAnsi="Cambria Math"/>
                <w:szCs w:val="24"/>
              </w:rPr>
            </m:ctrlPr>
          </m:sSubSupPr>
          <m:e>
            <m:r>
              <m:rPr>
                <m:sty m:val="p"/>
              </m:rPr>
              <w:rPr>
                <w:rFonts w:ascii="Cambria Math" w:hAnsi="Cambria Math"/>
                <w:szCs w:val="24"/>
              </w:rPr>
              <m:t>σ</m:t>
            </m:r>
          </m:e>
          <m:sub>
            <m:r>
              <w:rPr>
                <w:rFonts w:ascii="Cambria Math" w:hAnsi="Cambria Math"/>
                <w:szCs w:val="24"/>
              </w:rPr>
              <m:t>-i</m:t>
            </m:r>
          </m:sub>
          <m:sup>
            <m:r>
              <m:rPr>
                <m:sty m:val="p"/>
              </m:rPr>
              <w:rPr>
                <w:rFonts w:ascii="Cambria Math" w:hAnsi="Cambria Math"/>
                <w:szCs w:val="24"/>
              </w:rPr>
              <m:t>2</m:t>
            </m:r>
          </m:sup>
        </m:sSubSup>
      </m:oMath>
      <w:r>
        <w:rPr>
          <w:szCs w:val="24"/>
        </w:rPr>
        <w:t xml:space="preserve"> = var(r</w:t>
      </w:r>
      <w:r>
        <w:rPr>
          <w:szCs w:val="24"/>
        </w:rPr>
        <w:softHyphen/>
      </w:r>
      <w:r>
        <w:rPr>
          <w:szCs w:val="24"/>
          <w:vertAlign w:val="subscript"/>
        </w:rPr>
        <w:t>-i,t</w:t>
      </w:r>
      <w:r>
        <w:rPr>
          <w:szCs w:val="24"/>
        </w:rPr>
        <w:t>), and ρ = cor(r</w:t>
      </w:r>
      <w:r>
        <w:rPr>
          <w:szCs w:val="24"/>
          <w:vertAlign w:val="subscript"/>
        </w:rPr>
        <w:t>i,t</w:t>
      </w:r>
      <w:r>
        <w:rPr>
          <w:szCs w:val="24"/>
        </w:rPr>
        <w:t>, r</w:t>
      </w:r>
      <w:r>
        <w:rPr>
          <w:szCs w:val="24"/>
          <w:vertAlign w:val="subscript"/>
        </w:rPr>
        <w:t>-i,t</w:t>
      </w:r>
      <w:r>
        <w:rPr>
          <w:szCs w:val="24"/>
        </w:rPr>
        <w:t xml:space="preserve">).  </w:t>
      </w:r>
      <w:r>
        <w:rPr>
          <w:rFonts w:eastAsia="Times New Roman" w:cs="Times New Roman"/>
          <w:szCs w:val="24"/>
          <w:lang w:val="en-US"/>
        </w:rPr>
        <w:t xml:space="preserve">Wang and Yang (2014) show that when </w:t>
      </w:r>
      <w:r>
        <w:rPr>
          <w:rFonts w:eastAsia="Times New Roman" w:cs="Times New Roman"/>
          <w:szCs w:val="24"/>
          <w:lang w:val="en-US"/>
        </w:rPr>
        <w:lastRenderedPageBreak/>
        <w:t xml:space="preserve">the mean return is close to zero, as in the case of daily or intraday returns, </w:t>
      </w:r>
      <w:r w:rsidRPr="007E102F">
        <w:rPr>
          <w:szCs w:val="20"/>
        </w:rPr>
        <w:t>WPC</w:t>
      </w:r>
      <w:r w:rsidRPr="007E102F">
        <w:rPr>
          <w:szCs w:val="20"/>
          <w:vertAlign w:val="subscript"/>
        </w:rPr>
        <w:t>i</w:t>
      </w:r>
      <w:r w:rsidRPr="007E102F">
        <w:rPr>
          <w:szCs w:val="20"/>
        </w:rPr>
        <w:t xml:space="preserve"> </w:t>
      </w:r>
      <m:oMath>
        <m:r>
          <w:rPr>
            <w:rFonts w:ascii="Cambria Math" w:hAnsi="Cambria Math"/>
            <w:szCs w:val="20"/>
          </w:rPr>
          <m:t xml:space="preserve">→ </m:t>
        </m:r>
        <m:f>
          <m:fPr>
            <m:ctrlPr>
              <w:rPr>
                <w:rFonts w:ascii="Cambria Math" w:hAnsi="Cambria Math"/>
                <w:szCs w:val="20"/>
              </w:rPr>
            </m:ctrlPr>
          </m:fPr>
          <m:num>
            <m:sSubSup>
              <m:sSubSupPr>
                <m:ctrlPr>
                  <w:rPr>
                    <w:rFonts w:ascii="Cambria Math" w:hAnsi="Cambria Math"/>
                    <w:szCs w:val="20"/>
                  </w:rPr>
                </m:ctrlPr>
              </m:sSubSupPr>
              <m:e>
                <m:r>
                  <m:rPr>
                    <m:sty m:val="p"/>
                  </m:rPr>
                  <w:rPr>
                    <w:rFonts w:ascii="Cambria Math" w:hAnsi="Cambria Math"/>
                    <w:szCs w:val="20"/>
                  </w:rPr>
                  <m:t>σ</m:t>
                </m:r>
              </m:e>
              <m:sub>
                <m:r>
                  <m:rPr>
                    <m:sty m:val="p"/>
                  </m:rPr>
                  <w:rPr>
                    <w:rFonts w:ascii="Cambria Math" w:hAnsi="Cambria Math"/>
                    <w:szCs w:val="20"/>
                  </w:rPr>
                  <m:t>i</m:t>
                </m:r>
              </m:sub>
              <m:sup>
                <m:r>
                  <m:rPr>
                    <m:sty m:val="p"/>
                  </m:rPr>
                  <w:rPr>
                    <w:rFonts w:ascii="Cambria Math" w:hAnsi="Cambria Math"/>
                    <w:szCs w:val="20"/>
                  </w:rPr>
                  <m:t>2</m:t>
                </m:r>
              </m:sup>
            </m:sSubSup>
            <m:r>
              <m:rPr>
                <m:sty m:val="p"/>
              </m:rPr>
              <w:rPr>
                <w:rFonts w:ascii="Cambria Math" w:hAnsi="Cambria Math"/>
                <w:szCs w:val="20"/>
              </w:rPr>
              <m:t>+ρ</m:t>
            </m:r>
            <m:sSub>
              <m:sSubPr>
                <m:ctrlPr>
                  <w:rPr>
                    <w:rFonts w:ascii="Cambria Math" w:hAnsi="Cambria Math"/>
                    <w:szCs w:val="20"/>
                  </w:rPr>
                </m:ctrlPr>
              </m:sSubPr>
              <m:e>
                <m:r>
                  <m:rPr>
                    <m:sty m:val="p"/>
                  </m:rPr>
                  <w:rPr>
                    <w:rFonts w:ascii="Cambria Math" w:hAnsi="Cambria Math"/>
                    <w:szCs w:val="20"/>
                  </w:rPr>
                  <m:t>σ</m:t>
                </m:r>
              </m:e>
              <m:sub>
                <m:r>
                  <m:rPr>
                    <m:sty m:val="p"/>
                  </m:rPr>
                  <w:rPr>
                    <w:rFonts w:ascii="Cambria Math" w:hAnsi="Cambria Math"/>
                    <w:szCs w:val="20"/>
                  </w:rPr>
                  <m:t>i</m:t>
                </m:r>
              </m:sub>
            </m:sSub>
            <m:sSub>
              <m:sSubPr>
                <m:ctrlPr>
                  <w:rPr>
                    <w:rFonts w:ascii="Cambria Math" w:hAnsi="Cambria Math"/>
                    <w:szCs w:val="20"/>
                  </w:rPr>
                </m:ctrlPr>
              </m:sSubPr>
              <m:e>
                <m:r>
                  <m:rPr>
                    <m:sty m:val="p"/>
                  </m:rPr>
                  <w:rPr>
                    <w:rFonts w:ascii="Cambria Math" w:hAnsi="Cambria Math"/>
                    <w:szCs w:val="20"/>
                  </w:rPr>
                  <m:t>σ</m:t>
                </m:r>
              </m:e>
              <m:sub>
                <m:r>
                  <m:rPr>
                    <m:sty m:val="p"/>
                  </m:rPr>
                  <w:rPr>
                    <w:rFonts w:ascii="Cambria Math" w:hAnsi="Cambria Math"/>
                    <w:szCs w:val="20"/>
                  </w:rPr>
                  <m:t>-i</m:t>
                </m:r>
              </m:sub>
            </m:sSub>
          </m:num>
          <m:den>
            <m:sSup>
              <m:sSupPr>
                <m:ctrlPr>
                  <w:rPr>
                    <w:rFonts w:ascii="Cambria Math" w:hAnsi="Cambria Math"/>
                    <w:szCs w:val="20"/>
                  </w:rPr>
                </m:ctrlPr>
              </m:sSupPr>
              <m:e>
                <m:r>
                  <m:rPr>
                    <m:sty m:val="p"/>
                  </m:rPr>
                  <w:rPr>
                    <w:rFonts w:ascii="Cambria Math" w:hAnsi="Cambria Math"/>
                    <w:szCs w:val="20"/>
                  </w:rPr>
                  <m:t>σ</m:t>
                </m:r>
              </m:e>
              <m:sup>
                <m:r>
                  <m:rPr>
                    <m:sty m:val="p"/>
                  </m:rPr>
                  <w:rPr>
                    <w:rFonts w:ascii="Cambria Math" w:hAnsi="Cambria Math"/>
                    <w:szCs w:val="20"/>
                  </w:rPr>
                  <m:t>2</m:t>
                </m:r>
              </m:sup>
            </m:sSup>
          </m:den>
        </m:f>
      </m:oMath>
      <w:r>
        <w:rPr>
          <w:rFonts w:eastAsiaTheme="minorEastAsia"/>
          <w:szCs w:val="20"/>
        </w:rPr>
        <w:t xml:space="preserve">.  </w:t>
      </w:r>
      <w:r w:rsidR="005D0909">
        <w:rPr>
          <w:rFonts w:eastAsiaTheme="minorEastAsia"/>
          <w:szCs w:val="20"/>
        </w:rPr>
        <w:t xml:space="preserve">Because WPC depends on the volatility in other markets through the return correlation </w:t>
      </w:r>
      <w:r w:rsidR="005D0909" w:rsidRPr="001177C2">
        <w:rPr>
          <w:i/>
          <w:szCs w:val="24"/>
        </w:rPr>
        <w:t>ρ</w:t>
      </w:r>
      <w:r w:rsidR="005D0909">
        <w:rPr>
          <w:szCs w:val="24"/>
        </w:rPr>
        <w:t>, it</w:t>
      </w:r>
      <w:r w:rsidR="005D0909">
        <w:rPr>
          <w:rFonts w:eastAsiaTheme="minorEastAsia"/>
          <w:szCs w:val="20"/>
        </w:rPr>
        <w:t xml:space="preserve"> is not an appropriate measure for information flow.  If </w:t>
      </w:r>
      <w:r w:rsidR="005D0909" w:rsidRPr="001177C2">
        <w:rPr>
          <w:i/>
          <w:szCs w:val="24"/>
        </w:rPr>
        <w:t>ρ</w:t>
      </w:r>
      <w:r w:rsidR="005D0909">
        <w:rPr>
          <w:szCs w:val="24"/>
        </w:rPr>
        <w:t xml:space="preserve"> is close to zero, i.e. returns are independent, WPC is a reasonable proxy for information share.  </w:t>
      </w:r>
      <w:r w:rsidR="001B1E7A">
        <w:rPr>
          <w:szCs w:val="24"/>
        </w:rPr>
        <w:t>W</w:t>
      </w:r>
      <w:r w:rsidR="00F326F4">
        <w:rPr>
          <w:szCs w:val="24"/>
        </w:rPr>
        <w:t>hile recognizing the theoretical difference between IS and WPC, w</w:t>
      </w:r>
      <w:r w:rsidR="001B1E7A">
        <w:rPr>
          <w:szCs w:val="24"/>
        </w:rPr>
        <w:t>e estimate WPC as a robustness check</w:t>
      </w:r>
      <w:r w:rsidR="00F326F4">
        <w:rPr>
          <w:szCs w:val="24"/>
        </w:rPr>
        <w:t xml:space="preserve"> for IS</w:t>
      </w:r>
      <w:r w:rsidR="001B1E7A">
        <w:rPr>
          <w:szCs w:val="24"/>
        </w:rPr>
        <w:t xml:space="preserve">. </w:t>
      </w:r>
    </w:p>
    <w:p w:rsidR="004719E5" w:rsidRPr="00382CCC" w:rsidRDefault="004719E5" w:rsidP="004719E5">
      <w:pPr>
        <w:pStyle w:val="TitlesCentred"/>
        <w:numPr>
          <w:ilvl w:val="0"/>
          <w:numId w:val="2"/>
        </w:numPr>
        <w:spacing w:before="240"/>
        <w:jc w:val="both"/>
      </w:pPr>
      <w:r>
        <w:t>Global Information Distribution in the OTC gold market</w:t>
      </w:r>
    </w:p>
    <w:p w:rsidR="008C7EA9" w:rsidRPr="007C5987" w:rsidRDefault="008C7EA9" w:rsidP="00B47612">
      <w:pPr>
        <w:suppressAutoHyphens/>
        <w:spacing w:before="120"/>
        <w:ind w:firstLine="0"/>
        <w:rPr>
          <w:rFonts w:eastAsia="Times New Roman" w:cs="Times New Roman"/>
          <w:b/>
          <w:i/>
          <w:szCs w:val="20"/>
          <w:lang w:val="en-US"/>
        </w:rPr>
      </w:pPr>
      <w:r w:rsidRPr="007C5987">
        <w:rPr>
          <w:rFonts w:eastAsia="Times New Roman" w:cs="Times New Roman"/>
          <w:b/>
          <w:i/>
          <w:szCs w:val="20"/>
          <w:lang w:val="en-US"/>
        </w:rPr>
        <w:t>Data</w:t>
      </w:r>
      <w:r w:rsidR="007C5987" w:rsidRPr="007C5987">
        <w:rPr>
          <w:rFonts w:eastAsia="Times New Roman" w:cs="Times New Roman"/>
          <w:b/>
          <w:i/>
          <w:szCs w:val="20"/>
          <w:lang w:val="en-US"/>
        </w:rPr>
        <w:t xml:space="preserve"> and Markets</w:t>
      </w:r>
    </w:p>
    <w:p w:rsidR="005A6E54" w:rsidRDefault="00B47612" w:rsidP="00B47612">
      <w:pPr>
        <w:suppressAutoHyphens/>
        <w:contextualSpacing/>
        <w:rPr>
          <w:rFonts w:eastAsia="Times New Roman" w:cs="Times New Roman"/>
          <w:szCs w:val="20"/>
          <w:lang w:val="en-US"/>
        </w:rPr>
      </w:pPr>
      <w:r w:rsidRPr="0099458E">
        <w:rPr>
          <w:rFonts w:eastAsia="Times New Roman" w:cs="Times New Roman"/>
          <w:szCs w:val="20"/>
          <w:lang w:val="en-US"/>
        </w:rPr>
        <w:t>We use intraday gold spot trade</w:t>
      </w:r>
      <w:r w:rsidR="000E0ACC">
        <w:rPr>
          <w:rFonts w:eastAsia="Times New Roman" w:cs="Times New Roman"/>
          <w:szCs w:val="20"/>
          <w:lang w:val="en-US"/>
        </w:rPr>
        <w:t xml:space="preserve"> and quote data</w:t>
      </w:r>
      <w:r w:rsidRPr="0099458E">
        <w:rPr>
          <w:rFonts w:eastAsia="Times New Roman" w:cs="Times New Roman"/>
          <w:szCs w:val="20"/>
          <w:lang w:val="en-US"/>
        </w:rPr>
        <w:t xml:space="preserve"> </w:t>
      </w:r>
      <w:r>
        <w:rPr>
          <w:rFonts w:eastAsia="Times New Roman" w:cs="Times New Roman"/>
          <w:szCs w:val="20"/>
          <w:lang w:val="en-US"/>
        </w:rPr>
        <w:t>(identified by Reuters identifier XAU</w:t>
      </w:r>
      <w:r w:rsidR="00E01123">
        <w:rPr>
          <w:rFonts w:eastAsia="Times New Roman" w:cs="Times New Roman"/>
          <w:szCs w:val="20"/>
          <w:lang w:val="en-US"/>
        </w:rPr>
        <w:t>=</w:t>
      </w:r>
      <w:r>
        <w:rPr>
          <w:rFonts w:eastAsia="Times New Roman" w:cs="Times New Roman"/>
          <w:szCs w:val="20"/>
          <w:lang w:val="en-US"/>
        </w:rPr>
        <w:t>)</w:t>
      </w:r>
      <w:r w:rsidRPr="0099458E">
        <w:rPr>
          <w:rFonts w:eastAsia="Times New Roman" w:cs="Times New Roman"/>
          <w:szCs w:val="20"/>
          <w:lang w:val="en-US"/>
        </w:rPr>
        <w:t xml:space="preserve"> from T</w:t>
      </w:r>
      <w:r>
        <w:rPr>
          <w:rFonts w:eastAsia="Times New Roman" w:cs="Times New Roman"/>
          <w:szCs w:val="20"/>
          <w:lang w:val="en-US"/>
        </w:rPr>
        <w:t>homson Reuters Tick History (TRTH)</w:t>
      </w:r>
      <w:r w:rsidRPr="0099458E">
        <w:rPr>
          <w:rFonts w:eastAsia="Times New Roman" w:cs="Times New Roman"/>
          <w:szCs w:val="20"/>
          <w:lang w:val="en-US"/>
        </w:rPr>
        <w:t xml:space="preserve">. </w:t>
      </w:r>
      <w:r w:rsidR="00BB566D">
        <w:rPr>
          <w:rFonts w:eastAsia="Times New Roman" w:cs="Times New Roman"/>
          <w:szCs w:val="20"/>
          <w:lang w:val="en-US"/>
        </w:rPr>
        <w:t xml:space="preserve">The data </w:t>
      </w:r>
      <w:r w:rsidR="00666373">
        <w:rPr>
          <w:rFonts w:eastAsia="Times New Roman" w:cs="Times New Roman"/>
          <w:szCs w:val="20"/>
          <w:lang w:val="en-US"/>
        </w:rPr>
        <w:t xml:space="preserve">provided </w:t>
      </w:r>
      <w:r w:rsidR="00BB566D">
        <w:rPr>
          <w:rFonts w:eastAsia="Times New Roman" w:cs="Times New Roman"/>
          <w:szCs w:val="20"/>
          <w:lang w:val="en-US"/>
        </w:rPr>
        <w:t xml:space="preserve">consists of market participants that </w:t>
      </w:r>
      <w:r w:rsidR="00666373">
        <w:rPr>
          <w:rFonts w:eastAsia="Times New Roman" w:cs="Times New Roman"/>
          <w:szCs w:val="20"/>
          <w:lang w:val="en-US"/>
        </w:rPr>
        <w:t>meet Reuters' contributor criteria</w:t>
      </w:r>
      <w:r w:rsidR="000B43FB">
        <w:rPr>
          <w:rFonts w:eastAsia="Times New Roman" w:cs="Times New Roman"/>
          <w:szCs w:val="20"/>
          <w:lang w:val="en-US"/>
        </w:rPr>
        <w:t>, which</w:t>
      </w:r>
      <w:r w:rsidR="00B80A1E">
        <w:rPr>
          <w:rFonts w:eastAsia="Times New Roman" w:cs="Times New Roman"/>
          <w:szCs w:val="20"/>
          <w:lang w:val="en-US"/>
        </w:rPr>
        <w:t xml:space="preserve"> ensure that contributors are of sufficient credit quality and actively providing liquidity.</w:t>
      </w:r>
      <w:r w:rsidR="00B80A1E">
        <w:rPr>
          <w:rStyle w:val="FootnoteReference"/>
          <w:rFonts w:eastAsia="Times New Roman" w:cs="Times New Roman"/>
          <w:szCs w:val="20"/>
          <w:lang w:val="en-US"/>
        </w:rPr>
        <w:footnoteReference w:id="7"/>
      </w:r>
      <w:r w:rsidR="00B80A1E">
        <w:rPr>
          <w:rFonts w:eastAsia="Times New Roman" w:cs="Times New Roman"/>
          <w:szCs w:val="20"/>
          <w:lang w:val="en-US"/>
        </w:rPr>
        <w:t xml:space="preserve"> </w:t>
      </w:r>
      <w:r w:rsidR="000B43FB">
        <w:rPr>
          <w:rFonts w:eastAsia="Times New Roman" w:cs="Times New Roman"/>
          <w:szCs w:val="20"/>
          <w:lang w:val="en-US"/>
        </w:rPr>
        <w:t xml:space="preserve"> </w:t>
      </w:r>
      <w:r w:rsidR="00B80A1E">
        <w:rPr>
          <w:rFonts w:eastAsia="Times New Roman" w:cs="Times New Roman"/>
          <w:szCs w:val="20"/>
          <w:lang w:val="en-US"/>
        </w:rPr>
        <w:t xml:space="preserve">Our data </w:t>
      </w:r>
      <w:r w:rsidR="000B43FB">
        <w:rPr>
          <w:rFonts w:eastAsia="Times New Roman" w:cs="Times New Roman"/>
          <w:szCs w:val="20"/>
          <w:lang w:val="en-US"/>
        </w:rPr>
        <w:t>are</w:t>
      </w:r>
      <w:r w:rsidR="00B80A1E">
        <w:rPr>
          <w:rFonts w:eastAsia="Times New Roman" w:cs="Times New Roman"/>
          <w:szCs w:val="20"/>
          <w:lang w:val="en-US"/>
        </w:rPr>
        <w:t xml:space="preserve"> </w:t>
      </w:r>
      <w:r w:rsidR="000B43FB">
        <w:rPr>
          <w:rFonts w:eastAsia="Times New Roman" w:cs="Times New Roman"/>
          <w:szCs w:val="20"/>
          <w:lang w:val="en-US"/>
        </w:rPr>
        <w:t xml:space="preserve">intraday </w:t>
      </w:r>
      <w:r w:rsidR="000E0ACC">
        <w:rPr>
          <w:rFonts w:eastAsia="Times New Roman" w:cs="Times New Roman"/>
          <w:szCs w:val="20"/>
          <w:lang w:val="en-US"/>
        </w:rPr>
        <w:t xml:space="preserve">quotes </w:t>
      </w:r>
      <w:r w:rsidR="00B80A1E">
        <w:rPr>
          <w:rFonts w:eastAsia="Times New Roman" w:cs="Times New Roman"/>
          <w:szCs w:val="20"/>
          <w:lang w:val="en-US"/>
        </w:rPr>
        <w:t xml:space="preserve">from all </w:t>
      </w:r>
      <w:r w:rsidR="000B43FB">
        <w:rPr>
          <w:rFonts w:eastAsia="Times New Roman" w:cs="Times New Roman"/>
          <w:szCs w:val="20"/>
          <w:lang w:val="en-US"/>
        </w:rPr>
        <w:t xml:space="preserve">contributors, including </w:t>
      </w:r>
      <w:r w:rsidR="00486311">
        <w:rPr>
          <w:rFonts w:eastAsia="Times New Roman" w:cs="Times New Roman"/>
          <w:szCs w:val="20"/>
          <w:lang w:val="en-US"/>
        </w:rPr>
        <w:t>the LBMA</w:t>
      </w:r>
      <w:r w:rsidR="00BB566D">
        <w:rPr>
          <w:rFonts w:eastAsia="Times New Roman" w:cs="Times New Roman"/>
          <w:szCs w:val="20"/>
          <w:lang w:val="en-US"/>
        </w:rPr>
        <w:t xml:space="preserve"> </w:t>
      </w:r>
      <w:r w:rsidR="00486311">
        <w:rPr>
          <w:rFonts w:eastAsia="Times New Roman" w:cs="Times New Roman"/>
          <w:szCs w:val="20"/>
          <w:lang w:val="en-US"/>
        </w:rPr>
        <w:t xml:space="preserve">members </w:t>
      </w:r>
      <w:r w:rsidR="000B43FB">
        <w:rPr>
          <w:rFonts w:eastAsia="Times New Roman" w:cs="Times New Roman"/>
          <w:szCs w:val="20"/>
          <w:lang w:val="en-US"/>
        </w:rPr>
        <w:t>as well as</w:t>
      </w:r>
      <w:r w:rsidR="00486311">
        <w:rPr>
          <w:rFonts w:eastAsia="Times New Roman" w:cs="Times New Roman"/>
          <w:szCs w:val="20"/>
          <w:lang w:val="en-US"/>
        </w:rPr>
        <w:t xml:space="preserve"> other high quality institutions </w:t>
      </w:r>
      <w:r w:rsidR="000B43FB">
        <w:rPr>
          <w:rFonts w:eastAsia="Times New Roman" w:cs="Times New Roman"/>
          <w:szCs w:val="20"/>
          <w:lang w:val="en-US"/>
        </w:rPr>
        <w:t>around the world</w:t>
      </w:r>
      <w:r w:rsidR="00486311">
        <w:rPr>
          <w:rFonts w:eastAsia="Times New Roman" w:cs="Times New Roman"/>
          <w:szCs w:val="20"/>
          <w:lang w:val="en-US"/>
        </w:rPr>
        <w:t>.</w:t>
      </w:r>
      <w:r w:rsidR="00FC1109">
        <w:rPr>
          <w:rFonts w:eastAsia="Times New Roman" w:cs="Times New Roman"/>
          <w:szCs w:val="20"/>
          <w:lang w:val="en-US"/>
        </w:rPr>
        <w:t xml:space="preserve">  </w:t>
      </w:r>
      <w:r w:rsidR="005A6E54">
        <w:rPr>
          <w:rFonts w:eastAsia="Times New Roman" w:cs="Times New Roman"/>
          <w:szCs w:val="20"/>
          <w:lang w:val="en-US"/>
        </w:rPr>
        <w:t xml:space="preserve">Our data differs from other studies </w:t>
      </w:r>
      <w:r w:rsidR="000B43FB">
        <w:rPr>
          <w:rFonts w:eastAsia="Times New Roman" w:cs="Times New Roman"/>
          <w:szCs w:val="20"/>
          <w:lang w:val="en-US"/>
        </w:rPr>
        <w:t>of</w:t>
      </w:r>
      <w:r w:rsidR="005A6E54">
        <w:rPr>
          <w:rFonts w:eastAsia="Times New Roman" w:cs="Times New Roman"/>
          <w:szCs w:val="20"/>
          <w:lang w:val="en-US"/>
        </w:rPr>
        <w:t xml:space="preserve"> global gold trading in that we </w:t>
      </w:r>
      <w:r w:rsidR="004A26AD">
        <w:rPr>
          <w:rFonts w:eastAsia="Times New Roman" w:cs="Times New Roman"/>
          <w:szCs w:val="20"/>
          <w:lang w:val="en-US"/>
        </w:rPr>
        <w:t>use</w:t>
      </w:r>
      <w:r w:rsidR="005A6E54">
        <w:rPr>
          <w:rFonts w:eastAsia="Times New Roman" w:cs="Times New Roman"/>
          <w:szCs w:val="20"/>
          <w:lang w:val="en-US"/>
        </w:rPr>
        <w:t xml:space="preserve"> OTC spot data across the 24-hour period whereas prior studies rely on London (e.g. </w:t>
      </w:r>
      <w:r w:rsidR="00ED311F">
        <w:rPr>
          <w:rFonts w:eastAsia="Times New Roman" w:cs="Times New Roman"/>
          <w:szCs w:val="20"/>
          <w:lang w:val="en-US"/>
        </w:rPr>
        <w:fldChar w:fldCharType="begin"/>
      </w:r>
      <w:r w:rsidR="005A6E54">
        <w:rPr>
          <w:rFonts w:eastAsia="Times New Roman" w:cs="Times New Roman"/>
          <w:szCs w:val="20"/>
          <w:lang w:val="en-US"/>
        </w:rPr>
        <w:instrText xml:space="preserve"> ADDIN EN.CITE &lt;EndNote&gt;&lt;Cite&gt;&lt;Author&gt;Lucey&lt;/Author&gt;&lt;Year&gt;2014&lt;/Year&gt;&lt;RecNum&gt;787&lt;/RecNum&gt;&lt;DisplayText&gt;Lucey, Larkin and O’Connor (2014)&lt;/DisplayText&gt;&lt;record&gt;&lt;rec-number&gt;787&lt;/rec-number&gt;&lt;foreign-keys&gt;&lt;key app="EN" db-id="szetpsas1ep5veesd5xvva5qdxwetsvpfs5x"&gt;787&lt;/key&gt;&lt;/foreign-keys&gt;&lt;ref-type name="Journal Article"&gt;17&lt;/ref-type&gt;&lt;contributors&gt;&lt;authors&gt;&lt;author&gt;Lucey, Brian M&lt;/author&gt;&lt;author&gt;Larkin, Charles&lt;/author&gt;&lt;author&gt;O’Connor, Fergal&lt;/author&gt;&lt;/authors&gt;&lt;/contributors&gt;&lt;titles&gt;&lt;title&gt;Gold markets around the world–who spills over what, to whom, when?&lt;/title&gt;&lt;secondary-title&gt;Applied Economics Letters&lt;/secondary-title&gt;&lt;/titles&gt;&lt;periodical&gt;&lt;full-title&gt;Applied Economics Letters&lt;/full-title&gt;&lt;/periodical&gt;&lt;pages&gt;887-892&lt;/pages&gt;&lt;volume&gt;21&lt;/volume&gt;&lt;number&gt;13&lt;/number&gt;&lt;dates&gt;&lt;year&gt;2014&lt;/year&gt;&lt;/dates&gt;&lt;urls&gt;&lt;/urls&gt;&lt;/record&gt;&lt;/Cite&gt;&lt;/EndNote&gt;</w:instrText>
      </w:r>
      <w:r w:rsidR="00ED311F">
        <w:rPr>
          <w:rFonts w:eastAsia="Times New Roman" w:cs="Times New Roman"/>
          <w:szCs w:val="20"/>
          <w:lang w:val="en-US"/>
        </w:rPr>
        <w:fldChar w:fldCharType="separate"/>
      </w:r>
      <w:hyperlink w:anchor="_ENREF_29" w:tooltip="Lucey, 2014 #787" w:history="1">
        <w:r w:rsidR="00C419D5">
          <w:rPr>
            <w:rFonts w:eastAsia="Times New Roman" w:cs="Times New Roman"/>
            <w:noProof/>
            <w:szCs w:val="20"/>
            <w:lang w:val="en-US"/>
          </w:rPr>
          <w:t>Lucey, Larkin and O’Connor (2014</w:t>
        </w:r>
      </w:hyperlink>
      <w:r w:rsidR="005A6E54">
        <w:rPr>
          <w:rFonts w:eastAsia="Times New Roman" w:cs="Times New Roman"/>
          <w:noProof/>
          <w:szCs w:val="20"/>
          <w:lang w:val="en-US"/>
        </w:rPr>
        <w:t>)</w:t>
      </w:r>
      <w:r w:rsidR="00ED311F">
        <w:rPr>
          <w:rFonts w:eastAsia="Times New Roman" w:cs="Times New Roman"/>
          <w:szCs w:val="20"/>
          <w:lang w:val="en-US"/>
        </w:rPr>
        <w:fldChar w:fldCharType="end"/>
      </w:r>
      <w:r w:rsidR="005A6E54">
        <w:rPr>
          <w:rFonts w:eastAsia="Times New Roman" w:cs="Times New Roman"/>
          <w:szCs w:val="20"/>
          <w:lang w:val="en-US"/>
        </w:rPr>
        <w:t xml:space="preserve">) or on closing quotes in different regions (e.g. </w:t>
      </w:r>
      <w:r w:rsidR="00ED311F">
        <w:rPr>
          <w:rFonts w:eastAsia="Times New Roman" w:cs="Times New Roman"/>
          <w:szCs w:val="20"/>
          <w:lang w:val="en-US"/>
        </w:rPr>
        <w:fldChar w:fldCharType="begin"/>
      </w:r>
      <w:r w:rsidR="005A6E54">
        <w:rPr>
          <w:rFonts w:eastAsia="Times New Roman" w:cs="Times New Roman"/>
          <w:szCs w:val="20"/>
          <w:lang w:val="en-US"/>
        </w:rPr>
        <w:instrText xml:space="preserve"> ADDIN EN.CITE &lt;EndNote&gt;&lt;Cite&gt;&lt;Author&gt;Laulajainen&lt;/Author&gt;&lt;Year&gt;1990&lt;/Year&gt;&lt;RecNum&gt;843&lt;/RecNum&gt;&lt;DisplayText&gt;Laulajainen (1990)&lt;/DisplayText&gt;&lt;record&gt;&lt;rec-number&gt;843&lt;/rec-number&gt;&lt;foreign-keys&gt;&lt;key app="EN" db-id="szetpsas1ep5veesd5xvva5qdxwetsvpfs5x"&gt;843&lt;/key&gt;&lt;/foreign-keys&gt;&lt;ref-type name="Journal Article"&gt;17&lt;/ref-type&gt;&lt;contributors&gt;&lt;authors&gt;&lt;author&gt;Laulajainen, Risto&lt;/author&gt;&lt;/authors&gt;&lt;/contributors&gt;&lt;titles&gt;&lt;title&gt;Gold price round the clock: Technical and fundamental issues&lt;/title&gt;&lt;secondary-title&gt;Resources Policy&lt;/secondary-title&gt;&lt;/titles&gt;&lt;periodical&gt;&lt;full-title&gt;Resources Policy&lt;/full-title&gt;&lt;/periodical&gt;&lt;pages&gt;143-152&lt;/pages&gt;&lt;volume&gt;16&lt;/volume&gt;&lt;number&gt;2&lt;/number&gt;&lt;dates&gt;&lt;year&gt;1990&lt;/year&gt;&lt;/dates&gt;&lt;isbn&gt;0301-4207&lt;/isbn&gt;&lt;urls&gt;&lt;related-urls&gt;&lt;url&gt;http://www.sciencedirect.com/science/article/pii/030142079090029B&lt;/url&gt;&lt;/related-urls&gt;&lt;/urls&gt;&lt;electronic-resource-num&gt;http://dx.doi.org/10.1016/0301-4207(90)90029-B&lt;/electronic-resource-num&gt;&lt;/record&gt;&lt;/Cite&gt;&lt;/EndNote&gt;</w:instrText>
      </w:r>
      <w:r w:rsidR="00ED311F">
        <w:rPr>
          <w:rFonts w:eastAsia="Times New Roman" w:cs="Times New Roman"/>
          <w:szCs w:val="20"/>
          <w:lang w:val="en-US"/>
        </w:rPr>
        <w:fldChar w:fldCharType="separate"/>
      </w:r>
      <w:hyperlink w:anchor="_ENREF_25" w:tooltip="Laulajainen, 1990 #843" w:history="1">
        <w:r w:rsidR="00C419D5">
          <w:rPr>
            <w:rFonts w:eastAsia="Times New Roman" w:cs="Times New Roman"/>
            <w:noProof/>
            <w:szCs w:val="20"/>
            <w:lang w:val="en-US"/>
          </w:rPr>
          <w:t>Laulajainen (1990</w:t>
        </w:r>
      </w:hyperlink>
      <w:r w:rsidR="005A6E54">
        <w:rPr>
          <w:rFonts w:eastAsia="Times New Roman" w:cs="Times New Roman"/>
          <w:noProof/>
          <w:szCs w:val="20"/>
          <w:lang w:val="en-US"/>
        </w:rPr>
        <w:t>)</w:t>
      </w:r>
      <w:r w:rsidR="00ED311F">
        <w:rPr>
          <w:rFonts w:eastAsia="Times New Roman" w:cs="Times New Roman"/>
          <w:szCs w:val="20"/>
          <w:lang w:val="en-US"/>
        </w:rPr>
        <w:fldChar w:fldCharType="end"/>
      </w:r>
      <w:r w:rsidR="005A6E54">
        <w:rPr>
          <w:rFonts w:eastAsia="Times New Roman" w:cs="Times New Roman"/>
          <w:szCs w:val="20"/>
          <w:lang w:val="en-US"/>
        </w:rPr>
        <w:t>).</w:t>
      </w:r>
    </w:p>
    <w:p w:rsidR="00B47612" w:rsidRDefault="000E0ACC">
      <w:pPr>
        <w:suppressAutoHyphens/>
        <w:contextualSpacing/>
        <w:rPr>
          <w:rFonts w:eastAsia="Times New Roman" w:cs="Times New Roman"/>
          <w:szCs w:val="20"/>
          <w:lang w:val="en-US"/>
        </w:rPr>
      </w:pPr>
      <w:r>
        <w:rPr>
          <w:rFonts w:eastAsia="Times New Roman" w:cs="Times New Roman"/>
          <w:szCs w:val="20"/>
          <w:lang w:val="en-US"/>
        </w:rPr>
        <w:t>We extract data from TRTH at 1-</w:t>
      </w:r>
      <w:r w:rsidR="000631DC">
        <w:rPr>
          <w:rFonts w:eastAsia="Times New Roman" w:cs="Times New Roman"/>
          <w:szCs w:val="20"/>
          <w:lang w:val="en-US"/>
        </w:rPr>
        <w:t>minute</w:t>
      </w:r>
      <w:r>
        <w:rPr>
          <w:rFonts w:eastAsia="Times New Roman" w:cs="Times New Roman"/>
          <w:szCs w:val="20"/>
          <w:lang w:val="en-US"/>
        </w:rPr>
        <w:t xml:space="preserve"> intervals from January 1, 1996 to December 31, 2012.  This period is chosen as 1996 was the earliest available data and 2012 was the last full year of data available at the start of this study. </w:t>
      </w:r>
      <w:r w:rsidR="003E2003">
        <w:rPr>
          <w:rFonts w:eastAsia="Times New Roman" w:cs="Times New Roman"/>
          <w:szCs w:val="20"/>
          <w:lang w:val="en-US"/>
        </w:rPr>
        <w:t xml:space="preserve"> Weekends and public holidays are removed due to thin trading.  </w:t>
      </w:r>
      <w:r>
        <w:rPr>
          <w:rFonts w:eastAsia="Times New Roman" w:cs="Times New Roman"/>
          <w:szCs w:val="20"/>
          <w:lang w:val="en-US"/>
        </w:rPr>
        <w:t xml:space="preserve">For each interval, the data include the </w:t>
      </w:r>
      <w:r w:rsidR="00B47612">
        <w:rPr>
          <w:rFonts w:eastAsia="Times New Roman" w:cs="Times New Roman"/>
          <w:szCs w:val="20"/>
          <w:lang w:val="en-US"/>
        </w:rPr>
        <w:t>number of trades</w:t>
      </w:r>
      <w:r w:rsidR="003E2003">
        <w:rPr>
          <w:rFonts w:eastAsia="Times New Roman" w:cs="Times New Roman"/>
          <w:szCs w:val="20"/>
          <w:lang w:val="en-US"/>
        </w:rPr>
        <w:t xml:space="preserve"> as well as</w:t>
      </w:r>
      <w:r w:rsidR="00B47612">
        <w:rPr>
          <w:rFonts w:eastAsia="Times New Roman" w:cs="Times New Roman"/>
          <w:szCs w:val="20"/>
          <w:lang w:val="en-US"/>
        </w:rPr>
        <w:t xml:space="preserve"> </w:t>
      </w:r>
      <w:r>
        <w:rPr>
          <w:rFonts w:eastAsia="Times New Roman" w:cs="Times New Roman"/>
          <w:szCs w:val="20"/>
          <w:lang w:val="en-US"/>
        </w:rPr>
        <w:t xml:space="preserve">the last </w:t>
      </w:r>
      <w:r w:rsidR="00B47612">
        <w:rPr>
          <w:rFonts w:eastAsia="Times New Roman" w:cs="Times New Roman"/>
          <w:szCs w:val="20"/>
          <w:lang w:val="en-US"/>
        </w:rPr>
        <w:t xml:space="preserve">bid and ask quotes. </w:t>
      </w:r>
      <w:r w:rsidR="003E2003">
        <w:rPr>
          <w:rFonts w:eastAsia="Times New Roman" w:cs="Times New Roman"/>
          <w:szCs w:val="20"/>
          <w:lang w:val="en-US"/>
        </w:rPr>
        <w:t xml:space="preserve">The mid-point of the bid and ask quotes is used to construct TSRV.  The number of trades and the return in each interval are used to calculate the imbalance between buy and sell orders.  </w:t>
      </w:r>
    </w:p>
    <w:p w:rsidR="00E146D9" w:rsidRDefault="0026124C" w:rsidP="008B3062">
      <w:pPr>
        <w:suppressAutoHyphens/>
        <w:rPr>
          <w:rFonts w:eastAsia="Times New Roman" w:cs="Times New Roman"/>
          <w:szCs w:val="20"/>
          <w:lang w:val="en-US"/>
        </w:rPr>
      </w:pPr>
      <w:r>
        <w:rPr>
          <w:rFonts w:eastAsia="Times New Roman" w:cs="Times New Roman"/>
          <w:szCs w:val="20"/>
          <w:lang w:val="en-US"/>
        </w:rPr>
        <w:lastRenderedPageBreak/>
        <w:t>To measure the global information distribution, we divide t</w:t>
      </w:r>
      <w:r w:rsidR="00060F19">
        <w:rPr>
          <w:rFonts w:eastAsia="Times New Roman" w:cs="Times New Roman"/>
          <w:szCs w:val="20"/>
          <w:lang w:val="en-US"/>
        </w:rPr>
        <w:t xml:space="preserve">he 24-hour gold OTC market into </w:t>
      </w:r>
      <w:r w:rsidR="00773736">
        <w:rPr>
          <w:rFonts w:eastAsia="Times New Roman" w:cs="Times New Roman"/>
          <w:szCs w:val="20"/>
          <w:lang w:val="en-US"/>
        </w:rPr>
        <w:t xml:space="preserve">four </w:t>
      </w:r>
      <w:r w:rsidR="00060F19">
        <w:rPr>
          <w:rFonts w:eastAsia="Times New Roman" w:cs="Times New Roman"/>
          <w:szCs w:val="20"/>
          <w:lang w:val="en-US"/>
        </w:rPr>
        <w:t>regional markets</w:t>
      </w:r>
      <w:r w:rsidR="001443F7">
        <w:rPr>
          <w:rFonts w:eastAsia="Times New Roman" w:cs="Times New Roman"/>
          <w:szCs w:val="20"/>
          <w:lang w:val="en-US"/>
        </w:rPr>
        <w:t xml:space="preserve">, i.e. </w:t>
      </w:r>
      <w:r w:rsidR="001443F7" w:rsidRPr="004B19DA">
        <w:rPr>
          <w:rFonts w:eastAsia="Times New Roman" w:cs="Times New Roman"/>
          <w:i/>
          <w:szCs w:val="20"/>
          <w:lang w:val="en-US"/>
        </w:rPr>
        <w:t>n</w:t>
      </w:r>
      <w:r w:rsidR="001443F7">
        <w:rPr>
          <w:rFonts w:eastAsia="Times New Roman" w:cs="Times New Roman"/>
          <w:szCs w:val="20"/>
          <w:lang w:val="en-US"/>
        </w:rPr>
        <w:t xml:space="preserve"> = 4 for each trading day</w:t>
      </w:r>
      <w:r>
        <w:rPr>
          <w:rFonts w:eastAsia="Times New Roman" w:cs="Times New Roman"/>
          <w:szCs w:val="20"/>
          <w:lang w:val="en-US"/>
        </w:rPr>
        <w:t xml:space="preserve">.  While it is natural to divide the world into Asia, Europe, and </w:t>
      </w:r>
      <w:r w:rsidR="00D175FA">
        <w:rPr>
          <w:rFonts w:eastAsia="Times New Roman" w:cs="Times New Roman"/>
          <w:szCs w:val="20"/>
          <w:lang w:val="en-US"/>
        </w:rPr>
        <w:t xml:space="preserve">the United States </w:t>
      </w:r>
      <w:r w:rsidR="00060F19" w:rsidRPr="0099458E">
        <w:rPr>
          <w:rFonts w:eastAsia="Times New Roman" w:cs="Times New Roman"/>
          <w:szCs w:val="20"/>
          <w:lang w:val="en-US"/>
        </w:rPr>
        <w:t xml:space="preserve">based on their </w:t>
      </w:r>
      <w:r>
        <w:rPr>
          <w:rFonts w:eastAsia="Times New Roman" w:cs="Times New Roman"/>
          <w:szCs w:val="20"/>
          <w:lang w:val="en-US"/>
        </w:rPr>
        <w:t xml:space="preserve">geography and </w:t>
      </w:r>
      <w:r w:rsidR="00060F19" w:rsidRPr="0099458E">
        <w:rPr>
          <w:rFonts w:eastAsia="Times New Roman" w:cs="Times New Roman"/>
          <w:szCs w:val="20"/>
          <w:lang w:val="en-US"/>
        </w:rPr>
        <w:t>time zones</w:t>
      </w:r>
      <w:r>
        <w:rPr>
          <w:rFonts w:eastAsia="Times New Roman" w:cs="Times New Roman"/>
          <w:szCs w:val="20"/>
          <w:lang w:val="en-US"/>
        </w:rPr>
        <w:t>, we single out the overlapping trading hours between London and New York City as a separate market (London/N</w:t>
      </w:r>
      <w:r w:rsidR="00A45E24">
        <w:rPr>
          <w:rFonts w:eastAsia="Times New Roman" w:cs="Times New Roman"/>
          <w:szCs w:val="20"/>
          <w:lang w:val="en-US"/>
        </w:rPr>
        <w:t>ew York</w:t>
      </w:r>
      <w:r>
        <w:rPr>
          <w:rFonts w:eastAsia="Times New Roman" w:cs="Times New Roman"/>
          <w:szCs w:val="20"/>
          <w:lang w:val="en-US"/>
        </w:rPr>
        <w:t>).  Table 1 reports the division of markets based on Greenwich Mean Time (GMT) with and without daylight saving</w:t>
      </w:r>
      <w:r w:rsidR="00D175FA">
        <w:rPr>
          <w:rFonts w:eastAsia="Times New Roman" w:cs="Times New Roman"/>
          <w:szCs w:val="20"/>
          <w:lang w:val="en-US"/>
        </w:rPr>
        <w:t xml:space="preserve"> time (DST)</w:t>
      </w:r>
      <w:r>
        <w:rPr>
          <w:rFonts w:eastAsia="Times New Roman" w:cs="Times New Roman"/>
          <w:szCs w:val="20"/>
          <w:lang w:val="en-US"/>
        </w:rPr>
        <w:t xml:space="preserve">. </w:t>
      </w:r>
      <w:r w:rsidR="00D175FA">
        <w:rPr>
          <w:rFonts w:eastAsia="Times New Roman" w:cs="Times New Roman"/>
          <w:szCs w:val="20"/>
          <w:lang w:val="en-US"/>
        </w:rPr>
        <w:t xml:space="preserve">During non-DST, </w:t>
      </w:r>
      <w:r w:rsidR="00060F19" w:rsidRPr="0099458E">
        <w:rPr>
          <w:rFonts w:eastAsia="Times New Roman" w:cs="Times New Roman"/>
          <w:szCs w:val="20"/>
          <w:lang w:val="en-US"/>
        </w:rPr>
        <w:t xml:space="preserve">Asia </w:t>
      </w:r>
      <w:r>
        <w:rPr>
          <w:rFonts w:eastAsia="Times New Roman" w:cs="Times New Roman"/>
          <w:szCs w:val="20"/>
          <w:lang w:val="en-US"/>
        </w:rPr>
        <w:t xml:space="preserve">covers </w:t>
      </w:r>
      <w:r w:rsidR="00060F19" w:rsidRPr="0099458E">
        <w:rPr>
          <w:rFonts w:eastAsia="Times New Roman" w:cs="Times New Roman"/>
          <w:szCs w:val="20"/>
          <w:lang w:val="en-US"/>
        </w:rPr>
        <w:t xml:space="preserve">23 GMT to </w:t>
      </w:r>
      <w:r>
        <w:rPr>
          <w:rFonts w:eastAsia="Times New Roman" w:cs="Times New Roman"/>
          <w:szCs w:val="20"/>
          <w:lang w:val="en-US"/>
        </w:rPr>
        <w:t>6</w:t>
      </w:r>
      <w:r w:rsidR="00060F19" w:rsidRPr="0099458E">
        <w:rPr>
          <w:rFonts w:eastAsia="Times New Roman" w:cs="Times New Roman"/>
          <w:szCs w:val="20"/>
          <w:lang w:val="en-US"/>
        </w:rPr>
        <w:t xml:space="preserve"> GMT, Europe </w:t>
      </w:r>
      <w:r>
        <w:rPr>
          <w:rFonts w:eastAsia="Times New Roman" w:cs="Times New Roman"/>
          <w:szCs w:val="20"/>
          <w:lang w:val="en-US"/>
        </w:rPr>
        <w:t>covers</w:t>
      </w:r>
      <w:r w:rsidRPr="0099458E">
        <w:rPr>
          <w:rFonts w:eastAsia="Times New Roman" w:cs="Times New Roman"/>
          <w:szCs w:val="20"/>
          <w:lang w:val="en-US"/>
        </w:rPr>
        <w:t xml:space="preserve"> </w:t>
      </w:r>
      <w:r w:rsidR="00060F19" w:rsidRPr="0099458E">
        <w:rPr>
          <w:rFonts w:eastAsia="Times New Roman" w:cs="Times New Roman"/>
          <w:szCs w:val="20"/>
          <w:lang w:val="en-US"/>
        </w:rPr>
        <w:t>7 GMT to 1</w:t>
      </w:r>
      <w:r>
        <w:rPr>
          <w:rFonts w:eastAsia="Times New Roman" w:cs="Times New Roman"/>
          <w:szCs w:val="20"/>
          <w:lang w:val="en-US"/>
        </w:rPr>
        <w:t>3</w:t>
      </w:r>
      <w:r w:rsidR="00060F19" w:rsidRPr="0099458E">
        <w:rPr>
          <w:rFonts w:eastAsia="Times New Roman" w:cs="Times New Roman"/>
          <w:szCs w:val="20"/>
          <w:lang w:val="en-US"/>
        </w:rPr>
        <w:t xml:space="preserve"> GMT</w:t>
      </w:r>
      <w:r w:rsidR="00773736">
        <w:rPr>
          <w:rFonts w:eastAsia="Times New Roman" w:cs="Times New Roman"/>
          <w:szCs w:val="20"/>
          <w:lang w:val="en-US"/>
        </w:rPr>
        <w:t>, London/N</w:t>
      </w:r>
      <w:r>
        <w:rPr>
          <w:rFonts w:eastAsia="Times New Roman" w:cs="Times New Roman"/>
          <w:szCs w:val="20"/>
          <w:lang w:val="en-US"/>
        </w:rPr>
        <w:t>YC covers</w:t>
      </w:r>
      <w:r w:rsidR="00773736">
        <w:rPr>
          <w:rFonts w:eastAsia="Times New Roman" w:cs="Times New Roman"/>
          <w:szCs w:val="20"/>
          <w:lang w:val="en-US"/>
        </w:rPr>
        <w:t xml:space="preserve"> 14 GMT to 1</w:t>
      </w:r>
      <w:r>
        <w:rPr>
          <w:rFonts w:eastAsia="Times New Roman" w:cs="Times New Roman"/>
          <w:szCs w:val="20"/>
          <w:lang w:val="en-US"/>
        </w:rPr>
        <w:t>5</w:t>
      </w:r>
      <w:r w:rsidR="00773736">
        <w:rPr>
          <w:rFonts w:eastAsia="Times New Roman" w:cs="Times New Roman"/>
          <w:szCs w:val="20"/>
          <w:lang w:val="en-US"/>
        </w:rPr>
        <w:t xml:space="preserve"> </w:t>
      </w:r>
      <w:r w:rsidR="00FC1109">
        <w:rPr>
          <w:rFonts w:eastAsia="Times New Roman" w:cs="Times New Roman"/>
          <w:szCs w:val="20"/>
          <w:lang w:val="en-US"/>
        </w:rPr>
        <w:t xml:space="preserve">GMT, </w:t>
      </w:r>
      <w:r w:rsidR="00FC1109" w:rsidRPr="0099458E">
        <w:rPr>
          <w:rFonts w:eastAsia="Times New Roman" w:cs="Times New Roman"/>
          <w:szCs w:val="20"/>
          <w:lang w:val="en-US"/>
        </w:rPr>
        <w:t>and</w:t>
      </w:r>
      <w:r w:rsidR="00060F19" w:rsidRPr="0099458E">
        <w:rPr>
          <w:rFonts w:eastAsia="Times New Roman" w:cs="Times New Roman"/>
          <w:szCs w:val="20"/>
          <w:lang w:val="en-US"/>
        </w:rPr>
        <w:t xml:space="preserve"> U.S. </w:t>
      </w:r>
      <w:r w:rsidR="00D175FA">
        <w:rPr>
          <w:rFonts w:eastAsia="Times New Roman" w:cs="Times New Roman"/>
          <w:szCs w:val="20"/>
          <w:lang w:val="en-US"/>
        </w:rPr>
        <w:t>covers</w:t>
      </w:r>
      <w:r w:rsidR="00060F19" w:rsidRPr="0099458E">
        <w:rPr>
          <w:rFonts w:eastAsia="Times New Roman" w:cs="Times New Roman"/>
          <w:szCs w:val="20"/>
          <w:lang w:val="en-US"/>
        </w:rPr>
        <w:t xml:space="preserve"> 1</w:t>
      </w:r>
      <w:r w:rsidR="00773736">
        <w:rPr>
          <w:rFonts w:eastAsia="Times New Roman" w:cs="Times New Roman"/>
          <w:szCs w:val="20"/>
          <w:lang w:val="en-US"/>
        </w:rPr>
        <w:t>6</w:t>
      </w:r>
      <w:r w:rsidR="00060F19" w:rsidRPr="0099458E">
        <w:rPr>
          <w:rFonts w:eastAsia="Times New Roman" w:cs="Times New Roman"/>
          <w:szCs w:val="20"/>
          <w:lang w:val="en-US"/>
        </w:rPr>
        <w:t xml:space="preserve"> GMT to 2</w:t>
      </w:r>
      <w:r w:rsidR="00D175FA">
        <w:rPr>
          <w:rFonts w:eastAsia="Times New Roman" w:cs="Times New Roman"/>
          <w:szCs w:val="20"/>
          <w:lang w:val="en-US"/>
        </w:rPr>
        <w:t>2</w:t>
      </w:r>
      <w:r w:rsidR="00060F19" w:rsidRPr="0099458E">
        <w:rPr>
          <w:rFonts w:eastAsia="Times New Roman" w:cs="Times New Roman"/>
          <w:szCs w:val="20"/>
          <w:lang w:val="en-US"/>
        </w:rPr>
        <w:t xml:space="preserve"> GMT.</w:t>
      </w:r>
      <w:r w:rsidR="00773736">
        <w:rPr>
          <w:rFonts w:eastAsia="Times New Roman" w:cs="Times New Roman"/>
          <w:szCs w:val="20"/>
          <w:lang w:val="en-US"/>
        </w:rPr>
        <w:t xml:space="preserve"> </w:t>
      </w:r>
      <w:r w:rsidR="00D175FA">
        <w:rPr>
          <w:rFonts w:eastAsia="Times New Roman" w:cs="Times New Roman"/>
          <w:szCs w:val="20"/>
          <w:lang w:val="en-US"/>
        </w:rPr>
        <w:t xml:space="preserve"> During DST, GMT shifts back by one hour relative to local time.</w:t>
      </w:r>
      <w:r w:rsidR="00060F19">
        <w:rPr>
          <w:rFonts w:eastAsia="Times New Roman" w:cs="Times New Roman"/>
          <w:szCs w:val="20"/>
          <w:lang w:val="en-US"/>
        </w:rPr>
        <w:t xml:space="preserve"> </w:t>
      </w:r>
    </w:p>
    <w:p w:rsidR="00EC793C" w:rsidRDefault="0072629D">
      <w:pPr>
        <w:suppressAutoHyphens/>
      </w:pPr>
      <w:r>
        <w:rPr>
          <w:rFonts w:eastAsia="Times New Roman" w:cs="Times New Roman"/>
          <w:szCs w:val="20"/>
          <w:lang w:val="en-US"/>
        </w:rPr>
        <w:t>The two-hour London/</w:t>
      </w:r>
      <w:r w:rsidR="00BC252C">
        <w:rPr>
          <w:rFonts w:eastAsia="Times New Roman" w:cs="Times New Roman"/>
          <w:szCs w:val="20"/>
          <w:lang w:val="en-US"/>
        </w:rPr>
        <w:t>N</w:t>
      </w:r>
      <w:r w:rsidR="00FB44C3">
        <w:rPr>
          <w:rFonts w:eastAsia="Times New Roman" w:cs="Times New Roman"/>
          <w:szCs w:val="20"/>
          <w:lang w:val="en-US"/>
        </w:rPr>
        <w:t>ew York</w:t>
      </w:r>
      <w:r>
        <w:rPr>
          <w:rFonts w:eastAsia="Times New Roman" w:cs="Times New Roman"/>
          <w:szCs w:val="20"/>
          <w:lang w:val="en-US"/>
        </w:rPr>
        <w:t xml:space="preserve"> market covers</w:t>
      </w:r>
      <w:r>
        <w:t xml:space="preserve"> 2 to 4 pm London local time and 9 to 11 am New York local time.  </w:t>
      </w:r>
      <w:r w:rsidR="00E146D9">
        <w:t xml:space="preserve">This is a period when financial markets in New York start trading.  </w:t>
      </w:r>
      <w:r w:rsidR="00BF1A0C">
        <w:t xml:space="preserve">There is a wide range of financial products traded in New York which have value implications for gold. </w:t>
      </w:r>
      <w:r w:rsidR="00257C06">
        <w:t xml:space="preserve"> </w:t>
      </w:r>
      <w:r w:rsidR="00BF1A0C">
        <w:rPr>
          <w:rFonts w:eastAsia="Times New Roman" w:cs="Times New Roman"/>
          <w:szCs w:val="20"/>
          <w:lang w:val="en-US"/>
        </w:rPr>
        <w:t xml:space="preserve">For example, the link between gold and crude oil is studied by </w:t>
      </w:r>
      <w:r w:rsidR="00ED311F">
        <w:rPr>
          <w:rFonts w:eastAsia="Times New Roman" w:cs="Times New Roman"/>
          <w:szCs w:val="20"/>
          <w:lang w:val="en-US"/>
        </w:rPr>
        <w:fldChar w:fldCharType="begin"/>
      </w:r>
      <w:r w:rsidR="004E0ECE">
        <w:rPr>
          <w:rFonts w:eastAsia="Times New Roman" w:cs="Times New Roman"/>
          <w:szCs w:val="20"/>
          <w:lang w:val="en-US"/>
        </w:rPr>
        <w:instrText xml:space="preserve"> ADDIN EN.CITE &lt;EndNote&gt;&lt;Cite&gt;&lt;Author&gt;Reboredo&lt;/Author&gt;&lt;Year&gt;2013&lt;/Year&gt;&lt;RecNum&gt;735&lt;/RecNum&gt;&lt;DisplayText&gt;Reboredo (2013a)&lt;/DisplayText&gt;&lt;record&gt;&lt;rec-number&gt;735&lt;/rec-number&gt;&lt;foreign-keys&gt;&lt;key app="EN" db-id="szetpsas1ep5veesd5xvva5qdxwetsvpfs5x"&gt;735&lt;/key&gt;&lt;/foreign-keys&gt;&lt;ref-type name="Journal Article"&gt;17&lt;/ref-type&gt;&lt;contributors&gt;&lt;authors&gt;&lt;author&gt;Reboredo, Juan C&lt;/author&gt;&lt;/authors&gt;&lt;/contributors&gt;&lt;titles&gt;&lt;title&gt;Is gold a hedge or safe haven against oil price movements?&lt;/title&gt;&lt;secondary-title&gt;Resources Policy&lt;/secondary-title&gt;&lt;/titles&gt;&lt;periodical&gt;&lt;full-title&gt;Resources Policy&lt;/full-title&gt;&lt;/periodical&gt;&lt;pages&gt;130-137&lt;/pages&gt;&lt;volume&gt;38&lt;/volume&gt;&lt;number&gt;2&lt;/number&gt;&lt;dates&gt;&lt;year&gt;2013&lt;/year&gt;&lt;/dates&gt;&lt;isbn&gt;0301-4207&lt;/isbn&gt;&lt;urls&gt;&lt;/urls&gt;&lt;/record&gt;&lt;/Cite&gt;&lt;/EndNote&gt;</w:instrText>
      </w:r>
      <w:r w:rsidR="00ED311F">
        <w:rPr>
          <w:rFonts w:eastAsia="Times New Roman" w:cs="Times New Roman"/>
          <w:szCs w:val="20"/>
          <w:lang w:val="en-US"/>
        </w:rPr>
        <w:fldChar w:fldCharType="separate"/>
      </w:r>
      <w:hyperlink w:anchor="_ENREF_35" w:tooltip="Reboredo, 2013 #735" w:history="1">
        <w:r w:rsidR="00C419D5">
          <w:rPr>
            <w:rFonts w:eastAsia="Times New Roman" w:cs="Times New Roman"/>
            <w:noProof/>
            <w:szCs w:val="20"/>
            <w:lang w:val="en-US"/>
          </w:rPr>
          <w:t>Reboredo (2013a</w:t>
        </w:r>
      </w:hyperlink>
      <w:r w:rsidR="004E0ECE">
        <w:rPr>
          <w:rFonts w:eastAsia="Times New Roman" w:cs="Times New Roman"/>
          <w:noProof/>
          <w:szCs w:val="20"/>
          <w:lang w:val="en-US"/>
        </w:rPr>
        <w:t>)</w:t>
      </w:r>
      <w:r w:rsidR="00ED311F">
        <w:rPr>
          <w:rFonts w:eastAsia="Times New Roman" w:cs="Times New Roman"/>
          <w:szCs w:val="20"/>
          <w:lang w:val="en-US"/>
        </w:rPr>
        <w:fldChar w:fldCharType="end"/>
      </w:r>
      <w:r w:rsidR="00BF1A0C">
        <w:rPr>
          <w:rFonts w:eastAsia="Times New Roman" w:cs="Times New Roman"/>
          <w:szCs w:val="20"/>
          <w:lang w:val="en-US"/>
        </w:rPr>
        <w:t xml:space="preserve"> and the dependence between gold and exchange rates has been documented by </w:t>
      </w:r>
      <w:r w:rsidR="00ED311F">
        <w:rPr>
          <w:rFonts w:eastAsia="Times New Roman" w:cs="Times New Roman"/>
          <w:szCs w:val="20"/>
          <w:lang w:val="en-US"/>
        </w:rPr>
        <w:fldChar w:fldCharType="begin"/>
      </w:r>
      <w:r w:rsidR="004E0ECE">
        <w:rPr>
          <w:rFonts w:eastAsia="Times New Roman" w:cs="Times New Roman"/>
          <w:szCs w:val="20"/>
          <w:lang w:val="en-US"/>
        </w:rPr>
        <w:instrText xml:space="preserve"> ADDIN EN.CITE &lt;EndNote&gt;&lt;Cite&gt;&lt;Author&gt;Pukthuanthong&lt;/Author&gt;&lt;Year&gt;2011&lt;/Year&gt;&lt;RecNum&gt;849&lt;/RecNum&gt;&lt;DisplayText&gt;Pukthuanthong and Roll (2011)&lt;/DisplayText&gt;&lt;record&gt;&lt;rec-number&gt;849&lt;/rec-number&gt;&lt;foreign-keys&gt;&lt;key app="EN" db-id="szetpsas1ep5veesd5xvva5qdxwetsvpfs5x"&gt;849&lt;/key&gt;&lt;/foreign-keys&gt;&lt;ref-type name="Journal Article"&gt;17&lt;/ref-type&gt;&lt;contributors&gt;&lt;authors&gt;&lt;author&gt;Pukthuanthong, Kuntara&lt;/author&gt;&lt;author&gt;Roll, Richard&lt;/author&gt;&lt;/authors&gt;&lt;/contributors&gt;&lt;titles&gt;&lt;title&gt;Gold and the Dollar (and the Euro, Pound, and Yen)&lt;/title&gt;&lt;secondary-title&gt;Journal of Banking &amp;amp; Finance&lt;/secondary-title&gt;&lt;/titles&gt;&lt;periodical&gt;&lt;full-title&gt;Journal of banking &amp;amp; finance&lt;/full-title&gt;&lt;/periodical&gt;&lt;pages&gt;2070-2083&lt;/pages&gt;&lt;volume&gt;35&lt;/volume&gt;&lt;number&gt;8&lt;/number&gt;&lt;dates&gt;&lt;year&gt;2011&lt;/year&gt;&lt;/dates&gt;&lt;isbn&gt;0378-4266&lt;/isbn&gt;&lt;urls&gt;&lt;/urls&gt;&lt;/record&gt;&lt;/Cite&gt;&lt;/EndNote&gt;</w:instrText>
      </w:r>
      <w:r w:rsidR="00ED311F">
        <w:rPr>
          <w:rFonts w:eastAsia="Times New Roman" w:cs="Times New Roman"/>
          <w:szCs w:val="20"/>
          <w:lang w:val="en-US"/>
        </w:rPr>
        <w:fldChar w:fldCharType="separate"/>
      </w:r>
      <w:hyperlink w:anchor="_ENREF_34" w:tooltip="Pukthuanthong, 2011 #849" w:history="1">
        <w:r w:rsidR="00C419D5">
          <w:rPr>
            <w:rFonts w:eastAsia="Times New Roman" w:cs="Times New Roman"/>
            <w:noProof/>
            <w:szCs w:val="20"/>
            <w:lang w:val="en-US"/>
          </w:rPr>
          <w:t>Pukthuanthong and Roll (2011</w:t>
        </w:r>
      </w:hyperlink>
      <w:r w:rsidR="004E0ECE">
        <w:rPr>
          <w:rFonts w:eastAsia="Times New Roman" w:cs="Times New Roman"/>
          <w:noProof/>
          <w:szCs w:val="20"/>
          <w:lang w:val="en-US"/>
        </w:rPr>
        <w:t>)</w:t>
      </w:r>
      <w:r w:rsidR="00ED311F">
        <w:rPr>
          <w:rFonts w:eastAsia="Times New Roman" w:cs="Times New Roman"/>
          <w:szCs w:val="20"/>
          <w:lang w:val="en-US"/>
        </w:rPr>
        <w:fldChar w:fldCharType="end"/>
      </w:r>
      <w:r w:rsidR="00BF1A0C">
        <w:rPr>
          <w:rFonts w:eastAsia="Times New Roman" w:cs="Times New Roman"/>
          <w:szCs w:val="20"/>
          <w:lang w:val="en-US"/>
        </w:rPr>
        <w:t xml:space="preserve"> and </w:t>
      </w:r>
      <w:r w:rsidR="00ED311F">
        <w:rPr>
          <w:rFonts w:eastAsia="Times New Roman" w:cs="Times New Roman"/>
          <w:szCs w:val="20"/>
          <w:lang w:val="en-US"/>
        </w:rPr>
        <w:fldChar w:fldCharType="begin"/>
      </w:r>
      <w:r w:rsidR="004E0ECE">
        <w:rPr>
          <w:rFonts w:eastAsia="Times New Roman" w:cs="Times New Roman"/>
          <w:szCs w:val="20"/>
          <w:lang w:val="en-US"/>
        </w:rPr>
        <w:instrText xml:space="preserve"> ADDIN EN.CITE &lt;EndNote&gt;&lt;Cite&gt;&lt;Author&gt;Reboredo&lt;/Author&gt;&lt;Year&gt;2013&lt;/Year&gt;&lt;RecNum&gt;848&lt;/RecNum&gt;&lt;DisplayText&gt;Reboredo (2013b)&lt;/DisplayText&gt;&lt;record&gt;&lt;rec-number&gt;848&lt;/rec-number&gt;&lt;foreign-keys&gt;&lt;key app="EN" db-id="szetpsas1ep5veesd5xvva5qdxwetsvpfs5x"&gt;848&lt;/key&gt;&lt;/foreign-keys&gt;&lt;ref-type name="Journal Article"&gt;17&lt;/ref-type&gt;&lt;contributors&gt;&lt;authors&gt;&lt;author&gt;Reboredo, Juan C&lt;/author&gt;&lt;/authors&gt;&lt;/contributors&gt;&lt;titles&gt;&lt;title&gt;Is gold a safe haven or a hedge for the US dollar? Implications for risk management&lt;/title&gt;&lt;secondary-title&gt;Journal of Banking &amp;amp; Finance&lt;/secondary-title&gt;&lt;/titles&gt;&lt;periodical&gt;&lt;full-title&gt;Journal of banking &amp;amp; finance&lt;/full-title&gt;&lt;/periodical&gt;&lt;pages&gt;2665-2676&lt;/pages&gt;&lt;volume&gt;37&lt;/volume&gt;&lt;number&gt;8&lt;/number&gt;&lt;dates&gt;&lt;year&gt;2013&lt;/year&gt;&lt;/dates&gt;&lt;isbn&gt;0378-4266&lt;/isbn&gt;&lt;urls&gt;&lt;/urls&gt;&lt;/record&gt;&lt;/Cite&gt;&lt;/EndNote&gt;</w:instrText>
      </w:r>
      <w:r w:rsidR="00ED311F">
        <w:rPr>
          <w:rFonts w:eastAsia="Times New Roman" w:cs="Times New Roman"/>
          <w:szCs w:val="20"/>
          <w:lang w:val="en-US"/>
        </w:rPr>
        <w:fldChar w:fldCharType="separate"/>
      </w:r>
      <w:hyperlink w:anchor="_ENREF_36" w:tooltip="Reboredo, 2013 #848" w:history="1">
        <w:r w:rsidR="00C419D5">
          <w:rPr>
            <w:rFonts w:eastAsia="Times New Roman" w:cs="Times New Roman"/>
            <w:noProof/>
            <w:szCs w:val="20"/>
            <w:lang w:val="en-US"/>
          </w:rPr>
          <w:t>Reboredo (2013b</w:t>
        </w:r>
      </w:hyperlink>
      <w:r w:rsidR="004E0ECE">
        <w:rPr>
          <w:rFonts w:eastAsia="Times New Roman" w:cs="Times New Roman"/>
          <w:noProof/>
          <w:szCs w:val="20"/>
          <w:lang w:val="en-US"/>
        </w:rPr>
        <w:t>)</w:t>
      </w:r>
      <w:r w:rsidR="00ED311F">
        <w:rPr>
          <w:rFonts w:eastAsia="Times New Roman" w:cs="Times New Roman"/>
          <w:szCs w:val="20"/>
          <w:lang w:val="en-US"/>
        </w:rPr>
        <w:fldChar w:fldCharType="end"/>
      </w:r>
      <w:r w:rsidR="00BF1A0C">
        <w:rPr>
          <w:rFonts w:eastAsia="Times New Roman" w:cs="Times New Roman"/>
          <w:szCs w:val="20"/>
          <w:lang w:val="en-US"/>
        </w:rPr>
        <w:t>.</w:t>
      </w:r>
      <w:r w:rsidR="00257C06">
        <w:rPr>
          <w:rFonts w:eastAsia="Times New Roman" w:cs="Times New Roman"/>
          <w:szCs w:val="20"/>
          <w:lang w:val="en-US"/>
        </w:rPr>
        <w:t xml:space="preserve"> </w:t>
      </w:r>
      <w:r w:rsidR="00BF1A0C">
        <w:rPr>
          <w:rFonts w:eastAsia="Times New Roman" w:cs="Times New Roman"/>
          <w:szCs w:val="20"/>
          <w:lang w:val="en-US"/>
        </w:rPr>
        <w:t>The period</w:t>
      </w:r>
      <w:r w:rsidR="00BF1A0C">
        <w:t xml:space="preserve"> also </w:t>
      </w:r>
      <w:r w:rsidR="00257C06">
        <w:t>covers</w:t>
      </w:r>
      <w:r w:rsidR="00BF1A0C">
        <w:t xml:space="preserve"> the afternoon London gold fixing which produces an important global benchmark price</w:t>
      </w:r>
      <w:r w:rsidR="00612020">
        <w:t xml:space="preserve"> (</w:t>
      </w:r>
      <w:r w:rsidR="00ED311F">
        <w:fldChar w:fldCharType="begin"/>
      </w:r>
      <w:r w:rsidR="00612020">
        <w:instrText xml:space="preserve"> ADDIN EN.CITE &lt;EndNote&gt;&lt;Cite&gt;&lt;Author&gt;Caminschi&lt;/Author&gt;&lt;Year&gt;2014&lt;/Year&gt;&lt;RecNum&gt;776&lt;/RecNum&gt;&lt;DisplayText&gt;Caminschi and Heaney (2014)&lt;/DisplayText&gt;&lt;record&gt;&lt;rec-number&gt;776&lt;/rec-number&gt;&lt;foreign-keys&gt;&lt;key app="EN" db-id="szetpsas1ep5veesd5xvva5qdxwetsvpfs5x"&gt;776&lt;/key&gt;&lt;/foreign-keys&gt;&lt;ref-type name="Journal Article"&gt;17&lt;/ref-type&gt;&lt;contributors&gt;&lt;authors&gt;&lt;author&gt;Caminschi, Andrew&lt;/author&gt;&lt;author&gt;Heaney, Richard&lt;/author&gt;&lt;/authors&gt;&lt;/contributors&gt;&lt;titles&gt;&lt;title&gt;Fixing a leaky fixing: Short-term market reactions to the London PM gold price fixing&lt;/title&gt;&lt;secondary-title&gt;Journal of Futures Markets&lt;/secondary-title&gt;&lt;/titles&gt;&lt;periodical&gt;&lt;full-title&gt;Journal of Futures Markets&lt;/full-title&gt;&lt;/periodical&gt;&lt;pages&gt;1003-1039&lt;/pages&gt;&lt;volume&gt;34&lt;/volume&gt;&lt;number&gt;11&lt;/number&gt;&lt;dates&gt;&lt;year&gt;2014&lt;/year&gt;&lt;/dates&gt;&lt;isbn&gt;1096-9934&lt;/isbn&gt;&lt;urls&gt;&lt;/urls&gt;&lt;/record&gt;&lt;/Cite&gt;&lt;/EndNote&gt;</w:instrText>
      </w:r>
      <w:r w:rsidR="00ED311F">
        <w:fldChar w:fldCharType="separate"/>
      </w:r>
      <w:hyperlink w:anchor="_ENREF_8" w:tooltip="Caminschi, 2014 #776" w:history="1">
        <w:r w:rsidR="00C419D5">
          <w:rPr>
            <w:noProof/>
          </w:rPr>
          <w:t>Caminschi and Heaney (2014</w:t>
        </w:r>
      </w:hyperlink>
      <w:r w:rsidR="00612020">
        <w:rPr>
          <w:noProof/>
        </w:rPr>
        <w:t>)</w:t>
      </w:r>
      <w:r w:rsidR="00ED311F">
        <w:fldChar w:fldCharType="end"/>
      </w:r>
      <w:r w:rsidR="00612020">
        <w:t>)</w:t>
      </w:r>
      <w:r w:rsidR="00BF1A0C">
        <w:t>. We expect that the London/</w:t>
      </w:r>
      <w:r w:rsidR="00BC7A07">
        <w:t xml:space="preserve"> </w:t>
      </w:r>
      <w:r w:rsidR="00BC252C">
        <w:t>N</w:t>
      </w:r>
      <w:r w:rsidR="00517D36">
        <w:t>ew</w:t>
      </w:r>
      <w:r w:rsidR="00BC7A07">
        <w:t xml:space="preserve"> </w:t>
      </w:r>
      <w:r w:rsidR="00517D36">
        <w:t>York</w:t>
      </w:r>
      <w:r w:rsidR="00BF1A0C">
        <w:t xml:space="preserve"> market has greater information flow than</w:t>
      </w:r>
      <w:r w:rsidR="00257C06">
        <w:t xml:space="preserve"> London </w:t>
      </w:r>
      <w:r w:rsidR="007355C0">
        <w:t xml:space="preserve">trading before New York opens </w:t>
      </w:r>
      <w:r w:rsidR="00257C06">
        <w:t xml:space="preserve">and New York trading </w:t>
      </w:r>
      <w:r w:rsidR="007355C0">
        <w:t xml:space="preserve">after London closes.  </w:t>
      </w:r>
    </w:p>
    <w:p w:rsidR="00EC793C" w:rsidRDefault="00EC793C">
      <w:pPr>
        <w:suppressAutoHyphens/>
      </w:pPr>
      <w:r>
        <w:t>After separating the London/</w:t>
      </w:r>
      <w:r w:rsidR="00BC252C">
        <w:t>N</w:t>
      </w:r>
      <w:r w:rsidR="00E5766A">
        <w:t>ew York</w:t>
      </w:r>
      <w:r>
        <w:t xml:space="preserve"> market, Europe covers OTC trading in Frankf</w:t>
      </w:r>
      <w:r w:rsidR="00F36DC0">
        <w:t>u</w:t>
      </w:r>
      <w:r>
        <w:t>rt, Zurich, and up to 2 pm in London; U.S. covers OTC trading after 11 am in New York as well as trading i</w:t>
      </w:r>
      <w:r w:rsidR="001F39FF">
        <w:t xml:space="preserve">n Chicago and U.S. west coast. Trading </w:t>
      </w:r>
      <w:r w:rsidR="001F39FF">
        <w:rPr>
          <w:rFonts w:eastAsia="Times New Roman" w:cs="Times New Roman"/>
          <w:szCs w:val="20"/>
          <w:lang w:val="en-US"/>
        </w:rPr>
        <w:t>of other financial products, e.g. index and commodity futures in Chicago, may have information spillover into OTC gold trading. While the separation across regional markets is somewhat arbitrary, the benefit of having non-overlapping markets is that we can clearly separate return innovations in each market.</w:t>
      </w:r>
    </w:p>
    <w:p w:rsidR="00EA2AEA" w:rsidRDefault="00EA2AEA">
      <w:pPr>
        <w:suppressAutoHyphens/>
        <w:ind w:firstLine="0"/>
        <w:jc w:val="center"/>
        <w:rPr>
          <w:rFonts w:eastAsia="Times New Roman" w:cs="Times New Roman"/>
          <w:szCs w:val="20"/>
          <w:lang w:val="en-US"/>
        </w:rPr>
      </w:pPr>
      <w:r>
        <w:rPr>
          <w:rFonts w:eastAsia="Times New Roman" w:cs="Times New Roman"/>
          <w:szCs w:val="20"/>
          <w:lang w:val="en-US"/>
        </w:rPr>
        <w:t>[INSERT TABLE</w:t>
      </w:r>
      <w:r w:rsidR="00877457">
        <w:rPr>
          <w:rFonts w:eastAsia="Times New Roman" w:cs="Times New Roman"/>
          <w:szCs w:val="20"/>
          <w:lang w:val="en-US"/>
        </w:rPr>
        <w:t>S</w:t>
      </w:r>
      <w:r>
        <w:rPr>
          <w:rFonts w:eastAsia="Times New Roman" w:cs="Times New Roman"/>
          <w:szCs w:val="20"/>
          <w:lang w:val="en-US"/>
        </w:rPr>
        <w:t xml:space="preserve"> I </w:t>
      </w:r>
      <w:r w:rsidR="00877457">
        <w:rPr>
          <w:rFonts w:eastAsia="Times New Roman" w:cs="Times New Roman"/>
          <w:szCs w:val="20"/>
          <w:lang w:val="en-US"/>
        </w:rPr>
        <w:t xml:space="preserve">AND II </w:t>
      </w:r>
      <w:r>
        <w:rPr>
          <w:rFonts w:eastAsia="Times New Roman" w:cs="Times New Roman"/>
          <w:szCs w:val="20"/>
          <w:lang w:val="en-US"/>
        </w:rPr>
        <w:t>HERE]</w:t>
      </w:r>
    </w:p>
    <w:p w:rsidR="00272E6D" w:rsidRDefault="00D76F8A" w:rsidP="00285D37">
      <w:pPr>
        <w:suppressAutoHyphens/>
        <w:rPr>
          <w:rFonts w:eastAsia="Times New Roman" w:cs="Times New Roman"/>
          <w:szCs w:val="20"/>
          <w:lang w:val="en-US"/>
        </w:rPr>
      </w:pPr>
      <w:r>
        <w:rPr>
          <w:rFonts w:eastAsia="Times New Roman" w:cs="Times New Roman"/>
          <w:szCs w:val="20"/>
          <w:lang w:val="en-US"/>
        </w:rPr>
        <w:t>Panel A of Table II reports the summary statistics of TSRV, our</w:t>
      </w:r>
      <w:r w:rsidR="005639E1">
        <w:rPr>
          <w:rFonts w:eastAsia="Times New Roman" w:cs="Times New Roman"/>
          <w:szCs w:val="20"/>
          <w:lang w:val="en-US"/>
        </w:rPr>
        <w:t xml:space="preserve"> measure for information flow. </w:t>
      </w:r>
      <w:r w:rsidR="00272E6D">
        <w:rPr>
          <w:rFonts w:eastAsia="Times New Roman" w:cs="Times New Roman"/>
          <w:szCs w:val="20"/>
          <w:lang w:val="en-US"/>
        </w:rPr>
        <w:t xml:space="preserve"> </w:t>
      </w:r>
      <w:r w:rsidR="00D41ABE">
        <w:rPr>
          <w:rFonts w:eastAsia="Times New Roman" w:cs="Times New Roman"/>
          <w:szCs w:val="20"/>
          <w:lang w:val="en-US"/>
        </w:rPr>
        <w:t xml:space="preserve">The eight-hour </w:t>
      </w:r>
      <w:r w:rsidR="00272E6D">
        <w:rPr>
          <w:rFonts w:eastAsia="Times New Roman" w:cs="Times New Roman"/>
          <w:szCs w:val="20"/>
          <w:lang w:val="en-US"/>
        </w:rPr>
        <w:t>Asia</w:t>
      </w:r>
      <w:r w:rsidR="00D41ABE">
        <w:rPr>
          <w:rFonts w:eastAsia="Times New Roman" w:cs="Times New Roman"/>
          <w:szCs w:val="20"/>
          <w:lang w:val="en-US"/>
        </w:rPr>
        <w:t>n trading</w:t>
      </w:r>
      <w:r w:rsidR="00272E6D">
        <w:rPr>
          <w:rFonts w:eastAsia="Times New Roman" w:cs="Times New Roman"/>
          <w:szCs w:val="20"/>
          <w:lang w:val="en-US"/>
        </w:rPr>
        <w:t xml:space="preserve"> has the lowest </w:t>
      </w:r>
      <w:r w:rsidR="00D41ABE">
        <w:rPr>
          <w:rFonts w:eastAsia="Times New Roman" w:cs="Times New Roman"/>
          <w:szCs w:val="20"/>
          <w:lang w:val="en-US"/>
        </w:rPr>
        <w:t xml:space="preserve">average </w:t>
      </w:r>
      <w:r w:rsidR="00272E6D">
        <w:rPr>
          <w:rFonts w:eastAsia="Times New Roman" w:cs="Times New Roman"/>
          <w:szCs w:val="20"/>
          <w:lang w:val="en-US"/>
        </w:rPr>
        <w:t>daily TSRV</w:t>
      </w:r>
      <w:r w:rsidR="00D41ABE">
        <w:rPr>
          <w:rFonts w:eastAsia="Times New Roman" w:cs="Times New Roman"/>
          <w:szCs w:val="20"/>
          <w:lang w:val="en-US"/>
        </w:rPr>
        <w:t>, even lower than the two-</w:t>
      </w:r>
      <w:r w:rsidR="00D41ABE">
        <w:rPr>
          <w:rFonts w:eastAsia="Times New Roman" w:cs="Times New Roman"/>
          <w:szCs w:val="20"/>
          <w:lang w:val="en-US"/>
        </w:rPr>
        <w:lastRenderedPageBreak/>
        <w:t>hour London/New York market.  It has</w:t>
      </w:r>
      <w:r w:rsidR="00272E6D">
        <w:rPr>
          <w:rFonts w:eastAsia="Times New Roman" w:cs="Times New Roman"/>
          <w:szCs w:val="20"/>
          <w:lang w:val="en-US"/>
        </w:rPr>
        <w:t xml:space="preserve"> </w:t>
      </w:r>
      <w:r w:rsidR="00D41ABE">
        <w:rPr>
          <w:rFonts w:eastAsia="Times New Roman" w:cs="Times New Roman"/>
          <w:szCs w:val="20"/>
          <w:lang w:val="en-US"/>
        </w:rPr>
        <w:t xml:space="preserve">the </w:t>
      </w:r>
      <w:r w:rsidR="00272E6D">
        <w:rPr>
          <w:rFonts w:eastAsia="Times New Roman" w:cs="Times New Roman"/>
          <w:szCs w:val="20"/>
          <w:lang w:val="en-US"/>
        </w:rPr>
        <w:t>highe</w:t>
      </w:r>
      <w:r w:rsidR="00D41ABE">
        <w:rPr>
          <w:rFonts w:eastAsia="Times New Roman" w:cs="Times New Roman"/>
          <w:szCs w:val="20"/>
          <w:lang w:val="en-US"/>
        </w:rPr>
        <w:t>st</w:t>
      </w:r>
      <w:r w:rsidR="00272E6D">
        <w:rPr>
          <w:rFonts w:eastAsia="Times New Roman" w:cs="Times New Roman"/>
          <w:szCs w:val="20"/>
          <w:lang w:val="en-US"/>
        </w:rPr>
        <w:t xml:space="preserve"> volatility of TSRV relative to its mean</w:t>
      </w:r>
      <w:r w:rsidR="00D41ABE">
        <w:rPr>
          <w:rFonts w:eastAsia="Times New Roman" w:cs="Times New Roman"/>
          <w:szCs w:val="20"/>
          <w:lang w:val="en-US"/>
        </w:rPr>
        <w:t xml:space="preserve">.  </w:t>
      </w:r>
      <w:r w:rsidR="0027622B">
        <w:rPr>
          <w:rFonts w:eastAsia="Times New Roman" w:cs="Times New Roman"/>
          <w:szCs w:val="20"/>
          <w:lang w:val="en-US"/>
        </w:rPr>
        <w:t xml:space="preserve">Using the normal distribution as a benchmark, Asian TSRV is less “well behaved” than other markets with higher skewness and kurtosis.  </w:t>
      </w:r>
      <w:r w:rsidR="00D41ABE">
        <w:rPr>
          <w:rFonts w:eastAsia="Times New Roman" w:cs="Times New Roman"/>
          <w:szCs w:val="20"/>
          <w:lang w:val="en-US"/>
        </w:rPr>
        <w:t>TSRVs are similar in Europe and U.S.</w:t>
      </w:r>
      <w:r w:rsidR="00145443">
        <w:rPr>
          <w:rFonts w:eastAsia="Times New Roman" w:cs="Times New Roman"/>
          <w:szCs w:val="20"/>
          <w:lang w:val="en-US"/>
        </w:rPr>
        <w:t>.</w:t>
      </w:r>
      <w:r w:rsidR="00D41ABE">
        <w:rPr>
          <w:rFonts w:eastAsia="Times New Roman" w:cs="Times New Roman"/>
          <w:szCs w:val="20"/>
          <w:lang w:val="en-US"/>
        </w:rPr>
        <w:t xml:space="preserve">  London/New York has the highest per-hour TSRV. </w:t>
      </w:r>
    </w:p>
    <w:p w:rsidR="00414031" w:rsidRDefault="00414031" w:rsidP="00414031">
      <w:pPr>
        <w:suppressAutoHyphens/>
        <w:rPr>
          <w:rFonts w:eastAsia="Times New Roman" w:cs="Times New Roman"/>
          <w:szCs w:val="20"/>
          <w:lang w:val="en-US"/>
        </w:rPr>
      </w:pPr>
      <w:r>
        <w:rPr>
          <w:rFonts w:eastAsia="Times New Roman" w:cs="Times New Roman"/>
          <w:szCs w:val="20"/>
          <w:lang w:val="en-US"/>
        </w:rPr>
        <w:t xml:space="preserve">The ratio of TSRV to the more conventional realized variance (RV) is reported in Panel B of Table II. </w:t>
      </w:r>
      <w:r w:rsidR="008E5DA6">
        <w:rPr>
          <w:rFonts w:eastAsia="Times New Roman" w:cs="Times New Roman"/>
          <w:szCs w:val="20"/>
          <w:lang w:val="en-US"/>
        </w:rPr>
        <w:t>Since TSRV removes microstructure noise from RV, the ratio represents information flow relative to the total price variation.  A higher ratio implies a more efficient market.  The ratio increased over the sample period across all markets, indicating improved market efficiency.  Asia is the least efficient among the four, except in the late 1990s when</w:t>
      </w:r>
      <w:r w:rsidR="00145443">
        <w:rPr>
          <w:rFonts w:eastAsia="Times New Roman" w:cs="Times New Roman"/>
          <w:szCs w:val="20"/>
          <w:lang w:val="en-US"/>
        </w:rPr>
        <w:t xml:space="preserve"> the</w:t>
      </w:r>
      <w:r w:rsidR="008E5DA6">
        <w:rPr>
          <w:rFonts w:eastAsia="Times New Roman" w:cs="Times New Roman"/>
          <w:szCs w:val="20"/>
          <w:lang w:val="en-US"/>
        </w:rPr>
        <w:t xml:space="preserve"> Tokyo Commodity Exchange was a major center for gold futures.  In recent years, the London/New York market has the highest ratio, indicating greater information content in the observed price changes.  </w:t>
      </w:r>
    </w:p>
    <w:p w:rsidR="008523C7" w:rsidRDefault="007E0715" w:rsidP="00A076DE">
      <w:pPr>
        <w:suppressAutoHyphens/>
        <w:rPr>
          <w:rFonts w:eastAsia="Times New Roman" w:cs="Times New Roman"/>
          <w:szCs w:val="20"/>
          <w:lang w:val="en-US"/>
        </w:rPr>
      </w:pPr>
      <w:r>
        <w:rPr>
          <w:rFonts w:eastAsia="Times New Roman" w:cs="Times New Roman"/>
          <w:szCs w:val="20"/>
          <w:lang w:val="en-US"/>
        </w:rPr>
        <w:t xml:space="preserve">The characteristics of the OTC gold transactions are summarized in Panel </w:t>
      </w:r>
      <w:r w:rsidR="00414031">
        <w:rPr>
          <w:rFonts w:eastAsia="Times New Roman" w:cs="Times New Roman"/>
          <w:szCs w:val="20"/>
          <w:lang w:val="en-US"/>
        </w:rPr>
        <w:t>C</w:t>
      </w:r>
      <w:r>
        <w:rPr>
          <w:rFonts w:eastAsia="Times New Roman" w:cs="Times New Roman"/>
          <w:szCs w:val="20"/>
          <w:lang w:val="en-US"/>
        </w:rPr>
        <w:t xml:space="preserve"> of Table II, as well as Figure 3a and 3b.  </w:t>
      </w:r>
      <w:r w:rsidR="00AF3EBA">
        <w:rPr>
          <w:rFonts w:eastAsia="Times New Roman" w:cs="Times New Roman"/>
          <w:szCs w:val="20"/>
          <w:lang w:val="en-US"/>
        </w:rPr>
        <w:t xml:space="preserve">During the sample period, Europe has the highest share of trading at 35.2%.  Its share of OTC gold transactions had a strong increase from 15% in 2002 to 41% in 2008 (Figure 3a).  Asia’s share of OTC transactions also had a strong increase from a low of 6% in 2001 to a high of 26% in 2010. The shares of London/New York and U.S. declined after 2001-2002, with a mild rebound for U.S. since 2008.  </w:t>
      </w:r>
      <w:r w:rsidR="00AB077A">
        <w:rPr>
          <w:rFonts w:eastAsia="Times New Roman" w:cs="Times New Roman"/>
          <w:szCs w:val="20"/>
          <w:lang w:val="en-US"/>
        </w:rPr>
        <w:t xml:space="preserve">Overall the OTC gold trading was relatively flat until a sharp increase in 2007-2008.  The peak value in 2011 is over ten times of the trades in 2006.  </w:t>
      </w:r>
      <w:r w:rsidR="00A076DE">
        <w:rPr>
          <w:rFonts w:eastAsia="Times New Roman" w:cs="Times New Roman"/>
          <w:szCs w:val="20"/>
          <w:lang w:val="en-US"/>
        </w:rPr>
        <w:t xml:space="preserve">Figure 3b depicts the intraday trading pattern. </w:t>
      </w:r>
      <w:r w:rsidR="00F0767A">
        <w:rPr>
          <w:rFonts w:eastAsia="Times New Roman" w:cs="Times New Roman"/>
          <w:szCs w:val="20"/>
          <w:lang w:val="en-US"/>
        </w:rPr>
        <w:t>In the earlier years (1996 – 2007), volume is low throughout the Asian hours up to 11 GMT. This change in 2008-2012 as</w:t>
      </w:r>
      <w:r w:rsidR="008523C7">
        <w:rPr>
          <w:rFonts w:eastAsia="Times New Roman" w:cs="Times New Roman"/>
          <w:szCs w:val="20"/>
          <w:lang w:val="en-US"/>
        </w:rPr>
        <w:t xml:space="preserve"> </w:t>
      </w:r>
      <w:r w:rsidR="00F0767A">
        <w:rPr>
          <w:rFonts w:eastAsia="Times New Roman" w:cs="Times New Roman"/>
          <w:szCs w:val="20"/>
          <w:lang w:val="en-US"/>
        </w:rPr>
        <w:t xml:space="preserve">volume rises towards the end of Asian trading hours and peaks before the 3pm London </w:t>
      </w:r>
      <w:r w:rsidR="00AB1D9C">
        <w:rPr>
          <w:rFonts w:eastAsia="Times New Roman" w:cs="Times New Roman"/>
          <w:szCs w:val="20"/>
          <w:lang w:val="en-US"/>
        </w:rPr>
        <w:t>Gold F</w:t>
      </w:r>
      <w:r w:rsidR="00F0767A">
        <w:rPr>
          <w:rFonts w:eastAsia="Times New Roman" w:cs="Times New Roman"/>
          <w:szCs w:val="20"/>
          <w:lang w:val="en-US"/>
        </w:rPr>
        <w:t>ix</w:t>
      </w:r>
      <w:r w:rsidR="00AB1D9C">
        <w:rPr>
          <w:rFonts w:eastAsia="Times New Roman" w:cs="Times New Roman"/>
          <w:szCs w:val="20"/>
          <w:lang w:val="en-US"/>
        </w:rPr>
        <w:t>ing</w:t>
      </w:r>
      <w:r w:rsidR="00F0767A">
        <w:rPr>
          <w:rFonts w:eastAsia="Times New Roman" w:cs="Times New Roman"/>
          <w:szCs w:val="20"/>
          <w:lang w:val="en-US"/>
        </w:rPr>
        <w:t xml:space="preserve">.  </w:t>
      </w:r>
      <w:r w:rsidR="004E1C75">
        <w:rPr>
          <w:rFonts w:eastAsia="Times New Roman" w:cs="Times New Roman"/>
          <w:szCs w:val="20"/>
          <w:lang w:val="en-US"/>
        </w:rPr>
        <w:t xml:space="preserve">As shown in Figure 3a, volume surged in the 2008-2012 period.  </w:t>
      </w:r>
      <w:r w:rsidR="004B2879">
        <w:rPr>
          <w:rFonts w:eastAsia="Times New Roman" w:cs="Times New Roman"/>
          <w:szCs w:val="20"/>
          <w:lang w:val="en-US"/>
        </w:rPr>
        <w:t>For 2008 – 2012,</w:t>
      </w:r>
      <w:r w:rsidR="004E1C75">
        <w:rPr>
          <w:rFonts w:eastAsia="Times New Roman" w:cs="Times New Roman"/>
          <w:szCs w:val="20"/>
          <w:lang w:val="en-US"/>
        </w:rPr>
        <w:t xml:space="preserve"> volume bounces back after 21 GMT</w:t>
      </w:r>
      <w:r w:rsidR="004B2879">
        <w:rPr>
          <w:rFonts w:eastAsia="Times New Roman" w:cs="Times New Roman"/>
          <w:szCs w:val="20"/>
          <w:lang w:val="en-US"/>
        </w:rPr>
        <w:t xml:space="preserve">, </w:t>
      </w:r>
      <w:r w:rsidR="00C079D3">
        <w:rPr>
          <w:rFonts w:eastAsia="Times New Roman" w:cs="Times New Roman"/>
          <w:szCs w:val="20"/>
          <w:lang w:val="en-US"/>
        </w:rPr>
        <w:t>possibly due to</w:t>
      </w:r>
      <w:r w:rsidR="004B2879">
        <w:rPr>
          <w:rFonts w:eastAsia="Times New Roman" w:cs="Times New Roman"/>
          <w:szCs w:val="20"/>
          <w:lang w:val="en-US"/>
        </w:rPr>
        <w:t xml:space="preserve"> increased </w:t>
      </w:r>
      <w:r w:rsidR="00C079D3">
        <w:rPr>
          <w:rFonts w:eastAsia="Times New Roman" w:cs="Times New Roman"/>
          <w:szCs w:val="20"/>
          <w:lang w:val="en-US"/>
        </w:rPr>
        <w:t xml:space="preserve">early morning trading </w:t>
      </w:r>
      <w:r w:rsidR="004B2879">
        <w:rPr>
          <w:rFonts w:eastAsia="Times New Roman" w:cs="Times New Roman"/>
          <w:szCs w:val="20"/>
          <w:lang w:val="en-US"/>
        </w:rPr>
        <w:t xml:space="preserve">in </w:t>
      </w:r>
      <w:r w:rsidR="00C079D3">
        <w:rPr>
          <w:rFonts w:eastAsia="Times New Roman" w:cs="Times New Roman"/>
          <w:szCs w:val="20"/>
          <w:lang w:val="en-US"/>
        </w:rPr>
        <w:t>New Zealand and Australia</w:t>
      </w:r>
      <w:r w:rsidR="004B2879">
        <w:rPr>
          <w:rFonts w:eastAsia="Times New Roman" w:cs="Times New Roman"/>
          <w:szCs w:val="20"/>
          <w:lang w:val="en-US"/>
        </w:rPr>
        <w:t>.</w:t>
      </w:r>
    </w:p>
    <w:p w:rsidR="0048303B" w:rsidRDefault="00414031" w:rsidP="0048303B">
      <w:pPr>
        <w:suppressAutoHyphens/>
        <w:ind w:firstLine="0"/>
        <w:jc w:val="center"/>
        <w:rPr>
          <w:rFonts w:eastAsia="Times New Roman" w:cs="Times New Roman"/>
          <w:szCs w:val="20"/>
          <w:lang w:val="en-US"/>
        </w:rPr>
      </w:pPr>
      <w:r>
        <w:rPr>
          <w:rFonts w:eastAsia="Times New Roman" w:cs="Times New Roman"/>
          <w:szCs w:val="20"/>
          <w:lang w:val="en-US"/>
        </w:rPr>
        <w:t xml:space="preserve"> </w:t>
      </w:r>
      <w:r w:rsidR="0048303B">
        <w:rPr>
          <w:rFonts w:eastAsia="Times New Roman" w:cs="Times New Roman"/>
          <w:szCs w:val="20"/>
          <w:lang w:val="en-US"/>
        </w:rPr>
        <w:t>[INSERT FIGURE 3A AND 3B HERE]</w:t>
      </w:r>
    </w:p>
    <w:p w:rsidR="0005434A" w:rsidRDefault="0005434A" w:rsidP="00285D37">
      <w:pPr>
        <w:suppressAutoHyphens/>
        <w:spacing w:before="120"/>
        <w:ind w:firstLine="0"/>
        <w:rPr>
          <w:rFonts w:eastAsia="Times New Roman" w:cs="Times New Roman"/>
          <w:b/>
          <w:i/>
          <w:szCs w:val="20"/>
          <w:lang w:val="en-US"/>
        </w:rPr>
      </w:pPr>
    </w:p>
    <w:p w:rsidR="0005434A" w:rsidRDefault="0005434A" w:rsidP="00285D37">
      <w:pPr>
        <w:suppressAutoHyphens/>
        <w:spacing w:before="120"/>
        <w:ind w:firstLine="0"/>
        <w:rPr>
          <w:rFonts w:eastAsia="Times New Roman" w:cs="Times New Roman"/>
          <w:b/>
          <w:i/>
          <w:szCs w:val="20"/>
          <w:lang w:val="en-US"/>
        </w:rPr>
      </w:pPr>
    </w:p>
    <w:p w:rsidR="008C7EA9" w:rsidRPr="0035288D" w:rsidRDefault="0035288D" w:rsidP="00285D37">
      <w:pPr>
        <w:suppressAutoHyphens/>
        <w:spacing w:before="120"/>
        <w:ind w:firstLine="0"/>
        <w:rPr>
          <w:rFonts w:eastAsia="Times New Roman" w:cs="Times New Roman"/>
          <w:b/>
          <w:i/>
          <w:szCs w:val="20"/>
          <w:lang w:val="en-US"/>
        </w:rPr>
      </w:pPr>
      <w:r>
        <w:rPr>
          <w:rFonts w:eastAsia="Times New Roman" w:cs="Times New Roman"/>
          <w:b/>
          <w:i/>
          <w:szCs w:val="20"/>
          <w:lang w:val="en-US"/>
        </w:rPr>
        <w:lastRenderedPageBreak/>
        <w:t>Global Information Distribution</w:t>
      </w:r>
    </w:p>
    <w:p w:rsidR="002542BB" w:rsidRDefault="00ED4222" w:rsidP="002542BB">
      <w:pPr>
        <w:rPr>
          <w:rFonts w:eastAsia="Times New Roman" w:cs="Times New Roman"/>
          <w:szCs w:val="24"/>
          <w:lang w:val="en-US"/>
        </w:rPr>
      </w:pPr>
      <w:r>
        <w:rPr>
          <w:lang w:val="en-US"/>
        </w:rPr>
        <w:t xml:space="preserve">Table III reports the average daily </w:t>
      </w:r>
      <w:r w:rsidR="00BC4DDE">
        <w:rPr>
          <w:lang w:val="en-US"/>
        </w:rPr>
        <w:t>information share</w:t>
      </w:r>
      <w:r w:rsidR="00430651">
        <w:rPr>
          <w:lang w:val="en-US"/>
        </w:rPr>
        <w:t>s</w:t>
      </w:r>
      <w:r w:rsidR="00BC4DDE">
        <w:rPr>
          <w:lang w:val="en-US"/>
        </w:rPr>
        <w:t xml:space="preserve"> </w:t>
      </w:r>
      <w:r w:rsidR="00430651">
        <w:rPr>
          <w:lang w:val="en-US"/>
        </w:rPr>
        <w:t>of</w:t>
      </w:r>
      <w:r w:rsidR="00BC4DDE">
        <w:rPr>
          <w:rFonts w:eastAsia="Times New Roman" w:cs="Times New Roman"/>
          <w:szCs w:val="24"/>
          <w:lang w:val="en-US"/>
        </w:rPr>
        <w:t xml:space="preserve"> </w:t>
      </w:r>
      <w:r w:rsidR="008F7508">
        <w:rPr>
          <w:rFonts w:eastAsia="Times New Roman" w:cs="Times New Roman"/>
          <w:szCs w:val="24"/>
          <w:lang w:val="en-US"/>
        </w:rPr>
        <w:t xml:space="preserve">the four markets, </w:t>
      </w:r>
      <w:r w:rsidR="00BC4DDE">
        <w:rPr>
          <w:rFonts w:eastAsia="Times New Roman" w:cs="Times New Roman"/>
          <w:szCs w:val="24"/>
          <w:lang w:val="en-US"/>
        </w:rPr>
        <w:t xml:space="preserve">Asia, Europe, </w:t>
      </w:r>
      <w:r w:rsidR="00225D59">
        <w:rPr>
          <w:rFonts w:eastAsia="Times New Roman" w:cs="Times New Roman"/>
          <w:szCs w:val="24"/>
          <w:lang w:val="en-US"/>
        </w:rPr>
        <w:t>London/</w:t>
      </w:r>
      <w:r w:rsidR="00BC252C">
        <w:rPr>
          <w:rFonts w:eastAsia="Times New Roman" w:cs="Times New Roman"/>
          <w:szCs w:val="24"/>
          <w:lang w:val="en-US"/>
        </w:rPr>
        <w:t>N</w:t>
      </w:r>
      <w:r w:rsidR="00793019">
        <w:rPr>
          <w:rFonts w:eastAsia="Times New Roman" w:cs="Times New Roman"/>
          <w:szCs w:val="24"/>
          <w:lang w:val="en-US"/>
        </w:rPr>
        <w:t>ew York</w:t>
      </w:r>
      <w:r w:rsidR="00225D59">
        <w:rPr>
          <w:rFonts w:eastAsia="Times New Roman" w:cs="Times New Roman"/>
          <w:szCs w:val="24"/>
          <w:lang w:val="en-US"/>
        </w:rPr>
        <w:t xml:space="preserve">, </w:t>
      </w:r>
      <w:r w:rsidR="00BC4DDE">
        <w:rPr>
          <w:rFonts w:eastAsia="Times New Roman" w:cs="Times New Roman"/>
          <w:szCs w:val="24"/>
          <w:lang w:val="en-US"/>
        </w:rPr>
        <w:t>and U</w:t>
      </w:r>
      <w:r w:rsidR="00C21C51">
        <w:rPr>
          <w:rFonts w:eastAsia="Times New Roman" w:cs="Times New Roman"/>
          <w:szCs w:val="24"/>
          <w:lang w:val="en-US"/>
        </w:rPr>
        <w:t>.</w:t>
      </w:r>
      <w:r w:rsidR="00BC4DDE">
        <w:rPr>
          <w:rFonts w:eastAsia="Times New Roman" w:cs="Times New Roman"/>
          <w:szCs w:val="24"/>
          <w:lang w:val="en-US"/>
        </w:rPr>
        <w:t>S</w:t>
      </w:r>
      <w:r w:rsidR="00C21C51">
        <w:rPr>
          <w:rFonts w:eastAsia="Times New Roman" w:cs="Times New Roman"/>
          <w:szCs w:val="24"/>
          <w:lang w:val="en-US"/>
        </w:rPr>
        <w:t>.</w:t>
      </w:r>
      <w:r w:rsidR="008F7508">
        <w:rPr>
          <w:rFonts w:eastAsia="Times New Roman" w:cs="Times New Roman"/>
          <w:szCs w:val="24"/>
          <w:lang w:val="en-US"/>
        </w:rPr>
        <w:t xml:space="preserve"> </w:t>
      </w:r>
      <w:r w:rsidR="00C70C5D">
        <w:rPr>
          <w:rFonts w:eastAsia="Times New Roman" w:cs="Times New Roman"/>
          <w:szCs w:val="24"/>
          <w:lang w:val="en-US"/>
        </w:rPr>
        <w:t>For the full sample, the</w:t>
      </w:r>
      <w:r w:rsidR="008F7508">
        <w:rPr>
          <w:rFonts w:eastAsia="Times New Roman" w:cs="Times New Roman"/>
          <w:szCs w:val="24"/>
          <w:lang w:val="en-US"/>
        </w:rPr>
        <w:t xml:space="preserve"> average</w:t>
      </w:r>
      <w:r w:rsidR="00C70C5D">
        <w:rPr>
          <w:rFonts w:eastAsia="Times New Roman" w:cs="Times New Roman"/>
          <w:szCs w:val="24"/>
          <w:lang w:val="en-US"/>
        </w:rPr>
        <w:t xml:space="preserve"> information shares of Asia, Europe,</w:t>
      </w:r>
      <w:r w:rsidR="000F51D3">
        <w:rPr>
          <w:rFonts w:eastAsia="Times New Roman" w:cs="Times New Roman"/>
          <w:szCs w:val="24"/>
          <w:lang w:val="en-US"/>
        </w:rPr>
        <w:t xml:space="preserve"> </w:t>
      </w:r>
      <w:r w:rsidR="00D05D57">
        <w:rPr>
          <w:rFonts w:eastAsia="Times New Roman" w:cs="Times New Roman"/>
          <w:szCs w:val="24"/>
          <w:lang w:val="en-US"/>
        </w:rPr>
        <w:t>London/N</w:t>
      </w:r>
      <w:r w:rsidR="00A45E24">
        <w:rPr>
          <w:rFonts w:eastAsia="Times New Roman" w:cs="Times New Roman"/>
          <w:szCs w:val="24"/>
          <w:lang w:val="en-US"/>
        </w:rPr>
        <w:t>ew York</w:t>
      </w:r>
      <w:r w:rsidR="00D05D57">
        <w:rPr>
          <w:rFonts w:eastAsia="Times New Roman" w:cs="Times New Roman"/>
          <w:szCs w:val="24"/>
          <w:lang w:val="en-US"/>
        </w:rPr>
        <w:t xml:space="preserve"> and</w:t>
      </w:r>
      <w:r w:rsidR="00C70C5D">
        <w:rPr>
          <w:rFonts w:eastAsia="Times New Roman" w:cs="Times New Roman"/>
          <w:szCs w:val="24"/>
          <w:lang w:val="en-US"/>
        </w:rPr>
        <w:t xml:space="preserve"> U</w:t>
      </w:r>
      <w:r w:rsidR="00C21C51">
        <w:rPr>
          <w:rFonts w:eastAsia="Times New Roman" w:cs="Times New Roman"/>
          <w:szCs w:val="24"/>
          <w:lang w:val="en-US"/>
        </w:rPr>
        <w:t>.</w:t>
      </w:r>
      <w:r w:rsidR="00C70C5D">
        <w:rPr>
          <w:rFonts w:eastAsia="Times New Roman" w:cs="Times New Roman"/>
          <w:szCs w:val="24"/>
          <w:lang w:val="en-US"/>
        </w:rPr>
        <w:t>S</w:t>
      </w:r>
      <w:r w:rsidR="00C21C51">
        <w:rPr>
          <w:rFonts w:eastAsia="Times New Roman" w:cs="Times New Roman"/>
          <w:szCs w:val="24"/>
          <w:lang w:val="en-US"/>
        </w:rPr>
        <w:t>.</w:t>
      </w:r>
      <w:r w:rsidR="00C70C5D">
        <w:rPr>
          <w:rFonts w:eastAsia="Times New Roman" w:cs="Times New Roman"/>
          <w:szCs w:val="24"/>
          <w:lang w:val="en-US"/>
        </w:rPr>
        <w:t xml:space="preserve"> are </w:t>
      </w:r>
      <w:r w:rsidR="00225D59">
        <w:rPr>
          <w:rFonts w:eastAsia="Times New Roman" w:cs="Times New Roman"/>
          <w:szCs w:val="24"/>
          <w:lang w:val="en-US"/>
        </w:rPr>
        <w:t>17</w:t>
      </w:r>
      <w:r w:rsidR="00EE2A05">
        <w:rPr>
          <w:rFonts w:eastAsia="Times New Roman" w:cs="Times New Roman"/>
          <w:szCs w:val="24"/>
          <w:lang w:val="en-US"/>
        </w:rPr>
        <w:t xml:space="preserve">%, </w:t>
      </w:r>
      <w:r w:rsidR="00225D59">
        <w:rPr>
          <w:rFonts w:eastAsia="Times New Roman" w:cs="Times New Roman"/>
          <w:szCs w:val="24"/>
          <w:lang w:val="en-US"/>
        </w:rPr>
        <w:t>31</w:t>
      </w:r>
      <w:r w:rsidR="00EE2A05">
        <w:rPr>
          <w:rFonts w:eastAsia="Times New Roman" w:cs="Times New Roman"/>
          <w:szCs w:val="24"/>
          <w:lang w:val="en-US"/>
        </w:rPr>
        <w:t>%,</w:t>
      </w:r>
      <w:r w:rsidR="000F51D3">
        <w:rPr>
          <w:rFonts w:eastAsia="Times New Roman" w:cs="Times New Roman"/>
          <w:szCs w:val="24"/>
          <w:lang w:val="en-US"/>
        </w:rPr>
        <w:t xml:space="preserve"> </w:t>
      </w:r>
      <w:r w:rsidR="00225D59">
        <w:rPr>
          <w:rFonts w:eastAsia="Times New Roman" w:cs="Times New Roman"/>
          <w:szCs w:val="24"/>
          <w:lang w:val="en-US"/>
        </w:rPr>
        <w:t>22</w:t>
      </w:r>
      <w:r w:rsidR="000F51D3">
        <w:rPr>
          <w:rFonts w:eastAsia="Times New Roman" w:cs="Times New Roman"/>
          <w:szCs w:val="24"/>
          <w:lang w:val="en-US"/>
        </w:rPr>
        <w:t>%</w:t>
      </w:r>
      <w:r w:rsidR="00EE2A05">
        <w:rPr>
          <w:rFonts w:eastAsia="Times New Roman" w:cs="Times New Roman"/>
          <w:szCs w:val="24"/>
          <w:lang w:val="en-US"/>
        </w:rPr>
        <w:t xml:space="preserve"> and </w:t>
      </w:r>
      <w:r w:rsidR="00225D59">
        <w:rPr>
          <w:rFonts w:eastAsia="Times New Roman" w:cs="Times New Roman"/>
          <w:szCs w:val="24"/>
          <w:lang w:val="en-US"/>
        </w:rPr>
        <w:t>30</w:t>
      </w:r>
      <w:r w:rsidR="00430651">
        <w:rPr>
          <w:rFonts w:eastAsia="Times New Roman" w:cs="Times New Roman"/>
          <w:szCs w:val="24"/>
          <w:lang w:val="en-US"/>
        </w:rPr>
        <w:t>% respectively</w:t>
      </w:r>
      <w:r w:rsidR="00EE2A05">
        <w:rPr>
          <w:rFonts w:eastAsia="Times New Roman" w:cs="Times New Roman"/>
          <w:szCs w:val="24"/>
          <w:lang w:val="en-US"/>
        </w:rPr>
        <w:t xml:space="preserve">. </w:t>
      </w:r>
      <w:r w:rsidR="007E4721">
        <w:rPr>
          <w:rFonts w:eastAsia="Times New Roman" w:cs="Times New Roman"/>
          <w:szCs w:val="24"/>
          <w:lang w:val="en-US"/>
        </w:rPr>
        <w:t xml:space="preserve"> The information shar</w:t>
      </w:r>
      <w:r w:rsidR="005764E6">
        <w:rPr>
          <w:rFonts w:eastAsia="Times New Roman" w:cs="Times New Roman"/>
          <w:szCs w:val="24"/>
          <w:lang w:val="en-US"/>
        </w:rPr>
        <w:t>es have</w:t>
      </w:r>
      <w:r w:rsidR="007E4721">
        <w:rPr>
          <w:rFonts w:eastAsia="Times New Roman" w:cs="Times New Roman"/>
          <w:szCs w:val="24"/>
          <w:lang w:val="en-US"/>
        </w:rPr>
        <w:t xml:space="preserve"> </w:t>
      </w:r>
      <w:r w:rsidR="005764E6">
        <w:rPr>
          <w:rFonts w:eastAsia="Times New Roman" w:cs="Times New Roman"/>
          <w:szCs w:val="24"/>
          <w:lang w:val="en-US"/>
        </w:rPr>
        <w:t xml:space="preserve">relatively </w:t>
      </w:r>
      <w:r w:rsidR="007E4721">
        <w:rPr>
          <w:rFonts w:eastAsia="Times New Roman" w:cs="Times New Roman"/>
          <w:szCs w:val="24"/>
          <w:lang w:val="en-US"/>
        </w:rPr>
        <w:t>low time-series variations</w:t>
      </w:r>
      <w:r w:rsidR="005764E6">
        <w:rPr>
          <w:rFonts w:eastAsia="Times New Roman" w:cs="Times New Roman"/>
          <w:szCs w:val="24"/>
          <w:lang w:val="en-US"/>
        </w:rPr>
        <w:t xml:space="preserve"> thus </w:t>
      </w:r>
      <w:r w:rsidR="007E4721">
        <w:rPr>
          <w:rFonts w:eastAsia="Times New Roman" w:cs="Times New Roman"/>
          <w:szCs w:val="24"/>
          <w:lang w:val="en-US"/>
        </w:rPr>
        <w:t xml:space="preserve">high </w:t>
      </w:r>
      <w:r w:rsidR="007E4721" w:rsidRPr="00F36DC0">
        <w:rPr>
          <w:rFonts w:eastAsia="Times New Roman" w:cs="Times New Roman"/>
          <w:i/>
          <w:szCs w:val="24"/>
          <w:lang w:val="en-US"/>
        </w:rPr>
        <w:t>t</w:t>
      </w:r>
      <w:r w:rsidR="007E4721">
        <w:rPr>
          <w:rFonts w:eastAsia="Times New Roman" w:cs="Times New Roman"/>
          <w:szCs w:val="24"/>
          <w:lang w:val="en-US"/>
        </w:rPr>
        <w:t>-statistics</w:t>
      </w:r>
      <w:r w:rsidR="005764E6">
        <w:rPr>
          <w:rFonts w:eastAsia="Times New Roman" w:cs="Times New Roman"/>
          <w:szCs w:val="24"/>
          <w:lang w:val="en-US"/>
        </w:rPr>
        <w:t>.</w:t>
      </w:r>
      <w:r w:rsidR="007B3005">
        <w:rPr>
          <w:rFonts w:eastAsia="Times New Roman" w:cs="Times New Roman"/>
          <w:szCs w:val="24"/>
          <w:lang w:val="en-US"/>
        </w:rPr>
        <w:t xml:space="preserve">  The</w:t>
      </w:r>
      <w:r w:rsidR="00366952">
        <w:rPr>
          <w:rFonts w:eastAsia="Times New Roman" w:cs="Times New Roman"/>
          <w:szCs w:val="24"/>
          <w:lang w:val="en-US"/>
        </w:rPr>
        <w:t>se estimates indicate</w:t>
      </w:r>
      <w:r w:rsidR="00514517">
        <w:rPr>
          <w:rFonts w:eastAsia="Times New Roman" w:cs="Times New Roman"/>
          <w:szCs w:val="24"/>
          <w:lang w:val="en-US"/>
        </w:rPr>
        <w:t xml:space="preserve"> that </w:t>
      </w:r>
      <w:r w:rsidR="007B3005">
        <w:rPr>
          <w:rFonts w:eastAsia="Times New Roman" w:cs="Times New Roman"/>
          <w:szCs w:val="24"/>
          <w:lang w:val="en-US"/>
        </w:rPr>
        <w:t>geographically</w:t>
      </w:r>
      <w:r w:rsidR="00514517">
        <w:rPr>
          <w:rFonts w:eastAsia="Times New Roman" w:cs="Times New Roman"/>
          <w:szCs w:val="24"/>
          <w:lang w:val="en-US"/>
        </w:rPr>
        <w:t>,</w:t>
      </w:r>
      <w:r w:rsidR="007B3005">
        <w:rPr>
          <w:rFonts w:eastAsia="Times New Roman" w:cs="Times New Roman"/>
          <w:szCs w:val="24"/>
          <w:lang w:val="en-US"/>
        </w:rPr>
        <w:t xml:space="preserve"> the global distribution of trading is not the same as the global distribution of information.  </w:t>
      </w:r>
      <w:r w:rsidR="002542BB">
        <w:rPr>
          <w:rFonts w:eastAsia="Times New Roman" w:cs="Times New Roman"/>
          <w:szCs w:val="24"/>
          <w:lang w:val="en-US"/>
        </w:rPr>
        <w:t xml:space="preserve">Even though Asia has 21.5% of the OTC trades (Table II Panel C), it has only 17% of global information.  On the other </w:t>
      </w:r>
      <w:r w:rsidR="00085B8E">
        <w:rPr>
          <w:rFonts w:eastAsia="Times New Roman" w:cs="Times New Roman"/>
          <w:szCs w:val="24"/>
          <w:lang w:val="en-US"/>
        </w:rPr>
        <w:t>hand, London/New York has</w:t>
      </w:r>
      <w:r w:rsidR="002542BB">
        <w:rPr>
          <w:rFonts w:eastAsia="Times New Roman" w:cs="Times New Roman"/>
          <w:szCs w:val="24"/>
          <w:lang w:val="en-US"/>
        </w:rPr>
        <w:t xml:space="preserve"> 14.6% of the OTC trades but 22% </w:t>
      </w:r>
      <w:r w:rsidR="00085B8E">
        <w:rPr>
          <w:rFonts w:eastAsia="Times New Roman" w:cs="Times New Roman"/>
          <w:szCs w:val="24"/>
          <w:lang w:val="en-US"/>
        </w:rPr>
        <w:t xml:space="preserve">of global </w:t>
      </w:r>
      <w:r w:rsidR="002542BB">
        <w:rPr>
          <w:rFonts w:eastAsia="Times New Roman" w:cs="Times New Roman"/>
          <w:szCs w:val="24"/>
          <w:lang w:val="en-US"/>
        </w:rPr>
        <w:t xml:space="preserve">information. </w:t>
      </w:r>
      <w:r w:rsidR="007B3005">
        <w:rPr>
          <w:rFonts w:eastAsia="Times New Roman" w:cs="Times New Roman"/>
          <w:szCs w:val="24"/>
          <w:lang w:val="en-US"/>
        </w:rPr>
        <w:t xml:space="preserve"> </w:t>
      </w:r>
      <w:r w:rsidR="00514517">
        <w:rPr>
          <w:rFonts w:eastAsia="Times New Roman" w:cs="Times New Roman"/>
          <w:szCs w:val="24"/>
          <w:lang w:val="en-US"/>
        </w:rPr>
        <w:t xml:space="preserve">One unit traded in different locations may have different information content.  Furthermore, the estimates do not support the claim by LBMA that “the global bullion market is based on expertise and liquidity in London”.  </w:t>
      </w:r>
      <w:r w:rsidR="00366952">
        <w:rPr>
          <w:rFonts w:eastAsia="Times New Roman" w:cs="Times New Roman"/>
          <w:szCs w:val="24"/>
          <w:lang w:val="en-US"/>
        </w:rPr>
        <w:t>I</w:t>
      </w:r>
      <w:r w:rsidR="00366952">
        <w:rPr>
          <w:rFonts w:eastAsia="Times New Roman" w:cs="Times New Roman"/>
          <w:szCs w:val="20"/>
          <w:lang w:val="en-US"/>
        </w:rPr>
        <w:t>gnoring the contributions of other cities in Europe and U.S., t</w:t>
      </w:r>
      <w:r w:rsidR="00366952">
        <w:rPr>
          <w:rFonts w:eastAsia="Times New Roman" w:cs="Times New Roman"/>
          <w:szCs w:val="24"/>
          <w:lang w:val="en-US"/>
        </w:rPr>
        <w:t xml:space="preserve">he London morning fixing does not significantly boost the information share of London morning trading.  </w:t>
      </w:r>
      <w:r w:rsidR="00366952">
        <w:rPr>
          <w:rFonts w:eastAsia="Times New Roman" w:cs="Times New Roman"/>
          <w:szCs w:val="20"/>
          <w:lang w:val="en-US"/>
        </w:rPr>
        <w:t>If the 22% information share for London/New York is split equally between the two cities</w:t>
      </w:r>
      <w:r w:rsidR="00684CD6">
        <w:rPr>
          <w:rStyle w:val="FootnoteReference"/>
          <w:rFonts w:eastAsia="Times New Roman" w:cs="Times New Roman"/>
          <w:szCs w:val="20"/>
          <w:lang w:val="en-US"/>
        </w:rPr>
        <w:footnoteReference w:id="8"/>
      </w:r>
      <w:r w:rsidR="00366952">
        <w:rPr>
          <w:rFonts w:eastAsia="Times New Roman" w:cs="Times New Roman"/>
          <w:szCs w:val="20"/>
          <w:lang w:val="en-US"/>
        </w:rPr>
        <w:t xml:space="preserve">, they each have around 41% information share.  </w:t>
      </w:r>
      <w:r w:rsidR="00366952">
        <w:rPr>
          <w:rFonts w:eastAsia="Times New Roman" w:cs="Times New Roman"/>
          <w:szCs w:val="24"/>
          <w:lang w:val="en-US"/>
        </w:rPr>
        <w:t xml:space="preserve">The finding is consistent with that of </w:t>
      </w:r>
      <w:r w:rsidR="00C30FBE">
        <w:rPr>
          <w:rFonts w:eastAsia="Times New Roman" w:cs="Times New Roman"/>
          <w:szCs w:val="24"/>
          <w:lang w:val="en-US"/>
        </w:rPr>
        <w:t xml:space="preserve">Lucey et al. (2013).  </w:t>
      </w:r>
    </w:p>
    <w:p w:rsidR="00085B8E" w:rsidRDefault="007E4721" w:rsidP="00085B8E">
      <w:pPr>
        <w:rPr>
          <w:rFonts w:eastAsia="Times New Roman" w:cs="Times New Roman"/>
          <w:szCs w:val="24"/>
          <w:lang w:val="en-US"/>
        </w:rPr>
      </w:pPr>
      <w:r>
        <w:rPr>
          <w:rFonts w:eastAsia="Times New Roman" w:cs="Times New Roman"/>
          <w:szCs w:val="24"/>
          <w:lang w:val="en-US"/>
        </w:rPr>
        <w:t xml:space="preserve">On a per-hour basis, the information shares are 2.1%, 4.4%, 11%, and 4.3% for Asia, Europe, London/New York, and U.S. respectively.  </w:t>
      </w:r>
      <w:r w:rsidR="00430651">
        <w:rPr>
          <w:rFonts w:eastAsia="Times New Roman" w:cs="Times New Roman"/>
          <w:szCs w:val="24"/>
          <w:lang w:val="en-US"/>
        </w:rPr>
        <w:t>Therefore the per-hour rate of information flow in Asia is 2.1% of the total daily information</w:t>
      </w:r>
      <w:r w:rsidR="00085B8E">
        <w:rPr>
          <w:rFonts w:eastAsia="Times New Roman" w:cs="Times New Roman"/>
          <w:szCs w:val="24"/>
          <w:lang w:val="en-US"/>
        </w:rPr>
        <w:t>,</w:t>
      </w:r>
      <w:r w:rsidR="00430651">
        <w:rPr>
          <w:rFonts w:eastAsia="Times New Roman" w:cs="Times New Roman"/>
          <w:szCs w:val="24"/>
          <w:lang w:val="en-US"/>
        </w:rPr>
        <w:t xml:space="preserve"> and the per-hour rate of information flow in London/New York is 11% of the total daily information.</w:t>
      </w:r>
      <w:r w:rsidR="001B29D8">
        <w:rPr>
          <w:rFonts w:eastAsia="Times New Roman" w:cs="Times New Roman"/>
          <w:szCs w:val="24"/>
          <w:lang w:val="en-US"/>
        </w:rPr>
        <w:t xml:space="preserve"> </w:t>
      </w:r>
      <w:r w:rsidR="00737DC1">
        <w:rPr>
          <w:rFonts w:eastAsia="Times New Roman" w:cs="Times New Roman"/>
          <w:szCs w:val="24"/>
          <w:lang w:val="en-US"/>
        </w:rPr>
        <w:t xml:space="preserve"> While t</w:t>
      </w:r>
      <w:r w:rsidR="009953BF">
        <w:rPr>
          <w:rFonts w:eastAsia="Times New Roman" w:cs="Times New Roman"/>
          <w:szCs w:val="24"/>
          <w:lang w:val="en-US"/>
        </w:rPr>
        <w:t xml:space="preserve">he </w:t>
      </w:r>
      <w:r w:rsidR="00737DC1">
        <w:rPr>
          <w:rFonts w:eastAsia="Times New Roman" w:cs="Times New Roman"/>
          <w:szCs w:val="24"/>
          <w:lang w:val="en-US"/>
        </w:rPr>
        <w:t xml:space="preserve">notion of </w:t>
      </w:r>
      <w:r w:rsidR="009953BF">
        <w:rPr>
          <w:rFonts w:eastAsia="Times New Roman" w:cs="Times New Roman"/>
          <w:szCs w:val="24"/>
          <w:lang w:val="en-US"/>
        </w:rPr>
        <w:t>high</w:t>
      </w:r>
      <w:r w:rsidR="001B29D8">
        <w:rPr>
          <w:rFonts w:eastAsia="Times New Roman" w:cs="Times New Roman"/>
          <w:szCs w:val="24"/>
          <w:lang w:val="en-US"/>
        </w:rPr>
        <w:t xml:space="preserve"> </w:t>
      </w:r>
      <w:r w:rsidR="00737DC1">
        <w:rPr>
          <w:rFonts w:eastAsia="Times New Roman" w:cs="Times New Roman"/>
          <w:szCs w:val="24"/>
          <w:lang w:val="en-US"/>
        </w:rPr>
        <w:t xml:space="preserve">information intensity during the London/New York overlapping hours is not </w:t>
      </w:r>
      <w:r w:rsidR="00C30FBE">
        <w:rPr>
          <w:rFonts w:eastAsia="Times New Roman" w:cs="Times New Roman"/>
          <w:szCs w:val="24"/>
          <w:lang w:val="en-US"/>
        </w:rPr>
        <w:t>new</w:t>
      </w:r>
      <w:r w:rsidR="00737DC1">
        <w:rPr>
          <w:rFonts w:eastAsia="Times New Roman" w:cs="Times New Roman"/>
          <w:szCs w:val="24"/>
          <w:lang w:val="en-US"/>
        </w:rPr>
        <w:t xml:space="preserve">, the quantified level of information intensity is still striking: the </w:t>
      </w:r>
      <w:r w:rsidR="001B29D8">
        <w:rPr>
          <w:rFonts w:eastAsia="Times New Roman" w:cs="Times New Roman"/>
          <w:szCs w:val="24"/>
          <w:lang w:val="en-US"/>
        </w:rPr>
        <w:t>rate of</w:t>
      </w:r>
      <w:r w:rsidR="009953BF">
        <w:rPr>
          <w:rFonts w:eastAsia="Times New Roman" w:cs="Times New Roman"/>
          <w:szCs w:val="24"/>
          <w:lang w:val="en-US"/>
        </w:rPr>
        <w:t xml:space="preserve"> information </w:t>
      </w:r>
      <w:r w:rsidR="001B29D8">
        <w:rPr>
          <w:rFonts w:eastAsia="Times New Roman" w:cs="Times New Roman"/>
          <w:szCs w:val="24"/>
          <w:lang w:val="en-US"/>
        </w:rPr>
        <w:t>flow</w:t>
      </w:r>
      <w:r w:rsidR="009953BF">
        <w:rPr>
          <w:rFonts w:eastAsia="Times New Roman" w:cs="Times New Roman"/>
          <w:szCs w:val="24"/>
          <w:lang w:val="en-US"/>
        </w:rPr>
        <w:t xml:space="preserve"> during the London/New York overlapping hours is two and half times of the </w:t>
      </w:r>
      <w:r w:rsidR="001B29D8">
        <w:rPr>
          <w:rFonts w:eastAsia="Times New Roman" w:cs="Times New Roman"/>
          <w:szCs w:val="24"/>
          <w:lang w:val="en-US"/>
        </w:rPr>
        <w:t xml:space="preserve">rate of </w:t>
      </w:r>
      <w:r w:rsidR="009953BF">
        <w:rPr>
          <w:rFonts w:eastAsia="Times New Roman" w:cs="Times New Roman"/>
          <w:szCs w:val="24"/>
          <w:lang w:val="en-US"/>
        </w:rPr>
        <w:t>information flows before (Europe) and after (U.S.)</w:t>
      </w:r>
      <w:r w:rsidR="002542BB">
        <w:rPr>
          <w:rFonts w:eastAsia="Times New Roman" w:cs="Times New Roman"/>
          <w:szCs w:val="24"/>
          <w:lang w:val="en-US"/>
        </w:rPr>
        <w:t>,</w:t>
      </w:r>
      <w:r w:rsidR="009953BF">
        <w:rPr>
          <w:rFonts w:eastAsia="Times New Roman" w:cs="Times New Roman"/>
          <w:szCs w:val="24"/>
          <w:lang w:val="en-US"/>
        </w:rPr>
        <w:t xml:space="preserve"> and over five times of the </w:t>
      </w:r>
      <w:r w:rsidR="001B29D8">
        <w:rPr>
          <w:rFonts w:eastAsia="Times New Roman" w:cs="Times New Roman"/>
          <w:szCs w:val="24"/>
          <w:lang w:val="en-US"/>
        </w:rPr>
        <w:t xml:space="preserve">rate of </w:t>
      </w:r>
      <w:r w:rsidR="009953BF">
        <w:rPr>
          <w:rFonts w:eastAsia="Times New Roman" w:cs="Times New Roman"/>
          <w:szCs w:val="24"/>
          <w:lang w:val="en-US"/>
        </w:rPr>
        <w:t xml:space="preserve">information flow in Asia.  </w:t>
      </w:r>
      <w:r w:rsidR="00085B8E">
        <w:rPr>
          <w:rFonts w:eastAsia="Times New Roman" w:cs="Times New Roman"/>
          <w:szCs w:val="24"/>
          <w:lang w:val="en-US"/>
        </w:rPr>
        <w:t xml:space="preserve">The finding </w:t>
      </w:r>
      <w:r w:rsidR="0050124E">
        <w:rPr>
          <w:rFonts w:eastAsia="Times New Roman" w:cs="Times New Roman"/>
          <w:szCs w:val="24"/>
          <w:lang w:val="en-US"/>
        </w:rPr>
        <w:t>supports the notion that the concurrent trading of multiple assets in multiple markets, as happens during the London/</w:t>
      </w:r>
      <w:r w:rsidR="0005434A">
        <w:rPr>
          <w:rFonts w:eastAsia="Times New Roman" w:cs="Times New Roman"/>
          <w:szCs w:val="24"/>
          <w:lang w:val="en-US"/>
        </w:rPr>
        <w:t xml:space="preserve"> </w:t>
      </w:r>
      <w:r w:rsidR="0050124E">
        <w:rPr>
          <w:rFonts w:eastAsia="Times New Roman" w:cs="Times New Roman"/>
          <w:szCs w:val="24"/>
          <w:lang w:val="en-US"/>
        </w:rPr>
        <w:t xml:space="preserve">New York period, </w:t>
      </w:r>
      <w:r w:rsidR="009807C8">
        <w:rPr>
          <w:rFonts w:eastAsia="Times New Roman" w:cs="Times New Roman"/>
          <w:szCs w:val="24"/>
          <w:lang w:val="en-US"/>
        </w:rPr>
        <w:t xml:space="preserve">significantly enhances the market’s </w:t>
      </w:r>
      <w:r w:rsidR="0050124E">
        <w:rPr>
          <w:rFonts w:eastAsia="Times New Roman" w:cs="Times New Roman"/>
          <w:szCs w:val="24"/>
          <w:lang w:val="en-US"/>
        </w:rPr>
        <w:t xml:space="preserve">information production and price discovery.  </w:t>
      </w:r>
    </w:p>
    <w:p w:rsidR="00972BC3" w:rsidRDefault="008F7508" w:rsidP="0007566D">
      <w:pPr>
        <w:rPr>
          <w:rFonts w:eastAsia="Times New Roman" w:cs="Times New Roman"/>
          <w:szCs w:val="20"/>
          <w:lang w:val="en-US"/>
        </w:rPr>
      </w:pPr>
      <w:r>
        <w:rPr>
          <w:rFonts w:eastAsia="Times New Roman" w:cs="Times New Roman"/>
          <w:szCs w:val="24"/>
          <w:lang w:val="en-US"/>
        </w:rPr>
        <w:lastRenderedPageBreak/>
        <w:t>The historical evolution of global information distribution is depicted in Figure 4.</w:t>
      </w:r>
      <w:r w:rsidR="006B6760">
        <w:rPr>
          <w:rFonts w:eastAsia="Times New Roman" w:cs="Times New Roman"/>
          <w:szCs w:val="24"/>
          <w:lang w:val="en-US"/>
        </w:rPr>
        <w:t xml:space="preserve"> D</w:t>
      </w:r>
      <w:r w:rsidR="006B6760" w:rsidRPr="006B6760">
        <w:rPr>
          <w:rFonts w:eastAsia="Times New Roman" w:cs="Times New Roman"/>
          <w:szCs w:val="20"/>
          <w:lang w:val="en-US"/>
        </w:rPr>
        <w:t xml:space="preserve">espite </w:t>
      </w:r>
      <w:r w:rsidR="003033A4">
        <w:rPr>
          <w:rFonts w:eastAsia="Times New Roman" w:cs="Times New Roman"/>
          <w:szCs w:val="20"/>
          <w:lang w:val="en-US"/>
        </w:rPr>
        <w:t>Asia’s</w:t>
      </w:r>
      <w:r w:rsidR="006B6760" w:rsidRPr="006B6760">
        <w:rPr>
          <w:rFonts w:eastAsia="Times New Roman" w:cs="Times New Roman"/>
          <w:szCs w:val="20"/>
          <w:lang w:val="en-US"/>
        </w:rPr>
        <w:t xml:space="preserve"> </w:t>
      </w:r>
      <w:r w:rsidR="006B6760">
        <w:rPr>
          <w:rFonts w:eastAsia="Times New Roman" w:cs="Times New Roman"/>
          <w:szCs w:val="20"/>
          <w:lang w:val="en-US"/>
        </w:rPr>
        <w:t xml:space="preserve">rising </w:t>
      </w:r>
      <w:r w:rsidR="006B6760" w:rsidRPr="006B6760">
        <w:rPr>
          <w:rFonts w:eastAsia="Times New Roman" w:cs="Times New Roman"/>
          <w:szCs w:val="20"/>
          <w:lang w:val="en-US"/>
        </w:rPr>
        <w:t xml:space="preserve">share of OTC trades from around 10% in the late 1990s to </w:t>
      </w:r>
      <w:r w:rsidR="006B6760">
        <w:rPr>
          <w:rFonts w:eastAsia="Times New Roman" w:cs="Times New Roman"/>
          <w:szCs w:val="20"/>
          <w:lang w:val="en-US"/>
        </w:rPr>
        <w:t>the peak of 26</w:t>
      </w:r>
      <w:r w:rsidR="006B6760" w:rsidRPr="006B6760">
        <w:rPr>
          <w:rFonts w:eastAsia="Times New Roman" w:cs="Times New Roman"/>
          <w:szCs w:val="20"/>
          <w:lang w:val="en-US"/>
        </w:rPr>
        <w:t xml:space="preserve">% </w:t>
      </w:r>
      <w:r w:rsidR="006B6760">
        <w:rPr>
          <w:rFonts w:eastAsia="Times New Roman" w:cs="Times New Roman"/>
          <w:szCs w:val="20"/>
          <w:lang w:val="en-US"/>
        </w:rPr>
        <w:t>in</w:t>
      </w:r>
      <w:r w:rsidR="006B6760" w:rsidRPr="006B6760">
        <w:rPr>
          <w:rFonts w:eastAsia="Times New Roman" w:cs="Times New Roman"/>
          <w:szCs w:val="20"/>
          <w:lang w:val="en-US"/>
        </w:rPr>
        <w:t xml:space="preserve"> 20</w:t>
      </w:r>
      <w:r w:rsidR="003033A4">
        <w:rPr>
          <w:rFonts w:eastAsia="Times New Roman" w:cs="Times New Roman"/>
          <w:szCs w:val="20"/>
          <w:lang w:val="en-US"/>
        </w:rPr>
        <w:t>10</w:t>
      </w:r>
      <w:r w:rsidR="006B6760">
        <w:rPr>
          <w:rFonts w:eastAsia="Times New Roman" w:cs="Times New Roman"/>
          <w:szCs w:val="20"/>
          <w:lang w:val="en-US"/>
        </w:rPr>
        <w:t xml:space="preserve"> (Figure 3a)</w:t>
      </w:r>
      <w:r w:rsidR="003033A4">
        <w:rPr>
          <w:rFonts w:eastAsia="Times New Roman" w:cs="Times New Roman"/>
          <w:szCs w:val="20"/>
          <w:lang w:val="en-US"/>
        </w:rPr>
        <w:t>, it</w:t>
      </w:r>
      <w:r w:rsidR="006B6760" w:rsidRPr="006B6760">
        <w:rPr>
          <w:rFonts w:eastAsia="Times New Roman" w:cs="Times New Roman"/>
          <w:szCs w:val="20"/>
          <w:lang w:val="en-US"/>
        </w:rPr>
        <w:t xml:space="preserve">s information share has experienced a significant decline from </w:t>
      </w:r>
      <w:r w:rsidR="003033A4">
        <w:rPr>
          <w:rFonts w:eastAsia="Times New Roman" w:cs="Times New Roman"/>
          <w:szCs w:val="20"/>
          <w:lang w:val="en-US"/>
        </w:rPr>
        <w:t xml:space="preserve">around </w:t>
      </w:r>
      <w:r w:rsidR="006B6760" w:rsidRPr="006B6760">
        <w:rPr>
          <w:rFonts w:eastAsia="Times New Roman" w:cs="Times New Roman"/>
          <w:szCs w:val="20"/>
          <w:lang w:val="en-US"/>
        </w:rPr>
        <w:t xml:space="preserve">20% in </w:t>
      </w:r>
      <w:r w:rsidR="003033A4">
        <w:rPr>
          <w:rFonts w:eastAsia="Times New Roman" w:cs="Times New Roman"/>
          <w:szCs w:val="20"/>
          <w:lang w:val="en-US"/>
        </w:rPr>
        <w:t>the late 1990s</w:t>
      </w:r>
      <w:r w:rsidR="006B6760" w:rsidRPr="006B6760">
        <w:rPr>
          <w:rFonts w:eastAsia="Times New Roman" w:cs="Times New Roman"/>
          <w:szCs w:val="20"/>
          <w:lang w:val="en-US"/>
        </w:rPr>
        <w:t xml:space="preserve"> to </w:t>
      </w:r>
      <w:r w:rsidR="003033A4">
        <w:rPr>
          <w:rFonts w:eastAsia="Times New Roman" w:cs="Times New Roman"/>
          <w:szCs w:val="20"/>
          <w:lang w:val="en-US"/>
        </w:rPr>
        <w:t xml:space="preserve">around </w:t>
      </w:r>
      <w:r w:rsidR="006B6760" w:rsidRPr="006B6760">
        <w:rPr>
          <w:rFonts w:eastAsia="Times New Roman" w:cs="Times New Roman"/>
          <w:szCs w:val="20"/>
          <w:lang w:val="en-US"/>
        </w:rPr>
        <w:t>1</w:t>
      </w:r>
      <w:r w:rsidR="003033A4">
        <w:rPr>
          <w:rFonts w:eastAsia="Times New Roman" w:cs="Times New Roman"/>
          <w:szCs w:val="20"/>
          <w:lang w:val="en-US"/>
        </w:rPr>
        <w:t>5</w:t>
      </w:r>
      <w:r w:rsidR="006B6760" w:rsidRPr="006B6760">
        <w:rPr>
          <w:rFonts w:eastAsia="Times New Roman" w:cs="Times New Roman"/>
          <w:szCs w:val="20"/>
          <w:lang w:val="en-US"/>
        </w:rPr>
        <w:t xml:space="preserve">% in 2009-2012. </w:t>
      </w:r>
      <w:r w:rsidR="003033A4">
        <w:rPr>
          <w:rFonts w:eastAsia="Times New Roman" w:cs="Times New Roman"/>
          <w:szCs w:val="20"/>
          <w:lang w:val="en-US"/>
        </w:rPr>
        <w:t>On the other hand</w:t>
      </w:r>
      <w:r w:rsidR="006B6760" w:rsidRPr="006B6760">
        <w:rPr>
          <w:rFonts w:eastAsia="Times New Roman" w:cs="Times New Roman"/>
          <w:szCs w:val="20"/>
          <w:lang w:val="en-US"/>
        </w:rPr>
        <w:t xml:space="preserve">, </w:t>
      </w:r>
      <w:r w:rsidR="003033A4">
        <w:rPr>
          <w:rFonts w:eastAsia="Times New Roman" w:cs="Times New Roman"/>
          <w:szCs w:val="20"/>
          <w:lang w:val="en-US"/>
        </w:rPr>
        <w:t xml:space="preserve">the </w:t>
      </w:r>
      <w:r w:rsidR="00972BC3">
        <w:rPr>
          <w:rFonts w:eastAsia="Times New Roman" w:cs="Times New Roman"/>
          <w:szCs w:val="20"/>
          <w:lang w:val="en-US"/>
        </w:rPr>
        <w:t xml:space="preserve">information </w:t>
      </w:r>
      <w:r w:rsidR="003033A4">
        <w:rPr>
          <w:rFonts w:eastAsia="Times New Roman" w:cs="Times New Roman"/>
          <w:szCs w:val="20"/>
          <w:lang w:val="en-US"/>
        </w:rPr>
        <w:t xml:space="preserve">share of </w:t>
      </w:r>
      <w:r w:rsidR="003033A4" w:rsidRPr="006B6760">
        <w:rPr>
          <w:rFonts w:eastAsia="Times New Roman" w:cs="Times New Roman"/>
          <w:szCs w:val="20"/>
          <w:lang w:val="en-US"/>
        </w:rPr>
        <w:t>the London/New York market</w:t>
      </w:r>
      <w:r w:rsidR="003033A4">
        <w:rPr>
          <w:rFonts w:eastAsia="Times New Roman" w:cs="Times New Roman"/>
          <w:szCs w:val="20"/>
          <w:lang w:val="en-US"/>
        </w:rPr>
        <w:t xml:space="preserve"> </w:t>
      </w:r>
      <w:r w:rsidR="006B6760" w:rsidRPr="006B6760">
        <w:rPr>
          <w:rFonts w:eastAsia="Times New Roman" w:cs="Times New Roman"/>
          <w:szCs w:val="20"/>
          <w:lang w:val="en-US"/>
        </w:rPr>
        <w:t xml:space="preserve">increased from 18% in </w:t>
      </w:r>
      <w:r w:rsidR="003033A4">
        <w:rPr>
          <w:rFonts w:eastAsia="Times New Roman" w:cs="Times New Roman"/>
          <w:szCs w:val="20"/>
          <w:lang w:val="en-US"/>
        </w:rPr>
        <w:t>the late 1990s</w:t>
      </w:r>
      <w:r w:rsidR="006B6760" w:rsidRPr="006B6760">
        <w:rPr>
          <w:rFonts w:eastAsia="Times New Roman" w:cs="Times New Roman"/>
          <w:szCs w:val="20"/>
          <w:lang w:val="en-US"/>
        </w:rPr>
        <w:t xml:space="preserve"> to </w:t>
      </w:r>
      <w:r w:rsidR="003033A4">
        <w:rPr>
          <w:rFonts w:eastAsia="Times New Roman" w:cs="Times New Roman"/>
          <w:szCs w:val="20"/>
          <w:lang w:val="en-US"/>
        </w:rPr>
        <w:t xml:space="preserve">around </w:t>
      </w:r>
      <w:r w:rsidR="006B6760" w:rsidRPr="006B6760">
        <w:rPr>
          <w:rFonts w:eastAsia="Times New Roman" w:cs="Times New Roman"/>
          <w:szCs w:val="20"/>
          <w:lang w:val="en-US"/>
        </w:rPr>
        <w:t>2</w:t>
      </w:r>
      <w:r w:rsidR="003033A4">
        <w:rPr>
          <w:rFonts w:eastAsia="Times New Roman" w:cs="Times New Roman"/>
          <w:szCs w:val="20"/>
          <w:lang w:val="en-US"/>
        </w:rPr>
        <w:t>3</w:t>
      </w:r>
      <w:r w:rsidR="006B6760" w:rsidRPr="006B6760">
        <w:rPr>
          <w:rFonts w:eastAsia="Times New Roman" w:cs="Times New Roman"/>
          <w:szCs w:val="20"/>
          <w:lang w:val="en-US"/>
        </w:rPr>
        <w:t xml:space="preserve">% in 2009-2012. </w:t>
      </w:r>
      <w:r w:rsidR="00671E07">
        <w:rPr>
          <w:rFonts w:eastAsia="Times New Roman" w:cs="Times New Roman"/>
          <w:szCs w:val="20"/>
          <w:lang w:val="en-US"/>
        </w:rPr>
        <w:t xml:space="preserve"> </w:t>
      </w:r>
      <w:r w:rsidR="00972BC3">
        <w:rPr>
          <w:rFonts w:eastAsia="Times New Roman" w:cs="Times New Roman"/>
          <w:szCs w:val="20"/>
          <w:lang w:val="en-US"/>
        </w:rPr>
        <w:t xml:space="preserve">The time trend for the information shares of Europe and U.S. is relatively flat. </w:t>
      </w:r>
      <w:r w:rsidR="003F073F">
        <w:rPr>
          <w:rFonts w:eastAsia="Times New Roman" w:cs="Times New Roman"/>
          <w:szCs w:val="20"/>
          <w:lang w:val="en-US"/>
        </w:rPr>
        <w:t xml:space="preserve"> </w:t>
      </w:r>
      <w:r w:rsidR="00972BC3">
        <w:rPr>
          <w:rFonts w:eastAsia="Times New Roman" w:cs="Times New Roman"/>
          <w:szCs w:val="24"/>
          <w:lang w:val="en-US"/>
        </w:rPr>
        <w:t>The impact of gold ETFs in U.S. appears to be local: information comes out of ETF trading instead of futures trading (</w:t>
      </w:r>
      <w:r w:rsidR="00ED311F">
        <w:rPr>
          <w:rFonts w:eastAsia="Times New Roman" w:cs="Times New Roman"/>
          <w:szCs w:val="24"/>
          <w:lang w:val="en-US"/>
        </w:rPr>
        <w:fldChar w:fldCharType="begin"/>
      </w:r>
      <w:r w:rsidR="00972BC3">
        <w:rPr>
          <w:rFonts w:eastAsia="Times New Roman" w:cs="Times New Roman"/>
          <w:szCs w:val="24"/>
          <w:lang w:val="en-US"/>
        </w:rPr>
        <w:instrText xml:space="preserve"> ADDIN EN.CITE &lt;EndNote&gt;&lt;Cite&gt;&lt;Author&gt;Ivanov&lt;/Author&gt;&lt;Year&gt;2011&lt;/Year&gt;&lt;RecNum&gt;740&lt;/RecNum&gt;&lt;DisplayText&gt;Ivanov (2011)&lt;/DisplayText&gt;&lt;record&gt;&lt;rec-number&gt;740&lt;/rec-number&gt;&lt;foreign-keys&gt;&lt;key app="EN" db-id="szetpsas1ep5veesd5xvva5qdxwetsvpfs5x"&gt;740&lt;/key&gt;&lt;/foreign-keys&gt;&lt;ref-type name="Journal Article"&gt;17&lt;/ref-type&gt;&lt;contributors&gt;&lt;authors&gt;&lt;author&gt;Ivanov, Stoyu I&lt;/author&gt;&lt;/authors&gt;&lt;/contributors&gt;&lt;titles&gt;&lt;title&gt;The influence of ETFs on the price discovery of gold, silver and oil&lt;/title&gt;&lt;secondary-title&gt;Journal of Economics and Finance&lt;/secondary-title&gt;&lt;/titles&gt;&lt;periodical&gt;&lt;full-title&gt;Journal of Economics and Finance&lt;/full-title&gt;&lt;/periodical&gt;&lt;pages&gt;453-462&lt;/pages&gt;&lt;volume&gt;37&lt;/volume&gt;&lt;number&gt;3&lt;/number&gt;&lt;dates&gt;&lt;year&gt;2011&lt;/year&gt;&lt;/dates&gt;&lt;isbn&gt;1055-0925&lt;/isbn&gt;&lt;urls&gt;&lt;/urls&gt;&lt;/record&gt;&lt;/Cite&gt;&lt;/EndNote&gt;</w:instrText>
      </w:r>
      <w:r w:rsidR="00ED311F">
        <w:rPr>
          <w:rFonts w:eastAsia="Times New Roman" w:cs="Times New Roman"/>
          <w:szCs w:val="24"/>
          <w:lang w:val="en-US"/>
        </w:rPr>
        <w:fldChar w:fldCharType="separate"/>
      </w:r>
      <w:hyperlink w:anchor="_ENREF_23" w:tooltip="Ivanov, 2011 #740" w:history="1">
        <w:r w:rsidR="00C419D5">
          <w:rPr>
            <w:rFonts w:eastAsia="Times New Roman" w:cs="Times New Roman"/>
            <w:noProof/>
            <w:szCs w:val="24"/>
            <w:lang w:val="en-US"/>
          </w:rPr>
          <w:t>Ivanov (2011</w:t>
        </w:r>
      </w:hyperlink>
      <w:r w:rsidR="00972BC3">
        <w:rPr>
          <w:rFonts w:eastAsia="Times New Roman" w:cs="Times New Roman"/>
          <w:noProof/>
          <w:szCs w:val="24"/>
          <w:lang w:val="en-US"/>
        </w:rPr>
        <w:t>)</w:t>
      </w:r>
      <w:r w:rsidR="00ED311F">
        <w:rPr>
          <w:rFonts w:eastAsia="Times New Roman" w:cs="Times New Roman"/>
          <w:szCs w:val="24"/>
          <w:lang w:val="en-US"/>
        </w:rPr>
        <w:fldChar w:fldCharType="end"/>
      </w:r>
      <w:r w:rsidR="00972BC3">
        <w:rPr>
          <w:rFonts w:eastAsia="Times New Roman" w:cs="Times New Roman"/>
          <w:szCs w:val="24"/>
          <w:lang w:val="en-US"/>
        </w:rPr>
        <w:t>). It has not shifted the global information distribution in favor of U.S.</w:t>
      </w:r>
      <w:r w:rsidR="009107BB">
        <w:rPr>
          <w:rFonts w:eastAsia="Times New Roman" w:cs="Times New Roman"/>
          <w:szCs w:val="24"/>
          <w:lang w:val="en-US"/>
        </w:rPr>
        <w:t xml:space="preserve">  For Asia, the strong demand for </w:t>
      </w:r>
      <w:r w:rsidR="002301B3">
        <w:rPr>
          <w:rFonts w:eastAsia="Times New Roman" w:cs="Times New Roman"/>
          <w:szCs w:val="24"/>
          <w:lang w:val="en-US"/>
        </w:rPr>
        <w:t>physical</w:t>
      </w:r>
      <w:r w:rsidR="009107BB">
        <w:rPr>
          <w:rFonts w:eastAsia="Times New Roman" w:cs="Times New Roman"/>
          <w:szCs w:val="24"/>
          <w:lang w:val="en-US"/>
        </w:rPr>
        <w:t xml:space="preserve"> gold and the sharp rise in </w:t>
      </w:r>
      <w:r w:rsidR="002301B3">
        <w:rPr>
          <w:rFonts w:eastAsia="Times New Roman" w:cs="Times New Roman"/>
          <w:szCs w:val="24"/>
          <w:lang w:val="en-US"/>
        </w:rPr>
        <w:t>spot and</w:t>
      </w:r>
      <w:r w:rsidR="009107BB">
        <w:rPr>
          <w:rFonts w:eastAsia="Times New Roman" w:cs="Times New Roman"/>
          <w:szCs w:val="24"/>
          <w:lang w:val="en-US"/>
        </w:rPr>
        <w:t xml:space="preserve"> derivatives trading have not led to greater </w:t>
      </w:r>
      <w:r w:rsidR="002301B3">
        <w:rPr>
          <w:rFonts w:eastAsia="Times New Roman" w:cs="Times New Roman"/>
          <w:szCs w:val="24"/>
          <w:lang w:val="en-US"/>
        </w:rPr>
        <w:t xml:space="preserve">capacity for price discovery.  </w:t>
      </w:r>
      <w:r w:rsidR="00C30FBE">
        <w:rPr>
          <w:rFonts w:eastAsia="Times New Roman" w:cs="Times New Roman"/>
          <w:szCs w:val="24"/>
          <w:lang w:val="en-US"/>
        </w:rPr>
        <w:t xml:space="preserve">The low volatility (Table II) and low information share indicate that </w:t>
      </w:r>
      <w:r w:rsidR="00671E07">
        <w:rPr>
          <w:rFonts w:eastAsia="Times New Roman" w:cs="Times New Roman"/>
          <w:szCs w:val="24"/>
          <w:lang w:val="en-US"/>
        </w:rPr>
        <w:t xml:space="preserve">Asia remains largely a price taker, trading gold at prices set in </w:t>
      </w:r>
      <w:r w:rsidR="009107BB">
        <w:rPr>
          <w:rFonts w:eastAsia="Times New Roman" w:cs="Times New Roman"/>
          <w:szCs w:val="24"/>
          <w:lang w:val="en-US"/>
        </w:rPr>
        <w:t>London and New York</w:t>
      </w:r>
      <w:r w:rsidR="00671E07">
        <w:rPr>
          <w:rFonts w:eastAsia="Times New Roman" w:cs="Times New Roman"/>
          <w:szCs w:val="24"/>
          <w:lang w:val="en-US"/>
        </w:rPr>
        <w:t>.</w:t>
      </w:r>
      <w:r w:rsidR="006B6760" w:rsidRPr="006B6760">
        <w:rPr>
          <w:rFonts w:eastAsia="Times New Roman" w:cs="Times New Roman"/>
          <w:szCs w:val="20"/>
          <w:lang w:val="en-US"/>
        </w:rPr>
        <w:t xml:space="preserve"> </w:t>
      </w:r>
    </w:p>
    <w:p w:rsidR="002301B3" w:rsidRDefault="002301B3" w:rsidP="002301B3">
      <w:pPr>
        <w:rPr>
          <w:rFonts w:eastAsia="Times New Roman" w:cs="Times New Roman"/>
          <w:szCs w:val="24"/>
          <w:lang w:val="en-US"/>
        </w:rPr>
      </w:pPr>
      <w:r>
        <w:rPr>
          <w:rFonts w:eastAsia="Times New Roman" w:cs="Times New Roman"/>
          <w:szCs w:val="20"/>
          <w:lang w:val="en-US"/>
        </w:rPr>
        <w:t xml:space="preserve">These findings are somewhat surprising given the trends discussed in section II. </w:t>
      </w:r>
      <w:r w:rsidR="003F073F" w:rsidRPr="0099458E">
        <w:rPr>
          <w:rFonts w:cs="Times New Roman"/>
          <w:szCs w:val="24"/>
          <w:lang w:val="en-US"/>
        </w:rPr>
        <w:t xml:space="preserve">The </w:t>
      </w:r>
      <w:r w:rsidR="003F073F">
        <w:rPr>
          <w:rFonts w:cs="Times New Roman"/>
          <w:szCs w:val="24"/>
          <w:lang w:val="en-US"/>
        </w:rPr>
        <w:t xml:space="preserve">continued </w:t>
      </w:r>
      <w:r>
        <w:rPr>
          <w:rFonts w:cs="Times New Roman"/>
          <w:szCs w:val="24"/>
          <w:lang w:val="en-US"/>
        </w:rPr>
        <w:t>information dominance</w:t>
      </w:r>
      <w:r w:rsidR="003F073F" w:rsidRPr="0099458E">
        <w:rPr>
          <w:rFonts w:cs="Times New Roman"/>
          <w:szCs w:val="24"/>
          <w:lang w:val="en-US"/>
        </w:rPr>
        <w:t xml:space="preserve"> of </w:t>
      </w:r>
      <w:r w:rsidR="003F073F">
        <w:rPr>
          <w:rFonts w:cs="Times New Roman"/>
          <w:szCs w:val="24"/>
          <w:lang w:val="en-US"/>
        </w:rPr>
        <w:t>Europe and U.S.</w:t>
      </w:r>
      <w:r>
        <w:rPr>
          <w:rFonts w:cs="Times New Roman"/>
          <w:szCs w:val="24"/>
          <w:lang w:val="en-US"/>
        </w:rPr>
        <w:t>, and increasing importance of London/New York,</w:t>
      </w:r>
      <w:r w:rsidR="003F073F">
        <w:rPr>
          <w:rFonts w:cs="Times New Roman"/>
          <w:szCs w:val="24"/>
          <w:lang w:val="en-US"/>
        </w:rPr>
        <w:t xml:space="preserve"> may be explained by several factors. First, gold is</w:t>
      </w:r>
      <w:r w:rsidR="003F073F" w:rsidRPr="0099458E">
        <w:rPr>
          <w:rFonts w:cs="Times New Roman"/>
          <w:szCs w:val="24"/>
          <w:lang w:val="en-US"/>
        </w:rPr>
        <w:t xml:space="preserve"> denominated in </w:t>
      </w:r>
      <w:r w:rsidR="003F073F">
        <w:rPr>
          <w:rFonts w:cs="Times New Roman"/>
          <w:szCs w:val="24"/>
          <w:lang w:val="en-US"/>
        </w:rPr>
        <w:t xml:space="preserve">USD and London and New York are the global centers for currency trading. </w:t>
      </w:r>
      <w:r w:rsidR="00ED311F">
        <w:rPr>
          <w:rFonts w:cs="Times New Roman"/>
          <w:szCs w:val="24"/>
          <w:lang w:val="en-US"/>
        </w:rPr>
        <w:fldChar w:fldCharType="begin"/>
      </w:r>
      <w:r w:rsidR="003F073F">
        <w:rPr>
          <w:rFonts w:cs="Times New Roman"/>
          <w:szCs w:val="24"/>
          <w:lang w:val="en-US"/>
        </w:rPr>
        <w:instrText xml:space="preserve"> ADDIN EN.CITE &lt;EndNote&gt;&lt;Cite&gt;&lt;Author&gt;Wang&lt;/Author&gt;&lt;Year&gt;2011&lt;/Year&gt;&lt;RecNum&gt;749&lt;/RecNum&gt;&lt;DisplayText&gt;Wang and Yang (2011)&lt;/DisplayText&gt;&lt;record&gt;&lt;rec-number&gt;749&lt;/rec-number&gt;&lt;foreign-keys&gt;&lt;key app="EN" db-id="szetpsas1ep5veesd5xvva5qdxwetsvpfs5x"&gt;749&lt;/key&gt;&lt;/foreign-keys&gt;&lt;ref-type name="Journal Article"&gt;17&lt;/ref-type&gt;&lt;contributors&gt;&lt;authors&gt;&lt;author&gt;Wang, Jianxin&lt;/author&gt;&lt;author&gt;Yang, Minxian&lt;/author&gt;&lt;/authors&gt;&lt;/contributors&gt;&lt;titles&gt;&lt;title&gt;Housewives of Tokyo versus the gnomes of Zurich: Measuring price discovery in sequential markets&lt;/title&gt;&lt;secondary-title&gt;Journal of Financial Markets&lt;/secondary-title&gt;&lt;/titles&gt;&lt;periodical&gt;&lt;full-title&gt;Journal of Financial Markets&lt;/full-title&gt;&lt;/periodical&gt;&lt;pages&gt;82-108&lt;/pages&gt;&lt;volume&gt;14&lt;/volume&gt;&lt;number&gt;1&lt;/number&gt;&lt;dates&gt;&lt;year&gt;2011&lt;/year&gt;&lt;/dates&gt;&lt;isbn&gt;1386-4181&lt;/isbn&gt;&lt;urls&gt;&lt;/urls&gt;&lt;/record&gt;&lt;/Cite&gt;&lt;/EndNote&gt;</w:instrText>
      </w:r>
      <w:r w:rsidR="00ED311F">
        <w:rPr>
          <w:rFonts w:cs="Times New Roman"/>
          <w:szCs w:val="24"/>
          <w:lang w:val="en-US"/>
        </w:rPr>
        <w:fldChar w:fldCharType="separate"/>
      </w:r>
      <w:hyperlink w:anchor="_ENREF_39" w:tooltip="Wang, 2011 #749" w:history="1">
        <w:r w:rsidR="00C419D5">
          <w:rPr>
            <w:rFonts w:cs="Times New Roman"/>
            <w:noProof/>
            <w:szCs w:val="24"/>
            <w:lang w:val="en-US"/>
          </w:rPr>
          <w:t>Wang and Yang (2011</w:t>
        </w:r>
      </w:hyperlink>
      <w:r w:rsidR="003F073F">
        <w:rPr>
          <w:rFonts w:cs="Times New Roman"/>
          <w:noProof/>
          <w:szCs w:val="24"/>
          <w:lang w:val="en-US"/>
        </w:rPr>
        <w:t>)</w:t>
      </w:r>
      <w:r w:rsidR="00ED311F">
        <w:rPr>
          <w:rFonts w:cs="Times New Roman"/>
          <w:szCs w:val="24"/>
          <w:lang w:val="en-US"/>
        </w:rPr>
        <w:fldChar w:fldCharType="end"/>
      </w:r>
      <w:r w:rsidR="003F073F">
        <w:rPr>
          <w:rFonts w:cs="Times New Roman"/>
          <w:szCs w:val="24"/>
          <w:lang w:val="en-US"/>
        </w:rPr>
        <w:t xml:space="preserve"> show that the overlapping trading hours between London and New York have become more important for currency pricing.  The link between gold and USD has been widely documented, e.g. </w:t>
      </w:r>
      <w:r w:rsidR="00ED311F">
        <w:rPr>
          <w:rFonts w:cs="Times New Roman"/>
          <w:szCs w:val="24"/>
          <w:lang w:val="en-US"/>
        </w:rPr>
        <w:fldChar w:fldCharType="begin"/>
      </w:r>
      <w:r w:rsidR="003F073F">
        <w:rPr>
          <w:rFonts w:cs="Times New Roman"/>
          <w:szCs w:val="24"/>
          <w:lang w:val="en-US"/>
        </w:rPr>
        <w:instrText xml:space="preserve"> ADDIN EN.CITE &lt;EndNote&gt;&lt;Cite&gt;&lt;Author&gt;Reboredo&lt;/Author&gt;&lt;Year&gt;2013&lt;/Year&gt;&lt;RecNum&gt;735&lt;/RecNum&gt;&lt;DisplayText&gt;Reboredo (2013a)&lt;/DisplayText&gt;&lt;record&gt;&lt;rec-number&gt;735&lt;/rec-number&gt;&lt;foreign-keys&gt;&lt;key app="EN" db-id="szetpsas1ep5veesd5xvva5qdxwetsvpfs5x"&gt;735&lt;/key&gt;&lt;/foreign-keys&gt;&lt;ref-type name="Journal Article"&gt;17&lt;/ref-type&gt;&lt;contributors&gt;&lt;authors&gt;&lt;author&gt;Reboredo, Juan C&lt;/author&gt;&lt;/authors&gt;&lt;/contributors&gt;&lt;titles&gt;&lt;title&gt;Is gold a hedge or safe haven against oil price movements?&lt;/title&gt;&lt;secondary-title&gt;Resources Policy&lt;/secondary-title&gt;&lt;/titles&gt;&lt;periodical&gt;&lt;full-title&gt;Resources Policy&lt;/full-title&gt;&lt;/periodical&gt;&lt;pages&gt;130-137&lt;/pages&gt;&lt;volume&gt;38&lt;/volume&gt;&lt;number&gt;2&lt;/number&gt;&lt;dates&gt;&lt;year&gt;2013&lt;/year&gt;&lt;/dates&gt;&lt;isbn&gt;0301-4207&lt;/isbn&gt;&lt;urls&gt;&lt;/urls&gt;&lt;/record&gt;&lt;/Cite&gt;&lt;/EndNote&gt;</w:instrText>
      </w:r>
      <w:r w:rsidR="00ED311F">
        <w:rPr>
          <w:rFonts w:cs="Times New Roman"/>
          <w:szCs w:val="24"/>
          <w:lang w:val="en-US"/>
        </w:rPr>
        <w:fldChar w:fldCharType="separate"/>
      </w:r>
      <w:hyperlink w:anchor="_ENREF_35" w:tooltip="Reboredo, 2013 #735" w:history="1">
        <w:r w:rsidR="00C419D5">
          <w:rPr>
            <w:rFonts w:cs="Times New Roman"/>
            <w:noProof/>
            <w:szCs w:val="24"/>
            <w:lang w:val="en-US"/>
          </w:rPr>
          <w:t>Reboredo (2013a</w:t>
        </w:r>
      </w:hyperlink>
      <w:r w:rsidR="003F073F">
        <w:rPr>
          <w:rFonts w:cs="Times New Roman"/>
          <w:noProof/>
          <w:szCs w:val="24"/>
          <w:lang w:val="en-US"/>
        </w:rPr>
        <w:t>)</w:t>
      </w:r>
      <w:r w:rsidR="00ED311F">
        <w:rPr>
          <w:rFonts w:cs="Times New Roman"/>
          <w:szCs w:val="24"/>
          <w:lang w:val="en-US"/>
        </w:rPr>
        <w:fldChar w:fldCharType="end"/>
      </w:r>
      <w:r w:rsidR="003F073F">
        <w:rPr>
          <w:rFonts w:cs="Times New Roman"/>
          <w:szCs w:val="24"/>
          <w:lang w:val="en-US"/>
        </w:rPr>
        <w:t xml:space="preserve"> and the references therein. Second, gold is widely used as a safe haven asset and for portfolio diversification. The size of the financial assets in Europe and U.S. implies a significant demand for gold for hedging and diversification, especially during and after the global financial crisis in 2007-09. Third, the institutional capacity for information collection and processing is much stronger in Europe and U.S. than it is in Asia.  The London Bullion Market Association embodies significant institutional knowledge and expertise on the global gold production, demand and pricing.  </w:t>
      </w:r>
      <w:r>
        <w:rPr>
          <w:rFonts w:cs="Times New Roman"/>
          <w:szCs w:val="24"/>
          <w:lang w:val="en-US"/>
        </w:rPr>
        <w:t xml:space="preserve">Fourth, </w:t>
      </w:r>
      <w:r>
        <w:rPr>
          <w:rFonts w:eastAsia="Times New Roman" w:cs="Times New Roman"/>
          <w:szCs w:val="20"/>
          <w:lang w:val="en-US"/>
        </w:rPr>
        <w:t>t</w:t>
      </w:r>
      <w:r w:rsidRPr="006B6760">
        <w:rPr>
          <w:rFonts w:eastAsia="Times New Roman" w:cs="Times New Roman"/>
          <w:szCs w:val="20"/>
          <w:lang w:val="en-US"/>
        </w:rPr>
        <w:t xml:space="preserve">he gold market may have experienced the same consolidation as in the OTC foreign exchange markets, with </w:t>
      </w:r>
      <w:r w:rsidRPr="006B6760">
        <w:rPr>
          <w:rFonts w:cs="Times New Roman"/>
          <w:szCs w:val="24"/>
        </w:rPr>
        <w:t>the top five FX dealing banks accounting for 80% of interbank trading (</w:t>
      </w:r>
      <w:r w:rsidR="00ED311F" w:rsidRPr="006B6760">
        <w:rPr>
          <w:rFonts w:cs="Times New Roman"/>
          <w:szCs w:val="24"/>
        </w:rPr>
        <w:fldChar w:fldCharType="begin"/>
      </w:r>
      <w:r w:rsidRPr="006B6760">
        <w:rPr>
          <w:rFonts w:cs="Times New Roman"/>
          <w:szCs w:val="24"/>
        </w:rPr>
        <w:instrText xml:space="preserve"> ADDIN EN.CITE &lt;EndNote&gt;&lt;Cite&gt;&lt;Author&gt;Wallace&lt;/Author&gt;&lt;Year&gt;2014&lt;/Year&gt;&lt;RecNum&gt;850&lt;/RecNum&gt;&lt;DisplayText&gt;Wallace (2014)&lt;/DisplayText&gt;&lt;record&gt;&lt;rec-number&gt;850&lt;/rec-number&gt;&lt;foreign-keys&gt;&lt;key app="EN" db-id="szetpsas1ep5veesd5xvva5qdxwetsvpfs5x"&gt;850&lt;/key&gt;&lt;/foreign-keys&gt;&lt;ref-type name="Newspaper Article"&gt;23&lt;/ref-type&gt;&lt;contributors&gt;&lt;authors&gt;&lt;author&gt;Wallace, Charles&lt;/author&gt;&lt;/authors&gt;&lt;/contributors&gt;&lt;titles&gt;&lt;title&gt;Daily London Currency Pricing May Need a Tweak&lt;/title&gt;&lt;secondary-title&gt;Institutional Investor&lt;/secondary-title&gt;&lt;/titles&gt;&lt;dates&gt;&lt;year&gt;2014&lt;/year&gt;&lt;pub-dates&gt;&lt;date&gt;22 Jan 2014&lt;/date&gt;&lt;/pub-dates&gt;&lt;/dates&gt;&lt;urls&gt;&lt;related-urls&gt;&lt;url&gt;www.institutionalinvestor.com/article/3299950/banking-and-capital-markets-foreign-exchange/daily-london-currency-price-fixing-may-need-a-tweak.html &lt;/url&gt;&lt;/related-urls&gt;&lt;/urls&gt;&lt;access-date&gt;19 Mar 2015&lt;/access-date&gt;&lt;/record&gt;&lt;/Cite&gt;&lt;/EndNote&gt;</w:instrText>
      </w:r>
      <w:r w:rsidR="00ED311F" w:rsidRPr="006B6760">
        <w:rPr>
          <w:rFonts w:cs="Times New Roman"/>
          <w:szCs w:val="24"/>
        </w:rPr>
        <w:fldChar w:fldCharType="separate"/>
      </w:r>
      <w:hyperlink w:anchor="_ENREF_38" w:tooltip="Wallace, 2014 #850" w:history="1">
        <w:r w:rsidR="00C419D5" w:rsidRPr="006B6760">
          <w:rPr>
            <w:rFonts w:cs="Times New Roman"/>
            <w:noProof/>
            <w:szCs w:val="24"/>
          </w:rPr>
          <w:t>Wallace (2014</w:t>
        </w:r>
      </w:hyperlink>
      <w:r w:rsidRPr="006B6760">
        <w:rPr>
          <w:rFonts w:cs="Times New Roman"/>
          <w:noProof/>
          <w:szCs w:val="24"/>
        </w:rPr>
        <w:t>)</w:t>
      </w:r>
      <w:r w:rsidR="00ED311F" w:rsidRPr="006B6760">
        <w:rPr>
          <w:rFonts w:cs="Times New Roman"/>
          <w:szCs w:val="24"/>
        </w:rPr>
        <w:fldChar w:fldCharType="end"/>
      </w:r>
      <w:r w:rsidRPr="006B6760">
        <w:rPr>
          <w:rFonts w:cs="Times New Roman"/>
          <w:szCs w:val="24"/>
        </w:rPr>
        <w:t xml:space="preserve">).  </w:t>
      </w:r>
      <w:r w:rsidRPr="006B6760">
        <w:rPr>
          <w:rFonts w:eastAsia="Times New Roman" w:cs="Times New Roman"/>
          <w:szCs w:val="20"/>
          <w:lang w:val="en-US"/>
        </w:rPr>
        <w:t>The concentration</w:t>
      </w:r>
      <w:r>
        <w:rPr>
          <w:rFonts w:eastAsia="Times New Roman" w:cs="Times New Roman"/>
          <w:szCs w:val="20"/>
          <w:lang w:val="en-US"/>
        </w:rPr>
        <w:t xml:space="preserve"> of trading </w:t>
      </w:r>
      <w:r w:rsidRPr="006B6760">
        <w:rPr>
          <w:rFonts w:eastAsia="Times New Roman" w:cs="Times New Roman"/>
          <w:szCs w:val="20"/>
          <w:lang w:val="en-US"/>
        </w:rPr>
        <w:t>to a few mega banks in London and New York</w:t>
      </w:r>
      <w:r w:rsidR="009D6192">
        <w:rPr>
          <w:rFonts w:eastAsia="Times New Roman" w:cs="Times New Roman"/>
          <w:szCs w:val="20"/>
          <w:lang w:val="en-US"/>
        </w:rPr>
        <w:t xml:space="preserve"> and t</w:t>
      </w:r>
      <w:r>
        <w:rPr>
          <w:rFonts w:eastAsia="Times New Roman" w:cs="Times New Roman"/>
          <w:szCs w:val="20"/>
          <w:lang w:val="en-US"/>
        </w:rPr>
        <w:t>he</w:t>
      </w:r>
      <w:r w:rsidR="009D6192">
        <w:rPr>
          <w:rFonts w:eastAsia="Times New Roman" w:cs="Times New Roman"/>
          <w:szCs w:val="20"/>
          <w:lang w:val="en-US"/>
        </w:rPr>
        <w:t>ir</w:t>
      </w:r>
      <w:r>
        <w:rPr>
          <w:rFonts w:eastAsia="Times New Roman" w:cs="Times New Roman"/>
          <w:szCs w:val="20"/>
          <w:lang w:val="en-US"/>
        </w:rPr>
        <w:t xml:space="preserve"> </w:t>
      </w:r>
      <w:r>
        <w:rPr>
          <w:rFonts w:eastAsia="Times New Roman" w:cs="Times New Roman"/>
          <w:szCs w:val="20"/>
          <w:lang w:val="en-US"/>
        </w:rPr>
        <w:lastRenderedPageBreak/>
        <w:t xml:space="preserve">increased client base </w:t>
      </w:r>
      <w:r w:rsidR="009D6192">
        <w:rPr>
          <w:rFonts w:eastAsia="Times New Roman" w:cs="Times New Roman"/>
          <w:szCs w:val="20"/>
          <w:lang w:val="en-US"/>
        </w:rPr>
        <w:t xml:space="preserve">are likely to concentrate pricing </w:t>
      </w:r>
      <w:r>
        <w:rPr>
          <w:rFonts w:eastAsia="Times New Roman" w:cs="Times New Roman"/>
          <w:szCs w:val="20"/>
          <w:lang w:val="en-US"/>
        </w:rPr>
        <w:t>information t</w:t>
      </w:r>
      <w:r w:rsidR="009D6192">
        <w:rPr>
          <w:rFonts w:eastAsia="Times New Roman" w:cs="Times New Roman"/>
          <w:szCs w:val="20"/>
          <w:lang w:val="en-US"/>
        </w:rPr>
        <w:t>o</w:t>
      </w:r>
      <w:r>
        <w:rPr>
          <w:rFonts w:eastAsia="Times New Roman" w:cs="Times New Roman"/>
          <w:szCs w:val="20"/>
          <w:lang w:val="en-US"/>
        </w:rPr>
        <w:t xml:space="preserve"> these mega banks, thus increasing the information share of London/New York </w:t>
      </w:r>
      <w:r w:rsidRPr="006B6760">
        <w:rPr>
          <w:rFonts w:eastAsia="Times New Roman" w:cs="Times New Roman"/>
          <w:szCs w:val="20"/>
          <w:lang w:val="en-US"/>
        </w:rPr>
        <w:t xml:space="preserve">at the expense of new markets in Asia.   </w:t>
      </w:r>
    </w:p>
    <w:p w:rsidR="00BC4DDE" w:rsidRDefault="00B234D3" w:rsidP="0007566D">
      <w:pPr>
        <w:rPr>
          <w:rFonts w:eastAsia="Times New Roman" w:cs="Times New Roman"/>
          <w:szCs w:val="24"/>
          <w:lang w:val="en-US"/>
        </w:rPr>
      </w:pPr>
      <w:r>
        <w:rPr>
          <w:rFonts w:eastAsia="Times New Roman" w:cs="Times New Roman"/>
          <w:szCs w:val="24"/>
          <w:lang w:val="en-US"/>
        </w:rPr>
        <w:t xml:space="preserve">The estimated WPCs are reported in </w:t>
      </w:r>
      <w:r w:rsidR="001B3911">
        <w:rPr>
          <w:rFonts w:eastAsia="Times New Roman" w:cs="Times New Roman"/>
          <w:szCs w:val="24"/>
          <w:lang w:val="en-US"/>
        </w:rPr>
        <w:t>Table IV</w:t>
      </w:r>
      <w:r w:rsidR="00C73BF5">
        <w:rPr>
          <w:rFonts w:eastAsia="Times New Roman" w:cs="Times New Roman"/>
          <w:szCs w:val="24"/>
          <w:lang w:val="en-US"/>
        </w:rPr>
        <w:t>.</w:t>
      </w:r>
      <w:r>
        <w:rPr>
          <w:rFonts w:eastAsia="Times New Roman" w:cs="Times New Roman"/>
          <w:szCs w:val="24"/>
          <w:lang w:val="en-US"/>
        </w:rPr>
        <w:t xml:space="preserve"> </w:t>
      </w:r>
      <w:r w:rsidR="007338C0">
        <w:rPr>
          <w:rFonts w:eastAsia="Times New Roman" w:cs="Times New Roman"/>
          <w:szCs w:val="24"/>
          <w:lang w:val="en-US"/>
        </w:rPr>
        <w:t xml:space="preserve">The average WPCs are 21%, 30%, 20%, and 29% for Asia, Europe, London/New York, and U.S. respectively.  </w:t>
      </w:r>
      <w:r w:rsidR="00E70CDC">
        <w:rPr>
          <w:rFonts w:eastAsia="Times New Roman" w:cs="Times New Roman"/>
          <w:szCs w:val="24"/>
          <w:lang w:val="en-US"/>
        </w:rPr>
        <w:t>The estimated WPCs are broadly similar to the estimated information shares (17%, 31%, 22%, and 30%), with t</w:t>
      </w:r>
      <w:r w:rsidR="007338C0">
        <w:rPr>
          <w:rFonts w:eastAsia="Times New Roman" w:cs="Times New Roman"/>
          <w:szCs w:val="24"/>
          <w:lang w:val="en-US"/>
        </w:rPr>
        <w:t xml:space="preserve">he largest difference with the estimated information shares is at 4% for Asia. </w:t>
      </w:r>
      <w:r w:rsidR="00E70CDC">
        <w:rPr>
          <w:rFonts w:eastAsia="Times New Roman" w:cs="Times New Roman"/>
          <w:szCs w:val="24"/>
          <w:lang w:val="en-US"/>
        </w:rPr>
        <w:t xml:space="preserve">Even though the standard deviations of the annual WPCs are much higher than those of the information shares, the average WPC for each market is still significant at 1%. </w:t>
      </w:r>
      <w:r w:rsidR="001B3911">
        <w:rPr>
          <w:rFonts w:eastAsia="Times New Roman" w:cs="Times New Roman"/>
          <w:szCs w:val="24"/>
          <w:lang w:val="en-US"/>
        </w:rPr>
        <w:t xml:space="preserve"> The WPCs of different markets show strong convergence in the late 1990s.  Asia and U.S. had a </w:t>
      </w:r>
      <w:r w:rsidR="000C5F3F">
        <w:rPr>
          <w:rFonts w:eastAsia="Times New Roman" w:cs="Times New Roman"/>
          <w:szCs w:val="24"/>
          <w:lang w:val="en-US"/>
        </w:rPr>
        <w:t>mild</w:t>
      </w:r>
      <w:r w:rsidR="001B3911">
        <w:rPr>
          <w:rFonts w:eastAsia="Times New Roman" w:cs="Times New Roman"/>
          <w:szCs w:val="24"/>
          <w:lang w:val="en-US"/>
        </w:rPr>
        <w:t xml:space="preserve"> decline</w:t>
      </w:r>
      <w:r w:rsidR="000C5F3F">
        <w:rPr>
          <w:rFonts w:eastAsia="Times New Roman" w:cs="Times New Roman"/>
          <w:szCs w:val="24"/>
          <w:lang w:val="en-US"/>
        </w:rPr>
        <w:t xml:space="preserve"> up to the financial crisis in 2008, with Europe and London/New York having a mild rising trend over the same period.  </w:t>
      </w:r>
      <w:r w:rsidR="00507D4C">
        <w:rPr>
          <w:rFonts w:eastAsia="Times New Roman" w:cs="Times New Roman"/>
          <w:szCs w:val="24"/>
          <w:lang w:val="en-US"/>
        </w:rPr>
        <w:t>Asia’s WPC had a significant rebound since 2008 at the expense of London/New York and Europe.</w:t>
      </w:r>
      <w:r w:rsidR="00596A62">
        <w:rPr>
          <w:rFonts w:eastAsia="Times New Roman" w:cs="Times New Roman"/>
          <w:szCs w:val="24"/>
          <w:lang w:val="en-US"/>
        </w:rPr>
        <w:t xml:space="preserve"> </w:t>
      </w:r>
      <w:r w:rsidR="0007566D">
        <w:rPr>
          <w:rFonts w:eastAsia="Times New Roman" w:cs="Times New Roman"/>
          <w:szCs w:val="24"/>
          <w:lang w:val="en-US"/>
        </w:rPr>
        <w:t xml:space="preserve"> </w:t>
      </w:r>
    </w:p>
    <w:p w:rsidR="001F0D5F" w:rsidRDefault="001F0D5F" w:rsidP="001F0D5F">
      <w:pPr>
        <w:ind w:firstLine="0"/>
        <w:jc w:val="center"/>
        <w:rPr>
          <w:rFonts w:eastAsia="Times New Roman" w:cs="Times New Roman"/>
          <w:szCs w:val="24"/>
          <w:lang w:val="en-US"/>
        </w:rPr>
      </w:pPr>
      <w:r>
        <w:rPr>
          <w:rFonts w:eastAsia="Times New Roman" w:cs="Times New Roman"/>
          <w:szCs w:val="24"/>
          <w:lang w:val="en-US"/>
        </w:rPr>
        <w:t>[INSERT TABLE III HERE]</w:t>
      </w:r>
    </w:p>
    <w:p w:rsidR="0048303B" w:rsidRDefault="0048303B" w:rsidP="0048303B">
      <w:pPr>
        <w:ind w:firstLine="0"/>
        <w:jc w:val="center"/>
        <w:rPr>
          <w:rFonts w:eastAsia="Times New Roman" w:cs="Times New Roman"/>
          <w:szCs w:val="24"/>
          <w:lang w:val="en-US"/>
        </w:rPr>
      </w:pPr>
      <w:r>
        <w:rPr>
          <w:rFonts w:eastAsia="Times New Roman" w:cs="Times New Roman"/>
          <w:szCs w:val="24"/>
          <w:lang w:val="en-US"/>
        </w:rPr>
        <w:t>[INSERT FIGURE 4 HERE]</w:t>
      </w:r>
    </w:p>
    <w:p w:rsidR="008C7EA9" w:rsidRPr="00382CCC" w:rsidRDefault="00BE717D" w:rsidP="00133D23">
      <w:pPr>
        <w:pStyle w:val="TitlesCentred"/>
        <w:numPr>
          <w:ilvl w:val="0"/>
          <w:numId w:val="2"/>
        </w:numPr>
        <w:spacing w:before="240"/>
        <w:contextualSpacing w:val="0"/>
        <w:jc w:val="both"/>
      </w:pPr>
      <w:r>
        <w:t>Volatility Spillovers and</w:t>
      </w:r>
      <w:r w:rsidR="005049C1">
        <w:t xml:space="preserve"> </w:t>
      </w:r>
      <w:r w:rsidR="002C4F2E">
        <w:t xml:space="preserve">Private </w:t>
      </w:r>
      <w:r w:rsidR="00F97DA8">
        <w:t xml:space="preserve">Information </w:t>
      </w:r>
      <w:r w:rsidR="002C4F2E">
        <w:t>Flows</w:t>
      </w:r>
    </w:p>
    <w:p w:rsidR="00944981" w:rsidRDefault="002C4F2E">
      <w:pPr>
        <w:suppressAutoHyphens/>
        <w:rPr>
          <w:rFonts w:eastAsia="Times New Roman" w:cs="Times New Roman"/>
          <w:szCs w:val="20"/>
          <w:lang w:val="en-US"/>
        </w:rPr>
      </w:pPr>
      <w:r>
        <w:rPr>
          <w:rFonts w:eastAsia="Times New Roman" w:cs="Times New Roman"/>
          <w:szCs w:val="20"/>
          <w:lang w:val="en-US"/>
        </w:rPr>
        <w:t xml:space="preserve">In this section we estimate cross-market volatility spillovers and the flows of private information in each market.  </w:t>
      </w:r>
      <w:r w:rsidR="00C24235">
        <w:rPr>
          <w:rFonts w:eastAsia="Times New Roman" w:cs="Times New Roman"/>
          <w:szCs w:val="20"/>
          <w:lang w:val="en-US"/>
        </w:rPr>
        <w:t>It is well known that volatility is highl</w:t>
      </w:r>
      <w:r w:rsidR="0022305D">
        <w:rPr>
          <w:rFonts w:eastAsia="Times New Roman" w:cs="Times New Roman"/>
          <w:szCs w:val="20"/>
          <w:lang w:val="en-US"/>
        </w:rPr>
        <w:t>y persistent and has long memories</w:t>
      </w:r>
      <w:r w:rsidR="00DB024D">
        <w:rPr>
          <w:rFonts w:eastAsia="Times New Roman" w:cs="Times New Roman"/>
          <w:szCs w:val="20"/>
          <w:lang w:val="en-US"/>
        </w:rPr>
        <w:t xml:space="preserve">. </w:t>
      </w:r>
      <w:r w:rsidR="00C24235">
        <w:rPr>
          <w:rFonts w:eastAsia="Times New Roman" w:cs="Times New Roman"/>
          <w:szCs w:val="20"/>
          <w:lang w:val="en-US"/>
        </w:rPr>
        <w:t xml:space="preserve">Numerous studies have </w:t>
      </w:r>
      <w:r w:rsidR="00596A62">
        <w:rPr>
          <w:rFonts w:eastAsia="Times New Roman" w:cs="Times New Roman"/>
          <w:szCs w:val="20"/>
          <w:lang w:val="en-US"/>
        </w:rPr>
        <w:t>examined</w:t>
      </w:r>
      <w:r w:rsidR="00C24235">
        <w:rPr>
          <w:rFonts w:eastAsia="Times New Roman" w:cs="Times New Roman"/>
          <w:szCs w:val="20"/>
          <w:lang w:val="en-US"/>
        </w:rPr>
        <w:t xml:space="preserve"> cross-market volatility spillovers, dating back to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&lt;EndNote&gt;&lt;Cite&gt;&lt;Author&gt;Engle&lt;/Author&gt;&lt;Year&gt;1990&lt;/Year&gt;&lt;RecNum&gt;798&lt;/RecNum&gt;&lt;DisplayText&gt;Engle, Ito and Lin (1990)&lt;/DisplayText&gt;&lt;record&gt;&lt;rec-number&gt;798&lt;/rec-number&gt;&lt;foreign-keys&gt;&lt;key app="EN" db-id="szetpsas1ep5veesd5xvva5qdxwetsvpfs5x"&gt;798&lt;/key&gt;&lt;/foreign-keys&gt;&lt;ref-type name="Journal Article"&gt;17&lt;/ref-type&gt;&lt;contributors&gt;&lt;authors&gt;&lt;author&gt;Engle, Robert F&lt;/author&gt;&lt;author&gt;Ito, Takatoshi&lt;/author&gt;&lt;author&gt;Lin, Wen-Ling&lt;/author&gt;&lt;/authors&gt;&lt;/contributors&gt;&lt;titles&gt;&lt;title&gt;Meteor Showers or Heat Waves? Heteroskedastic Intra-Daily Volatility in the Foreign Exchange Market&lt;/title&gt;&lt;secondary-title&gt;Econometrica&lt;/secondary-title&gt;&lt;/titles&gt;&lt;periodical&gt;&lt;full-title&gt;Econometrica&lt;/full-title&gt;&lt;/periodical&gt;&lt;pages&gt;525-542&lt;/pages&gt;&lt;volume&gt;58&lt;/volume&gt;&lt;number&gt;3&lt;/number&gt;&lt;dates&gt;&lt;year&gt;1990&lt;/year&gt;&lt;/dates&gt;&lt;urls&gt;&lt;/urls&gt;&lt;/record&gt;&lt;/Cite&gt;&lt;/EndNote&gt;</w:instrText>
      </w:r>
      <w:r w:rsidR="00ED311F">
        <w:rPr>
          <w:rFonts w:eastAsia="Times New Roman" w:cs="Times New Roman"/>
          <w:szCs w:val="20"/>
          <w:lang w:val="en-US"/>
        </w:rPr>
        <w:fldChar w:fldCharType="separate"/>
      </w:r>
      <w:hyperlink w:anchor="_ENREF_17" w:tooltip="Engle, 1990 #798" w:history="1">
        <w:r w:rsidR="00C419D5">
          <w:rPr>
            <w:rFonts w:eastAsia="Times New Roman" w:cs="Times New Roman"/>
            <w:noProof/>
            <w:szCs w:val="20"/>
            <w:lang w:val="en-US"/>
          </w:rPr>
          <w:t>Engle, Ito and Lin (1990</w:t>
        </w:r>
      </w:hyperlink>
      <w:r w:rsidR="00F60E9A">
        <w:rPr>
          <w:rFonts w:eastAsia="Times New Roman" w:cs="Times New Roman"/>
          <w:noProof/>
          <w:szCs w:val="20"/>
          <w:lang w:val="en-US"/>
        </w:rPr>
        <w:t>)</w:t>
      </w:r>
      <w:r w:rsidR="00ED311F">
        <w:rPr>
          <w:rFonts w:eastAsia="Times New Roman" w:cs="Times New Roman"/>
          <w:szCs w:val="20"/>
          <w:lang w:val="en-US"/>
        </w:rPr>
        <w:fldChar w:fldCharType="end"/>
      </w:r>
      <w:r w:rsidR="00C24235">
        <w:rPr>
          <w:rFonts w:eastAsia="Times New Roman" w:cs="Times New Roman"/>
          <w:szCs w:val="20"/>
          <w:lang w:val="en-US"/>
        </w:rPr>
        <w:t xml:space="preserve">. </w:t>
      </w:r>
      <w:r w:rsidR="00C87370">
        <w:rPr>
          <w:rFonts w:eastAsia="Times New Roman" w:cs="Times New Roman"/>
          <w:szCs w:val="20"/>
          <w:lang w:val="en-US"/>
        </w:rPr>
        <w:t>The spillovers are interpreted as information flow</w:t>
      </w:r>
      <w:r w:rsidR="00DB024D">
        <w:rPr>
          <w:rFonts w:eastAsia="Times New Roman" w:cs="Times New Roman"/>
          <w:szCs w:val="20"/>
          <w:lang w:val="en-US"/>
        </w:rPr>
        <w:t xml:space="preserve">ing from one market to </w:t>
      </w:r>
      <w:r w:rsidR="00B2550F">
        <w:rPr>
          <w:rFonts w:eastAsia="Times New Roman" w:cs="Times New Roman"/>
          <w:szCs w:val="20"/>
          <w:lang w:val="en-US"/>
        </w:rPr>
        <w:t>the next</w:t>
      </w:r>
      <w:r w:rsidR="00DB024D">
        <w:rPr>
          <w:rFonts w:eastAsia="Times New Roman" w:cs="Times New Roman"/>
          <w:szCs w:val="20"/>
          <w:lang w:val="en-US"/>
        </w:rPr>
        <w:t>.</w:t>
      </w:r>
      <w:r w:rsidR="00C87370">
        <w:rPr>
          <w:rFonts w:eastAsia="Times New Roman" w:cs="Times New Roman"/>
          <w:szCs w:val="20"/>
          <w:lang w:val="en-US"/>
        </w:rPr>
        <w:t xml:space="preserve"> </w:t>
      </w:r>
      <w:r w:rsidR="00ED311F">
        <w:rPr>
          <w:rFonts w:eastAsia="Times New Roman" w:cs="Times New Roman"/>
          <w:szCs w:val="20"/>
          <w:lang w:val="en-US"/>
        </w:rPr>
        <w:fldChar w:fldCharType="begin"/>
      </w:r>
      <w:r w:rsidR="00C419D5">
        <w:rPr>
          <w:rFonts w:eastAsia="Times New Roman" w:cs="Times New Roman"/>
          <w:szCs w:val="20"/>
          <w:lang w:val="en-US"/>
        </w:rPr>
        <w:instrText xml:space="preserve"> ADDIN EN.CITE &lt;EndNote&gt;&lt;Cite&gt;&lt;Author&gt;Lucey&lt;/Author&gt;&lt;Year&gt;2014&lt;/Year&gt;&lt;RecNum&gt;787&lt;/RecNum&gt;&lt;DisplayText&gt;Lucey, Larkin and O’Connor (2014)&lt;/DisplayText&gt;&lt;record&gt;&lt;rec-number&gt;787&lt;/rec-number&gt;&lt;foreign-keys&gt;&lt;key app="EN" db-id="szetpsas1ep5veesd5xvva5qdxwetsvpfs5x"&gt;787&lt;/key&gt;&lt;/foreign-keys&gt;&lt;ref-type name="Journal Article"&gt;17&lt;/ref-type&gt;&lt;contributors&gt;&lt;authors&gt;&lt;author&gt;Lucey, Brian M&lt;/author&gt;&lt;author&gt;Larkin, Charles&lt;/author&gt;&lt;author&gt;O’Connor, Fergal&lt;/author&gt;&lt;/authors&gt;&lt;/contributors&gt;&lt;titles&gt;&lt;title&gt;Gold markets around the world–who spills over what, to whom, when?&lt;/title&gt;&lt;secondary-title&gt;Applied Economics Letters&lt;/secondary-title&gt;&lt;/titles&gt;&lt;periodical&gt;&lt;full-title&gt;Applied Economics Letters&lt;/full-title&gt;&lt;/periodical&gt;&lt;pages&gt;887-892&lt;/pages&gt;&lt;volume&gt;21&lt;/volume&gt;&lt;number&gt;13&lt;/number&gt;&lt;dates&gt;&lt;year&gt;2014&lt;/year&gt;&lt;/dates&gt;&lt;urls&gt;&lt;/urls&gt;&lt;/record&gt;&lt;/Cite&gt;&lt;/EndNote&gt;</w:instrText>
      </w:r>
      <w:r w:rsidR="00ED311F">
        <w:rPr>
          <w:rFonts w:eastAsia="Times New Roman" w:cs="Times New Roman"/>
          <w:szCs w:val="20"/>
          <w:lang w:val="en-US"/>
        </w:rPr>
        <w:fldChar w:fldCharType="separate"/>
      </w:r>
      <w:hyperlink w:anchor="_ENREF_29" w:tooltip="Lucey, 2014 #787" w:history="1">
        <w:r w:rsidR="00C419D5">
          <w:rPr>
            <w:rFonts w:eastAsia="Times New Roman" w:cs="Times New Roman"/>
            <w:noProof/>
            <w:szCs w:val="20"/>
            <w:lang w:val="en-US"/>
          </w:rPr>
          <w:t>Lucey, Larkin and O’Connor (2014</w:t>
        </w:r>
      </w:hyperlink>
      <w:r w:rsidR="00C419D5">
        <w:rPr>
          <w:rFonts w:eastAsia="Times New Roman" w:cs="Times New Roman"/>
          <w:noProof/>
          <w:szCs w:val="20"/>
          <w:lang w:val="en-US"/>
        </w:rPr>
        <w:t>)</w:t>
      </w:r>
      <w:r w:rsidR="00ED311F">
        <w:rPr>
          <w:rFonts w:eastAsia="Times New Roman" w:cs="Times New Roman"/>
          <w:szCs w:val="20"/>
          <w:lang w:val="en-US"/>
        </w:rPr>
        <w:fldChar w:fldCharType="end"/>
      </w:r>
      <w:r w:rsidR="005F0A8A">
        <w:rPr>
          <w:rFonts w:eastAsia="Times New Roman" w:cs="Times New Roman"/>
          <w:szCs w:val="20"/>
          <w:lang w:val="en-US"/>
        </w:rPr>
        <w:t xml:space="preserve"> </w:t>
      </w:r>
      <w:r w:rsidR="00C24235">
        <w:rPr>
          <w:rFonts w:eastAsia="Times New Roman" w:cs="Times New Roman"/>
          <w:szCs w:val="20"/>
          <w:lang w:val="en-US"/>
        </w:rPr>
        <w:t xml:space="preserve">show significant </w:t>
      </w:r>
      <w:r w:rsidR="005F0A8A">
        <w:rPr>
          <w:rFonts w:eastAsia="Times New Roman" w:cs="Times New Roman"/>
          <w:szCs w:val="20"/>
          <w:lang w:val="en-US"/>
        </w:rPr>
        <w:t>return and volatility spillover</w:t>
      </w:r>
      <w:r w:rsidR="00C24235">
        <w:rPr>
          <w:rFonts w:eastAsia="Times New Roman" w:cs="Times New Roman"/>
          <w:szCs w:val="20"/>
          <w:lang w:val="en-US"/>
        </w:rPr>
        <w:t>s</w:t>
      </w:r>
      <w:r w:rsidR="005F0A8A">
        <w:rPr>
          <w:rFonts w:eastAsia="Times New Roman" w:cs="Times New Roman"/>
          <w:szCs w:val="20"/>
          <w:lang w:val="en-US"/>
        </w:rPr>
        <w:t xml:space="preserve"> across </w:t>
      </w:r>
      <w:r w:rsidR="00C24235">
        <w:rPr>
          <w:rFonts w:eastAsia="Times New Roman" w:cs="Times New Roman"/>
          <w:szCs w:val="20"/>
          <w:lang w:val="en-US"/>
        </w:rPr>
        <w:t xml:space="preserve">London, New York, and Tokyo, with Shanghai being relatively isolated. </w:t>
      </w:r>
      <w:r w:rsidR="00ED311F">
        <w:rPr>
          <w:rFonts w:eastAsia="Times New Roman" w:cs="Times New Roman"/>
          <w:szCs w:val="20"/>
          <w:lang w:val="en-US"/>
        </w:rPr>
        <w:fldChar w:fldCharType="begin"/>
      </w:r>
      <w:r w:rsidR="00EE395D">
        <w:rPr>
          <w:rFonts w:eastAsia="Times New Roman" w:cs="Times New Roman"/>
          <w:szCs w:val="20"/>
          <w:lang w:val="en-US"/>
        </w:rPr>
        <w:instrText xml:space="preserve"> ADDIN EN.CITE &lt;EndNote&gt;&lt;Cite&gt;&lt;Author&gt;Laulajainen&lt;/Author&gt;&lt;Year&gt;1990&lt;/Year&gt;&lt;RecNum&gt;843&lt;/RecNum&gt;&lt;DisplayText&gt;Laulajainen (1990)&lt;/DisplayText&gt;&lt;record&gt;&lt;rec-number&gt;843&lt;/rec-number&gt;&lt;foreign-keys&gt;&lt;key app="EN" db-id="szetpsas1ep5veesd5xvva5qdxwetsvpfs5x"&gt;843&lt;/key&gt;&lt;/foreign-keys&gt;&lt;ref-type name="Journal Article"&gt;17&lt;/ref-type&gt;&lt;contributors&gt;&lt;authors&gt;&lt;author&gt;Laulajainen, Risto&lt;/author&gt;&lt;/authors&gt;&lt;/contributors&gt;&lt;titles&gt;&lt;title&gt;Gold price round the clock: Technical and fundamental issues&lt;/title&gt;&lt;secondary-title&gt;Resources Policy&lt;/secondary-title&gt;&lt;/titles&gt;&lt;periodical&gt;&lt;full-title&gt;Resources Policy&lt;/full-title&gt;&lt;/periodical&gt;&lt;pages&gt;143-152&lt;/pages&gt;&lt;volume&gt;16&lt;/volume&gt;&lt;number&gt;2&lt;/number&gt;&lt;dates&gt;&lt;year&gt;1990&lt;/year&gt;&lt;/dates&gt;&lt;isbn&gt;0301-4207&lt;/isbn&gt;&lt;urls&gt;&lt;related-urls&gt;&lt;url&gt;http://www.sciencedirect.com/science/article/pii/030142079090029B&lt;/url&gt;&lt;/related-urls&gt;&lt;/urls&gt;&lt;electronic-resource-num&gt;http://dx.doi.org/10.1016/0301-4207(90)90029-B&lt;/electronic-resource-num&gt;&lt;/record&gt;&lt;/Cite&gt;&lt;/EndNote&gt;</w:instrText>
      </w:r>
      <w:r w:rsidR="00ED311F">
        <w:rPr>
          <w:rFonts w:eastAsia="Times New Roman" w:cs="Times New Roman"/>
          <w:szCs w:val="20"/>
          <w:lang w:val="en-US"/>
        </w:rPr>
        <w:fldChar w:fldCharType="separate"/>
      </w:r>
      <w:hyperlink w:anchor="_ENREF_25" w:tooltip="Laulajainen, 1990 #843" w:history="1">
        <w:r w:rsidR="00C419D5">
          <w:rPr>
            <w:rFonts w:eastAsia="Times New Roman" w:cs="Times New Roman"/>
            <w:noProof/>
            <w:szCs w:val="20"/>
            <w:lang w:val="en-US"/>
          </w:rPr>
          <w:t>Laulajainen (1990</w:t>
        </w:r>
      </w:hyperlink>
      <w:r w:rsidR="00EE395D">
        <w:rPr>
          <w:rFonts w:eastAsia="Times New Roman" w:cs="Times New Roman"/>
          <w:noProof/>
          <w:szCs w:val="20"/>
          <w:lang w:val="en-US"/>
        </w:rPr>
        <w:t>)</w:t>
      </w:r>
      <w:r w:rsidR="00ED311F">
        <w:rPr>
          <w:rFonts w:eastAsia="Times New Roman" w:cs="Times New Roman"/>
          <w:szCs w:val="20"/>
          <w:lang w:val="en-US"/>
        </w:rPr>
        <w:fldChar w:fldCharType="end"/>
      </w:r>
      <w:r w:rsidR="00EE395D">
        <w:rPr>
          <w:rFonts w:eastAsia="Times New Roman" w:cs="Times New Roman"/>
          <w:szCs w:val="20"/>
          <w:lang w:val="en-US"/>
        </w:rPr>
        <w:t xml:space="preserve"> find gold price dependency in the market immediately p</w:t>
      </w:r>
      <w:r w:rsidR="00B2550F">
        <w:rPr>
          <w:rFonts w:eastAsia="Times New Roman" w:cs="Times New Roman"/>
          <w:szCs w:val="20"/>
          <w:lang w:val="en-US"/>
        </w:rPr>
        <w:t xml:space="preserve">receding it, </w:t>
      </w:r>
      <w:r w:rsidR="00EE395D">
        <w:rPr>
          <w:rFonts w:eastAsia="Times New Roman" w:cs="Times New Roman"/>
          <w:szCs w:val="20"/>
          <w:lang w:val="en-US"/>
        </w:rPr>
        <w:t xml:space="preserve">e.g. </w:t>
      </w:r>
      <w:r w:rsidR="00802515">
        <w:rPr>
          <w:rFonts w:eastAsia="Times New Roman" w:cs="Times New Roman"/>
          <w:szCs w:val="20"/>
          <w:lang w:val="en-US"/>
        </w:rPr>
        <w:t xml:space="preserve">the </w:t>
      </w:r>
      <w:r w:rsidR="00EE395D">
        <w:rPr>
          <w:rFonts w:eastAsia="Times New Roman" w:cs="Times New Roman"/>
          <w:szCs w:val="20"/>
          <w:lang w:val="en-US"/>
        </w:rPr>
        <w:t>New York</w:t>
      </w:r>
      <w:r w:rsidR="00802515">
        <w:rPr>
          <w:rFonts w:eastAsia="Times New Roman" w:cs="Times New Roman"/>
          <w:szCs w:val="20"/>
          <w:lang w:val="en-US"/>
        </w:rPr>
        <w:t xml:space="preserve"> Commodity Exchange gold price</w:t>
      </w:r>
      <w:r w:rsidR="00EE395D">
        <w:rPr>
          <w:rFonts w:eastAsia="Times New Roman" w:cs="Times New Roman"/>
          <w:szCs w:val="20"/>
          <w:lang w:val="en-US"/>
        </w:rPr>
        <w:t xml:space="preserve"> is dependent on the price </w:t>
      </w:r>
      <w:r w:rsidR="00802515">
        <w:rPr>
          <w:rFonts w:eastAsia="Times New Roman" w:cs="Times New Roman"/>
          <w:szCs w:val="20"/>
          <w:lang w:val="en-US"/>
        </w:rPr>
        <w:t>in</w:t>
      </w:r>
      <w:r w:rsidR="00EE395D">
        <w:rPr>
          <w:rFonts w:eastAsia="Times New Roman" w:cs="Times New Roman"/>
          <w:szCs w:val="20"/>
          <w:lang w:val="en-US"/>
        </w:rPr>
        <w:t xml:space="preserve"> </w:t>
      </w:r>
      <w:r w:rsidR="00802515">
        <w:rPr>
          <w:rFonts w:eastAsia="Times New Roman" w:cs="Times New Roman"/>
          <w:szCs w:val="20"/>
          <w:lang w:val="en-US"/>
        </w:rPr>
        <w:t>the</w:t>
      </w:r>
      <w:r w:rsidR="00EE395D">
        <w:rPr>
          <w:rFonts w:eastAsia="Times New Roman" w:cs="Times New Roman"/>
          <w:szCs w:val="20"/>
          <w:lang w:val="en-US"/>
        </w:rPr>
        <w:t xml:space="preserve"> London</w:t>
      </w:r>
      <w:r w:rsidR="00802515">
        <w:rPr>
          <w:rFonts w:eastAsia="Times New Roman" w:cs="Times New Roman"/>
          <w:szCs w:val="20"/>
          <w:lang w:val="en-US"/>
        </w:rPr>
        <w:t xml:space="preserve"> gold market</w:t>
      </w:r>
      <w:r w:rsidR="00EE395D">
        <w:rPr>
          <w:rFonts w:eastAsia="Times New Roman" w:cs="Times New Roman"/>
          <w:szCs w:val="20"/>
          <w:lang w:val="en-US"/>
        </w:rPr>
        <w:t xml:space="preserve">. </w:t>
      </w:r>
      <w:r w:rsidR="00C87370">
        <w:rPr>
          <w:rFonts w:eastAsia="Times New Roman" w:cs="Times New Roman"/>
          <w:szCs w:val="20"/>
          <w:lang w:val="en-US"/>
        </w:rPr>
        <w:t xml:space="preserve"> </w:t>
      </w:r>
    </w:p>
    <w:p w:rsidR="00944981" w:rsidRPr="00944981" w:rsidRDefault="00144947" w:rsidP="00944981">
      <w:pPr>
        <w:suppressAutoHyphens/>
        <w:ind w:firstLine="0"/>
        <w:rPr>
          <w:rFonts w:eastAsia="Times New Roman" w:cs="Times New Roman"/>
          <w:b/>
          <w:i/>
          <w:szCs w:val="20"/>
          <w:lang w:val="en-US"/>
        </w:rPr>
      </w:pPr>
      <w:r>
        <w:rPr>
          <w:rFonts w:eastAsia="Times New Roman" w:cs="Times New Roman"/>
          <w:b/>
          <w:i/>
          <w:szCs w:val="20"/>
          <w:lang w:val="en-US"/>
        </w:rPr>
        <w:t xml:space="preserve">Measuring </w:t>
      </w:r>
      <w:r w:rsidR="00944981" w:rsidRPr="00944981">
        <w:rPr>
          <w:rFonts w:eastAsia="Times New Roman" w:cs="Times New Roman"/>
          <w:b/>
          <w:i/>
          <w:szCs w:val="20"/>
          <w:lang w:val="en-US"/>
        </w:rPr>
        <w:t>Volatility Spillovers</w:t>
      </w:r>
    </w:p>
    <w:p w:rsidR="00BE717D" w:rsidRDefault="00B2550F" w:rsidP="008B3062">
      <w:pPr>
        <w:suppressAutoHyphens/>
        <w:rPr>
          <w:rFonts w:eastAsia="Times New Roman" w:cs="Times New Roman"/>
          <w:szCs w:val="24"/>
          <w:lang w:val="en-US"/>
        </w:rPr>
      </w:pPr>
      <w:r>
        <w:rPr>
          <w:rFonts w:eastAsia="Times New Roman" w:cs="Times New Roman"/>
          <w:szCs w:val="20"/>
          <w:lang w:val="en-US"/>
        </w:rPr>
        <w:t>In this study, v</w:t>
      </w:r>
      <w:r w:rsidR="00C234E7">
        <w:rPr>
          <w:rFonts w:eastAsia="Times New Roman" w:cs="Times New Roman"/>
          <w:szCs w:val="20"/>
          <w:lang w:val="en-US"/>
        </w:rPr>
        <w:t>olatility</w:t>
      </w:r>
      <w:r w:rsidR="00C95AF5">
        <w:rPr>
          <w:rFonts w:eastAsia="Times New Roman" w:cs="Times New Roman"/>
          <w:szCs w:val="20"/>
          <w:lang w:val="en-US"/>
        </w:rPr>
        <w:t xml:space="preserve"> spillover is captured though</w:t>
      </w:r>
      <w:r w:rsidR="0022305D">
        <w:rPr>
          <w:rFonts w:eastAsia="Times New Roman" w:cs="Times New Roman"/>
          <w:szCs w:val="20"/>
          <w:lang w:val="en-US"/>
        </w:rPr>
        <w:t xml:space="preserve"> a dynamic model </w:t>
      </w:r>
      <w:r w:rsidR="00C95AF5">
        <w:rPr>
          <w:rFonts w:eastAsia="Times New Roman" w:cs="Times New Roman"/>
          <w:szCs w:val="20"/>
          <w:lang w:val="en-US"/>
        </w:rPr>
        <w:t>for each market’s</w:t>
      </w:r>
      <w:r w:rsidR="00BE717D">
        <w:rPr>
          <w:rFonts w:eastAsia="Times New Roman" w:cs="Times New Roman"/>
          <w:szCs w:val="20"/>
          <w:lang w:val="en-US"/>
        </w:rPr>
        <w:t xml:space="preserve"> </w:t>
      </w:r>
      <w:r w:rsidR="0022305D">
        <w:rPr>
          <w:rFonts w:eastAsia="Times New Roman" w:cs="Times New Roman"/>
          <w:szCs w:val="20"/>
          <w:lang w:val="en-US"/>
        </w:rPr>
        <w:t>TSRV</w:t>
      </w:r>
      <w:r w:rsidR="00D03F94">
        <w:rPr>
          <w:rFonts w:eastAsia="Times New Roman" w:cs="Times New Roman"/>
          <w:szCs w:val="20"/>
          <w:lang w:val="en-US"/>
        </w:rPr>
        <w:t>.</w:t>
      </w:r>
      <w:r w:rsidR="00BE717D">
        <w:rPr>
          <w:rFonts w:eastAsia="Times New Roman" w:cs="Times New Roman"/>
          <w:szCs w:val="20"/>
          <w:lang w:val="en-US"/>
        </w:rPr>
        <w:t xml:space="preserve"> To simplify the notations, we denote TSRV</w:t>
      </w:r>
      <w:r w:rsidR="00BE717D" w:rsidRPr="0054056C">
        <w:rPr>
          <w:rFonts w:eastAsia="Times New Roman" w:cs="Times New Roman"/>
          <w:i/>
          <w:szCs w:val="20"/>
          <w:vertAlign w:val="subscript"/>
          <w:lang w:val="en-US"/>
        </w:rPr>
        <w:t>i,t</w:t>
      </w:r>
      <w:r w:rsidR="00BE717D">
        <w:rPr>
          <w:rFonts w:eastAsia="Times New Roman" w:cs="Times New Roman"/>
          <w:szCs w:val="20"/>
          <w:lang w:val="en-US"/>
        </w:rPr>
        <w:t xml:space="preserve"> by V</w:t>
      </w:r>
      <w:r w:rsidR="00BE717D" w:rsidRPr="0054056C">
        <w:rPr>
          <w:rFonts w:eastAsia="Times New Roman" w:cs="Times New Roman"/>
          <w:i/>
          <w:szCs w:val="20"/>
          <w:vertAlign w:val="subscript"/>
          <w:lang w:val="en-US"/>
        </w:rPr>
        <w:t>i,t</w:t>
      </w:r>
      <w:r w:rsidR="00BE717D">
        <w:rPr>
          <w:rFonts w:eastAsia="Times New Roman" w:cs="Times New Roman"/>
          <w:szCs w:val="20"/>
          <w:lang w:val="en-US"/>
        </w:rPr>
        <w:t xml:space="preserve"> for </w:t>
      </w:r>
      <w:r w:rsidR="00BE717D" w:rsidRPr="0054056C">
        <w:rPr>
          <w:rFonts w:eastAsia="Times New Roman" w:cs="Times New Roman"/>
          <w:i/>
          <w:szCs w:val="20"/>
          <w:lang w:val="en-US"/>
        </w:rPr>
        <w:t>i</w:t>
      </w:r>
      <w:r w:rsidR="00BE717D">
        <w:rPr>
          <w:rFonts w:eastAsia="Times New Roman" w:cs="Times New Roman"/>
          <w:szCs w:val="20"/>
          <w:lang w:val="en-US"/>
        </w:rPr>
        <w:t xml:space="preserve"> = A (Asia), E (Europe),</w:t>
      </w:r>
      <w:r w:rsidR="005134CE">
        <w:rPr>
          <w:rFonts w:eastAsia="Times New Roman" w:cs="Times New Roman"/>
          <w:szCs w:val="20"/>
          <w:lang w:val="en-US"/>
        </w:rPr>
        <w:t xml:space="preserve"> L (London /New York)</w:t>
      </w:r>
      <w:r w:rsidR="00BE717D">
        <w:rPr>
          <w:rFonts w:eastAsia="Times New Roman" w:cs="Times New Roman"/>
          <w:szCs w:val="20"/>
          <w:lang w:val="en-US"/>
        </w:rPr>
        <w:t xml:space="preserve"> and U (U</w:t>
      </w:r>
      <w:r w:rsidR="00C21C51">
        <w:rPr>
          <w:rFonts w:eastAsia="Times New Roman" w:cs="Times New Roman"/>
          <w:szCs w:val="20"/>
          <w:lang w:val="en-US"/>
        </w:rPr>
        <w:t>.</w:t>
      </w:r>
      <w:r w:rsidR="00BE717D">
        <w:rPr>
          <w:rFonts w:eastAsia="Times New Roman" w:cs="Times New Roman"/>
          <w:szCs w:val="20"/>
          <w:lang w:val="en-US"/>
        </w:rPr>
        <w:t>S</w:t>
      </w:r>
      <w:r w:rsidR="00C21C51">
        <w:rPr>
          <w:rFonts w:eastAsia="Times New Roman" w:cs="Times New Roman"/>
          <w:szCs w:val="20"/>
          <w:lang w:val="en-US"/>
        </w:rPr>
        <w:t>.</w:t>
      </w:r>
      <w:r w:rsidR="00BE717D">
        <w:rPr>
          <w:rFonts w:eastAsia="Times New Roman" w:cs="Times New Roman"/>
          <w:szCs w:val="20"/>
          <w:lang w:val="en-US"/>
        </w:rPr>
        <w:t xml:space="preserve">).  TSRV measures variations in the efficient price, which are serially </w:t>
      </w:r>
      <w:r w:rsidR="00BE717D">
        <w:rPr>
          <w:rFonts w:eastAsia="Times New Roman" w:cs="Times New Roman"/>
          <w:szCs w:val="20"/>
          <w:lang w:val="en-US"/>
        </w:rPr>
        <w:lastRenderedPageBreak/>
        <w:t xml:space="preserve">independent.  Daily </w:t>
      </w:r>
      <w:r w:rsidR="007240A5">
        <w:rPr>
          <w:rFonts w:eastAsia="Times New Roman" w:cs="Times New Roman"/>
          <w:szCs w:val="20"/>
          <w:lang w:val="en-US"/>
        </w:rPr>
        <w:t>TSRV is given by</w:t>
      </w:r>
      <w:r w:rsidR="00BE717D">
        <w:rPr>
          <w:rFonts w:eastAsia="Times New Roman" w:cs="Times New Roman"/>
          <w:szCs w:val="20"/>
          <w:lang w:val="en-US"/>
        </w:rPr>
        <w:t xml:space="preserve"> V</w:t>
      </w:r>
      <w:r w:rsidR="00BE717D" w:rsidRPr="0054056C">
        <w:rPr>
          <w:rFonts w:eastAsia="Times New Roman" w:cs="Times New Roman"/>
          <w:i/>
          <w:szCs w:val="20"/>
          <w:vertAlign w:val="subscript"/>
          <w:lang w:val="en-US"/>
        </w:rPr>
        <w:t>t</w:t>
      </w:r>
      <w:r w:rsidR="00BE717D">
        <w:rPr>
          <w:rFonts w:eastAsia="Times New Roman" w:cs="Times New Roman"/>
          <w:szCs w:val="20"/>
          <w:lang w:val="en-US"/>
        </w:rPr>
        <w:t xml:space="preserve"> = </w:t>
      </w:r>
      <m:oMath>
        <m:nary>
          <m:naryPr>
            <m:chr m:val="∑"/>
            <m:limLoc m:val="subSup"/>
            <m:ctrlPr>
              <w:rPr>
                <w:rFonts w:ascii="Cambria Math" w:eastAsia="Times New Roman" w:hAnsi="Cambria Math" w:cs="Times New Roman"/>
                <w:szCs w:val="20"/>
                <w:lang w:val="en-US"/>
              </w:rPr>
            </m:ctrlPr>
          </m:naryPr>
          <m:sub>
            <m:r>
              <m:rPr>
                <m:sty m:val="p"/>
              </m:rPr>
              <w:rPr>
                <w:rFonts w:ascii="Cambria Math" w:eastAsia="Times New Roman" w:hAnsi="Cambria Math" w:cs="Times New Roman"/>
                <w:szCs w:val="20"/>
                <w:lang w:val="en-US"/>
              </w:rPr>
              <m:t>i=A</m:t>
            </m:r>
          </m:sub>
          <m:sup>
            <m:r>
              <m:rPr>
                <m:sty m:val="p"/>
              </m:rPr>
              <w:rPr>
                <w:rFonts w:ascii="Cambria Math" w:eastAsia="Times New Roman" w:hAnsi="Cambria Math" w:cs="Times New Roman"/>
                <w:szCs w:val="20"/>
                <w:lang w:val="en-US"/>
              </w:rPr>
              <m:t>U</m:t>
            </m:r>
          </m:sup>
          <m:e>
            <m:sSub>
              <m:sSubPr>
                <m:ctrlPr>
                  <w:rPr>
                    <w:rFonts w:ascii="Cambria Math" w:eastAsia="Times New Roman" w:hAnsi="Cambria Math" w:cs="Times New Roman"/>
                    <w:szCs w:val="20"/>
                    <w:lang w:val="en-US"/>
                  </w:rPr>
                </m:ctrlPr>
              </m:sSubPr>
              <m:e>
                <m:r>
                  <m:rPr>
                    <m:sty m:val="p"/>
                  </m:rPr>
                  <w:rPr>
                    <w:rFonts w:ascii="Cambria Math" w:eastAsia="Times New Roman" w:hAnsi="Cambria Math" w:cs="Times New Roman"/>
                    <w:szCs w:val="20"/>
                    <w:lang w:val="en-US"/>
                  </w:rPr>
                  <m:t>V</m:t>
                </m:r>
              </m:e>
              <m:sub>
                <m:r>
                  <w:rPr>
                    <w:rFonts w:ascii="Cambria Math" w:eastAsia="Times New Roman" w:hAnsi="Cambria Math" w:cs="Times New Roman"/>
                    <w:szCs w:val="20"/>
                    <w:lang w:val="en-US"/>
                  </w:rPr>
                  <m:t>i,t</m:t>
                </m:r>
              </m:sub>
            </m:sSub>
          </m:e>
        </m:nary>
      </m:oMath>
      <w:r w:rsidR="00BE717D">
        <w:rPr>
          <w:rFonts w:eastAsia="Times New Roman" w:cs="Times New Roman"/>
          <w:szCs w:val="20"/>
          <w:lang w:val="en-US"/>
        </w:rPr>
        <w:t xml:space="preserve">. </w:t>
      </w:r>
      <w:r w:rsidR="0015553E">
        <w:rPr>
          <w:rFonts w:eastAsia="Times New Roman" w:cs="Times New Roman"/>
          <w:szCs w:val="20"/>
          <w:lang w:val="en-US"/>
        </w:rPr>
        <w:t xml:space="preserve">Because variance has long memory, </w:t>
      </w:r>
      <w:r w:rsidR="0006502C">
        <w:rPr>
          <w:rFonts w:eastAsia="Times New Roman" w:cs="Times New Roman"/>
          <w:szCs w:val="20"/>
          <w:lang w:val="en-US"/>
        </w:rPr>
        <w:t>lagged</w:t>
      </w:r>
      <w:r w:rsidR="0015553E">
        <w:rPr>
          <w:rFonts w:eastAsia="Times New Roman" w:cs="Times New Roman"/>
          <w:szCs w:val="20"/>
          <w:lang w:val="en-US"/>
        </w:rPr>
        <w:t xml:space="preserve"> variance beyond one day </w:t>
      </w:r>
      <w:r w:rsidR="0006502C">
        <w:rPr>
          <w:rFonts w:eastAsia="Times New Roman" w:cs="Times New Roman"/>
          <w:szCs w:val="20"/>
          <w:lang w:val="en-US"/>
        </w:rPr>
        <w:t xml:space="preserve">is represented </w:t>
      </w:r>
      <w:r w:rsidR="0015553E">
        <w:rPr>
          <w:rFonts w:eastAsia="Times New Roman" w:cs="Times New Roman"/>
          <w:szCs w:val="20"/>
          <w:lang w:val="en-US"/>
        </w:rPr>
        <w:t xml:space="preserve">by variance on lagged 2 to 5 days </w:t>
      </w:r>
      <m:oMath>
        <m:sSub>
          <m:sSubPr>
            <m:ctrlPr>
              <w:rPr>
                <w:rFonts w:ascii="Cambria Math" w:hAnsi="Cambria Math" w:cs="Times New Roman"/>
                <w:szCs w:val="24"/>
                <w:lang w:val="en-US"/>
              </w:rPr>
            </m:ctrlPr>
          </m:sSubPr>
          <m:e>
            <m:r>
              <m:rPr>
                <m:sty m:val="p"/>
              </m:rPr>
              <w:rPr>
                <w:rFonts w:ascii="Cambria Math" w:cs="Times New Roman"/>
                <w:szCs w:val="24"/>
                <w:lang w:val="en-US"/>
              </w:rPr>
              <m:t>V</m:t>
            </m:r>
          </m:e>
          <m:sub>
            <m:r>
              <m:rPr>
                <m:sty m:val="p"/>
              </m:rPr>
              <w:rPr>
                <w:rFonts w:ascii="Cambria Math" w:cs="Times New Roman"/>
                <w:szCs w:val="24"/>
                <w:lang w:val="en-US"/>
              </w:rPr>
              <m:t>t</m:t>
            </m:r>
            <m:r>
              <m:rPr>
                <m:sty m:val="p"/>
              </m:rPr>
              <w:rPr>
                <w:rFonts w:ascii="Cambria Math" w:cs="Times New Roman"/>
                <w:szCs w:val="24"/>
                <w:lang w:val="en-US"/>
              </w:rPr>
              <m:t>-</m:t>
            </m:r>
            <m:r>
              <m:rPr>
                <m:sty m:val="p"/>
              </m:rPr>
              <w:rPr>
                <w:rFonts w:ascii="Cambria Math" w:cs="Times New Roman"/>
                <w:szCs w:val="24"/>
                <w:lang w:val="en-US"/>
              </w:rPr>
              <m:t>1,W</m:t>
            </m:r>
          </m:sub>
        </m:sSub>
        <m:r>
          <m:rPr>
            <m:sty m:val="p"/>
          </m:rPr>
          <w:rPr>
            <w:rFonts w:ascii="Cambria Math" w:cs="Times New Roman"/>
            <w:szCs w:val="24"/>
            <w:lang w:val="en-US"/>
          </w:rPr>
          <m:t>=</m:t>
        </m:r>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k</m:t>
            </m:r>
            <m:r>
              <m:rPr>
                <m:sty m:val="p"/>
              </m:rPr>
              <w:rPr>
                <w:rFonts w:ascii="Cambria Math" w:cs="Times New Roman"/>
                <w:szCs w:val="24"/>
                <w:lang w:val="en-US"/>
              </w:rPr>
              <m:t>=2</m:t>
            </m:r>
          </m:sub>
          <m:sup>
            <m:r>
              <m:rPr>
                <m:sty m:val="p"/>
              </m:rPr>
              <w:rPr>
                <w:rFonts w:ascii="Cambria Math" w:cs="Times New Roman"/>
                <w:szCs w:val="24"/>
                <w:lang w:val="en-US"/>
              </w:rPr>
              <m:t>5</m:t>
            </m:r>
          </m:sup>
          <m:e>
            <m:sSub>
              <m:sSubPr>
                <m:ctrlPr>
                  <w:rPr>
                    <w:rFonts w:ascii="Cambria Math" w:hAnsi="Cambria Math" w:cs="Times New Roman"/>
                    <w:szCs w:val="24"/>
                    <w:lang w:val="en-US"/>
                  </w:rPr>
                </m:ctrlPr>
              </m:sSubPr>
              <m:e>
                <m:r>
                  <m:rPr>
                    <m:sty m:val="p"/>
                  </m:rPr>
                  <w:rPr>
                    <w:rFonts w:ascii="Cambria Math" w:cs="Times New Roman"/>
                    <w:szCs w:val="24"/>
                    <w:lang w:val="en-US"/>
                  </w:rPr>
                  <m:t>V</m:t>
                </m:r>
              </m:e>
              <m:sub>
                <m:r>
                  <m:rPr>
                    <m:sty m:val="p"/>
                  </m:rPr>
                  <w:rPr>
                    <w:rFonts w:ascii="Cambria Math" w:cs="Times New Roman"/>
                    <w:szCs w:val="24"/>
                    <w:lang w:val="en-US"/>
                  </w:rPr>
                  <m:t>t</m:t>
                </m:r>
                <m:r>
                  <m:rPr>
                    <m:sty m:val="p"/>
                  </m:rPr>
                  <w:rPr>
                    <w:rFonts w:ascii="Cambria Math" w:cs="Times New Roman"/>
                    <w:szCs w:val="24"/>
                    <w:lang w:val="en-US"/>
                  </w:rPr>
                  <m:t>-</m:t>
                </m:r>
                <m:r>
                  <m:rPr>
                    <m:sty m:val="p"/>
                  </m:rPr>
                  <w:rPr>
                    <w:rFonts w:ascii="Cambria Math" w:cs="Times New Roman"/>
                    <w:szCs w:val="24"/>
                    <w:lang w:val="en-US"/>
                  </w:rPr>
                  <m:t>k</m:t>
                </m:r>
              </m:sub>
            </m:sSub>
          </m:e>
        </m:nary>
      </m:oMath>
      <w:r w:rsidR="0015553E">
        <w:rPr>
          <w:rFonts w:eastAsia="Times New Roman" w:cs="Times New Roman"/>
          <w:szCs w:val="24"/>
          <w:lang w:val="en-US"/>
        </w:rPr>
        <w:t xml:space="preserve"> and variance on lagged 6 to 22 days </w:t>
      </w:r>
      <m:oMath>
        <m:sSub>
          <m:sSubPr>
            <m:ctrlPr>
              <w:rPr>
                <w:rFonts w:ascii="Cambria Math" w:hAnsi="Cambria Math" w:cs="Times New Roman"/>
                <w:szCs w:val="24"/>
                <w:lang w:val="en-US"/>
              </w:rPr>
            </m:ctrlPr>
          </m:sSubPr>
          <m:e>
            <m:r>
              <m:rPr>
                <m:sty m:val="p"/>
              </m:rPr>
              <w:rPr>
                <w:rFonts w:ascii="Cambria Math" w:cs="Times New Roman"/>
                <w:szCs w:val="24"/>
                <w:lang w:val="en-US"/>
              </w:rPr>
              <m:t>V</m:t>
            </m:r>
          </m:e>
          <m:sub>
            <m:r>
              <m:rPr>
                <m:sty m:val="p"/>
              </m:rPr>
              <w:rPr>
                <w:rFonts w:ascii="Cambria Math" w:cs="Times New Roman"/>
                <w:szCs w:val="24"/>
                <w:lang w:val="en-US"/>
              </w:rPr>
              <m:t>t</m:t>
            </m:r>
            <m:r>
              <m:rPr>
                <m:sty m:val="p"/>
              </m:rPr>
              <w:rPr>
                <w:rFonts w:ascii="Cambria Math" w:cs="Times New Roman"/>
                <w:szCs w:val="24"/>
                <w:lang w:val="en-US"/>
              </w:rPr>
              <m:t>-</m:t>
            </m:r>
            <m:r>
              <m:rPr>
                <m:sty m:val="p"/>
              </m:rPr>
              <w:rPr>
                <w:rFonts w:ascii="Cambria Math" w:cs="Times New Roman"/>
                <w:szCs w:val="24"/>
                <w:lang w:val="en-US"/>
              </w:rPr>
              <m:t>1, M</m:t>
            </m:r>
          </m:sub>
        </m:sSub>
        <m:r>
          <m:rPr>
            <m:sty m:val="p"/>
          </m:rPr>
          <w:rPr>
            <w:rFonts w:ascii="Cambria Math" w:cs="Times New Roman"/>
            <w:szCs w:val="24"/>
            <w:lang w:val="en-US"/>
          </w:rPr>
          <m:t>=</m:t>
        </m:r>
        <m:nary>
          <m:naryPr>
            <m:chr m:val="∑"/>
            <m:limLoc m:val="undOvr"/>
            <m:ctrlPr>
              <w:rPr>
                <w:rFonts w:ascii="Cambria Math" w:hAnsi="Cambria Math" w:cs="Times New Roman"/>
                <w:szCs w:val="24"/>
                <w:lang w:val="en-US"/>
              </w:rPr>
            </m:ctrlPr>
          </m:naryPr>
          <m:sub>
            <m:r>
              <m:rPr>
                <m:sty m:val="p"/>
              </m:rPr>
              <w:rPr>
                <w:rFonts w:ascii="Cambria Math" w:hAnsi="Cambria Math" w:cs="Times New Roman"/>
                <w:szCs w:val="24"/>
                <w:lang w:val="en-US"/>
              </w:rPr>
              <m:t>k</m:t>
            </m:r>
            <m:r>
              <m:rPr>
                <m:sty m:val="p"/>
              </m:rPr>
              <w:rPr>
                <w:rFonts w:ascii="Cambria Math" w:cs="Times New Roman"/>
                <w:szCs w:val="24"/>
                <w:lang w:val="en-US"/>
              </w:rPr>
              <m:t>=6</m:t>
            </m:r>
          </m:sub>
          <m:sup>
            <m:r>
              <m:rPr>
                <m:sty m:val="p"/>
              </m:rPr>
              <w:rPr>
                <w:rFonts w:ascii="Cambria Math" w:cs="Times New Roman"/>
                <w:szCs w:val="24"/>
                <w:lang w:val="en-US"/>
              </w:rPr>
              <m:t>22</m:t>
            </m:r>
          </m:sup>
          <m:e>
            <m:sSub>
              <m:sSubPr>
                <m:ctrlPr>
                  <w:rPr>
                    <w:rFonts w:ascii="Cambria Math" w:hAnsi="Cambria Math" w:cs="Times New Roman"/>
                    <w:szCs w:val="24"/>
                    <w:lang w:val="en-US"/>
                  </w:rPr>
                </m:ctrlPr>
              </m:sSubPr>
              <m:e>
                <m:r>
                  <m:rPr>
                    <m:sty m:val="p"/>
                  </m:rPr>
                  <w:rPr>
                    <w:rFonts w:ascii="Cambria Math" w:cs="Times New Roman"/>
                    <w:szCs w:val="24"/>
                    <w:lang w:val="en-US"/>
                  </w:rPr>
                  <m:t>V</m:t>
                </m:r>
              </m:e>
              <m:sub>
                <m:r>
                  <m:rPr>
                    <m:sty m:val="p"/>
                  </m:rPr>
                  <w:rPr>
                    <w:rFonts w:ascii="Cambria Math" w:cs="Times New Roman"/>
                    <w:szCs w:val="24"/>
                    <w:lang w:val="en-US"/>
                  </w:rPr>
                  <m:t>t</m:t>
                </m:r>
                <m:r>
                  <m:rPr>
                    <m:sty m:val="p"/>
                  </m:rPr>
                  <w:rPr>
                    <w:rFonts w:ascii="Cambria Math" w:cs="Times New Roman"/>
                    <w:szCs w:val="24"/>
                    <w:lang w:val="en-US"/>
                  </w:rPr>
                  <m:t>-</m:t>
                </m:r>
                <m:r>
                  <m:rPr>
                    <m:sty m:val="p"/>
                  </m:rPr>
                  <w:rPr>
                    <w:rFonts w:ascii="Cambria Math" w:cs="Times New Roman"/>
                    <w:szCs w:val="24"/>
                    <w:lang w:val="en-US"/>
                  </w:rPr>
                  <m:t>k</m:t>
                </m:r>
              </m:sub>
            </m:sSub>
          </m:e>
        </m:nary>
      </m:oMath>
      <w:r w:rsidR="0015553E">
        <w:rPr>
          <w:rFonts w:eastAsia="Times New Roman" w:cs="Times New Roman"/>
          <w:szCs w:val="24"/>
          <w:lang w:val="en-US"/>
        </w:rPr>
        <w:t xml:space="preserve">.  </w:t>
      </w:r>
      <w:r w:rsidR="0006502C">
        <w:rPr>
          <w:rFonts w:eastAsia="Times New Roman" w:cs="Times New Roman"/>
          <w:szCs w:val="24"/>
          <w:lang w:val="en-US"/>
        </w:rPr>
        <w:t>The dynamic model for TSRV is</w:t>
      </w:r>
      <w:r w:rsidR="00977701">
        <w:rPr>
          <w:rFonts w:eastAsia="Times New Roman" w:cs="Times New Roman"/>
          <w:szCs w:val="24"/>
          <w:lang w:val="en-US"/>
        </w:rPr>
        <w:t>:</w:t>
      </w:r>
      <w:r w:rsidR="0006502C">
        <w:rPr>
          <w:rFonts w:eastAsia="Times New Roman" w:cs="Times New Roman"/>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3"/>
      </w:tblGrid>
      <w:tr w:rsidR="00977701" w:rsidTr="00977701">
        <w:tc>
          <w:tcPr>
            <w:tcW w:w="8330" w:type="dxa"/>
            <w:vAlign w:val="center"/>
          </w:tcPr>
          <w:p w:rsidR="00714722" w:rsidRDefault="00977701" w:rsidP="00714722">
            <w:pPr>
              <w:suppressAutoHyphens/>
              <w:ind w:firstLine="0"/>
              <w:jc w:val="center"/>
              <w:rPr>
                <w:rFonts w:eastAsia="Times New Roman" w:cs="Times New Roman"/>
                <w:szCs w:val="24"/>
                <w:lang w:val="en-US"/>
              </w:rPr>
            </w:pPr>
            <w:r>
              <w:rPr>
                <w:rFonts w:eastAsia="Times New Roman" w:cs="Times New Roman"/>
                <w:szCs w:val="24"/>
                <w:lang w:val="en-US"/>
              </w:rPr>
              <w:t>lnV</w:t>
            </w:r>
            <w:r>
              <w:rPr>
                <w:rFonts w:eastAsia="Times New Roman" w:cs="Times New Roman"/>
                <w:szCs w:val="24"/>
                <w:vertAlign w:val="subscript"/>
                <w:lang w:val="en-US"/>
              </w:rPr>
              <w:t>i</w:t>
            </w:r>
            <w:r w:rsidRPr="0054056C">
              <w:rPr>
                <w:rFonts w:eastAsia="Times New Roman" w:cs="Times New Roman"/>
                <w:i/>
                <w:szCs w:val="24"/>
                <w:vertAlign w:val="subscript"/>
                <w:lang w:val="en-US"/>
              </w:rPr>
              <w:t>,t</w:t>
            </w:r>
            <w:r>
              <w:rPr>
                <w:rFonts w:eastAsia="Times New Roman" w:cs="Times New Roman"/>
                <w:szCs w:val="24"/>
                <w:lang w:val="en-US"/>
              </w:rPr>
              <w:t xml:space="preserve"> = α</w:t>
            </w:r>
            <w:r w:rsidRPr="0054056C">
              <w:rPr>
                <w:rFonts w:eastAsia="Times New Roman" w:cs="Times New Roman"/>
                <w:i/>
                <w:szCs w:val="24"/>
                <w:vertAlign w:val="subscript"/>
                <w:lang w:val="en-US"/>
              </w:rPr>
              <w:t>i</w:t>
            </w:r>
            <w:r>
              <w:rPr>
                <w:rFonts w:eastAsia="Times New Roman" w:cs="Times New Roman"/>
                <w:szCs w:val="24"/>
                <w:lang w:val="en-US"/>
              </w:rPr>
              <w:t xml:space="preserve"> + </w:t>
            </w:r>
            <m:oMath>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i,A</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A,t-1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i,E</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E,t-1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i,L</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L,t-1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i,U</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U,t-1</m:t>
                  </m:r>
                </m:sub>
              </m:sSub>
            </m:oMath>
          </w:p>
          <w:p w:rsidR="00977701" w:rsidRDefault="00977701" w:rsidP="00714722">
            <w:pPr>
              <w:suppressAutoHyphens/>
              <w:ind w:firstLine="0"/>
              <w:jc w:val="center"/>
              <w:rPr>
                <w:rFonts w:eastAsia="Times New Roman" w:cs="Times New Roman"/>
                <w:szCs w:val="24"/>
                <w:lang w:val="en-US"/>
              </w:rPr>
            </w:pPr>
            <w:r>
              <w:rPr>
                <w:rFonts w:eastAsia="Times New Roman" w:cs="Times New Roman"/>
                <w:szCs w:val="24"/>
                <w:lang w:val="en-US"/>
              </w:rPr>
              <w:t>+β</w:t>
            </w:r>
            <w:r>
              <w:rPr>
                <w:rFonts w:eastAsia="Times New Roman" w:cs="Times New Roman"/>
                <w:szCs w:val="24"/>
                <w:vertAlign w:val="subscript"/>
                <w:lang w:val="en-US"/>
              </w:rPr>
              <w:t>W</w:t>
            </w:r>
            <w:r>
              <w:rPr>
                <w:rFonts w:eastAsia="Times New Roman" w:cs="Times New Roman"/>
                <w:szCs w:val="24"/>
                <w:lang w:val="en-US"/>
              </w:rPr>
              <w:t>lnV</w:t>
            </w:r>
            <w:r w:rsidRPr="0054056C">
              <w:rPr>
                <w:rFonts w:eastAsia="Times New Roman" w:cs="Times New Roman"/>
                <w:i/>
                <w:szCs w:val="24"/>
                <w:vertAlign w:val="subscript"/>
                <w:lang w:val="en-US"/>
              </w:rPr>
              <w:t>t-1,W</w:t>
            </w:r>
            <w:r>
              <w:rPr>
                <w:rFonts w:eastAsia="Times New Roman" w:cs="Times New Roman"/>
                <w:szCs w:val="24"/>
                <w:lang w:val="en-US"/>
              </w:rPr>
              <w:t>+β</w:t>
            </w:r>
            <w:r>
              <w:rPr>
                <w:rFonts w:eastAsia="Times New Roman" w:cs="Times New Roman"/>
                <w:szCs w:val="24"/>
                <w:vertAlign w:val="subscript"/>
                <w:lang w:val="en-US"/>
              </w:rPr>
              <w:t>M</w:t>
            </w:r>
            <w:r>
              <w:rPr>
                <w:rFonts w:eastAsia="Times New Roman" w:cs="Times New Roman"/>
                <w:szCs w:val="24"/>
                <w:lang w:val="en-US"/>
              </w:rPr>
              <w:t>lnV</w:t>
            </w:r>
            <w:r w:rsidRPr="0054056C">
              <w:rPr>
                <w:rFonts w:eastAsia="Times New Roman" w:cs="Times New Roman"/>
                <w:i/>
                <w:szCs w:val="24"/>
                <w:vertAlign w:val="subscript"/>
                <w:lang w:val="en-US"/>
              </w:rPr>
              <w:t>t-1,M</w:t>
            </w:r>
            <w:r w:rsidRPr="0054056C">
              <w:rPr>
                <w:rFonts w:eastAsia="Times New Roman" w:cs="Times New Roman"/>
                <w:i/>
                <w:szCs w:val="24"/>
                <w:lang w:val="en-US"/>
              </w:rPr>
              <w:t xml:space="preserve"> </w:t>
            </w:r>
            <w:r>
              <w:rPr>
                <w:rFonts w:eastAsia="Times New Roman" w:cs="Times New Roman"/>
                <w:szCs w:val="24"/>
                <w:lang w:val="en-US"/>
              </w:rPr>
              <w:t>+ ε</w:t>
            </w:r>
            <w:r w:rsidRPr="0054056C">
              <w:rPr>
                <w:rFonts w:eastAsia="Times New Roman" w:cs="Times New Roman"/>
                <w:i/>
                <w:szCs w:val="24"/>
                <w:vertAlign w:val="subscript"/>
                <w:lang w:val="en-US"/>
              </w:rPr>
              <w:t>i,t</w:t>
            </w:r>
            <w:r>
              <w:rPr>
                <w:rFonts w:eastAsia="Times New Roman" w:cs="Times New Roman"/>
                <w:szCs w:val="24"/>
                <w:lang w:val="en-US"/>
              </w:rPr>
              <w:t xml:space="preserve">,    </w:t>
            </w:r>
            <w:r w:rsidR="00ED311F" w:rsidRPr="00133D23">
              <w:rPr>
                <w:rFonts w:eastAsia="Times New Roman" w:cs="Times New Roman"/>
                <w:i/>
                <w:szCs w:val="20"/>
                <w:lang w:val="en-US"/>
              </w:rPr>
              <w:t>i</w:t>
            </w:r>
            <w:r>
              <w:rPr>
                <w:rFonts w:eastAsia="Times New Roman" w:cs="Times New Roman"/>
                <w:szCs w:val="20"/>
                <w:lang w:val="en-US"/>
              </w:rPr>
              <w:t xml:space="preserve"> = A, E, </w:t>
            </w:r>
            <w:r w:rsidR="00441C33">
              <w:rPr>
                <w:rFonts w:eastAsia="Times New Roman" w:cs="Times New Roman"/>
                <w:szCs w:val="20"/>
                <w:lang w:val="en-US"/>
              </w:rPr>
              <w:t>L</w:t>
            </w:r>
            <w:r w:rsidR="000A3162">
              <w:rPr>
                <w:rFonts w:eastAsia="Times New Roman" w:cs="Times New Roman"/>
                <w:szCs w:val="20"/>
                <w:lang w:val="en-US"/>
              </w:rPr>
              <w:t xml:space="preserve"> </w:t>
            </w:r>
            <w:r>
              <w:rPr>
                <w:rFonts w:eastAsia="Times New Roman" w:cs="Times New Roman"/>
                <w:szCs w:val="20"/>
                <w:lang w:val="en-US"/>
              </w:rPr>
              <w:t xml:space="preserve">and U.  </w:t>
            </w:r>
          </w:p>
        </w:tc>
        <w:tc>
          <w:tcPr>
            <w:tcW w:w="913" w:type="dxa"/>
            <w:vAlign w:val="center"/>
          </w:tcPr>
          <w:p w:rsidR="00977701" w:rsidRDefault="006A506C" w:rsidP="0006502C">
            <w:pPr>
              <w:suppressAutoHyphens/>
              <w:ind w:firstLine="0"/>
              <w:jc w:val="center"/>
              <w:rPr>
                <w:rFonts w:eastAsia="Times New Roman" w:cs="Times New Roman"/>
                <w:szCs w:val="24"/>
                <w:lang w:val="en-US"/>
              </w:rPr>
            </w:pPr>
            <w:r>
              <w:rPr>
                <w:rFonts w:eastAsia="Times New Roman" w:cs="Times New Roman"/>
                <w:szCs w:val="24"/>
                <w:lang w:val="en-US"/>
              </w:rPr>
              <w:t>(4</w:t>
            </w:r>
            <w:r w:rsidR="00977701">
              <w:rPr>
                <w:rFonts w:eastAsia="Times New Roman" w:cs="Times New Roman"/>
                <w:szCs w:val="24"/>
                <w:lang w:val="en-US"/>
              </w:rPr>
              <w:t>)</w:t>
            </w:r>
          </w:p>
        </w:tc>
      </w:tr>
    </w:tbl>
    <w:p w:rsidR="00017F76" w:rsidRDefault="0085296A" w:rsidP="001C07B4">
      <w:pPr>
        <w:suppressAutoHyphens/>
        <w:ind w:firstLine="0"/>
        <w:rPr>
          <w:rFonts w:eastAsia="Times New Roman" w:cs="Times New Roman"/>
          <w:szCs w:val="20"/>
          <w:lang w:val="en-US"/>
        </w:rPr>
      </w:pPr>
      <w:r>
        <w:rPr>
          <w:rFonts w:eastAsia="Times New Roman" w:cs="Times New Roman"/>
          <w:szCs w:val="20"/>
          <w:lang w:val="en-US"/>
        </w:rPr>
        <w:t xml:space="preserve">This </w:t>
      </w:r>
      <w:r w:rsidR="00533073">
        <w:rPr>
          <w:rFonts w:eastAsia="Times New Roman" w:cs="Times New Roman"/>
          <w:szCs w:val="20"/>
          <w:lang w:val="en-US"/>
        </w:rPr>
        <w:t xml:space="preserve">specification of volatility dynamics </w:t>
      </w:r>
      <w:r>
        <w:rPr>
          <w:rFonts w:eastAsia="Times New Roman" w:cs="Times New Roman"/>
          <w:szCs w:val="20"/>
          <w:lang w:val="en-US"/>
        </w:rPr>
        <w:t xml:space="preserve">is similar to the heterogeneous autoregressive (HAR) model of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&lt;EndNote&gt;&lt;Cite&gt;&lt;Author&gt;Corsi&lt;/Author&gt;&lt;Year&gt;2009&lt;/Year&gt;&lt;RecNum&gt;799&lt;/RecNum&gt;&lt;DisplayText&gt;Corsi (2009)&lt;/DisplayText&gt;&lt;record&gt;&lt;rec-number&gt;799&lt;/rec-number&gt;&lt;foreign-keys&gt;&lt;key app="EN" db-id="szetpsas1ep5veesd5xvva5qdxwetsvpfs5x"&gt;799&lt;/key&gt;&lt;/foreign-keys&gt;&lt;ref-type name="Journal Article"&gt;17&lt;/ref-type&gt;&lt;contributors&gt;&lt;authors&gt;&lt;author&gt;Corsi, Fulvio&lt;/author&gt;&lt;/authors&gt;&lt;/contributors&gt;&lt;titles&gt;&lt;title&gt;A simple approximate long-memory model of realized volatility&lt;/title&gt;&lt;secondary-title&gt;Journal of Financial Econometrics&lt;/secondary-title&gt;&lt;/titles&gt;&lt;periodical&gt;&lt;full-title&gt;Journal of Financial Econometrics&lt;/full-title&gt;&lt;/periodical&gt;&lt;pages&gt;174-196&lt;/pages&gt;&lt;volume&gt;7&lt;/volume&gt;&lt;number&gt;2&lt;/number&gt;&lt;dates&gt;&lt;year&gt;2009&lt;/year&gt;&lt;/dates&gt;&lt;isbn&gt;1479-8409&lt;/isbn&gt;&lt;urls&gt;&lt;/urls&gt;&lt;/record&gt;&lt;/Cite&gt;&lt;/EndNote&gt;</w:instrText>
      </w:r>
      <w:r w:rsidR="00ED311F">
        <w:rPr>
          <w:rFonts w:eastAsia="Times New Roman" w:cs="Times New Roman"/>
          <w:szCs w:val="20"/>
          <w:lang w:val="en-US"/>
        </w:rPr>
        <w:fldChar w:fldCharType="separate"/>
      </w:r>
      <w:hyperlink w:anchor="_ENREF_12" w:tooltip="Corsi, 2009 #799" w:history="1">
        <w:r w:rsidR="00C419D5">
          <w:rPr>
            <w:rFonts w:eastAsia="Times New Roman" w:cs="Times New Roman"/>
            <w:noProof/>
            <w:szCs w:val="20"/>
            <w:lang w:val="en-US"/>
          </w:rPr>
          <w:t>Corsi (2009</w:t>
        </w:r>
      </w:hyperlink>
      <w:r w:rsidR="00F60E9A">
        <w:rPr>
          <w:rFonts w:eastAsia="Times New Roman" w:cs="Times New Roman"/>
          <w:noProof/>
          <w:szCs w:val="20"/>
          <w:lang w:val="en-US"/>
        </w:rPr>
        <w:t>)</w:t>
      </w:r>
      <w:r w:rsidR="00ED311F">
        <w:rPr>
          <w:rFonts w:eastAsia="Times New Roman" w:cs="Times New Roman"/>
          <w:szCs w:val="20"/>
          <w:lang w:val="en-US"/>
        </w:rPr>
        <w:fldChar w:fldCharType="end"/>
      </w:r>
      <w:r w:rsidR="00DC00F8">
        <w:rPr>
          <w:rFonts w:eastAsia="Times New Roman" w:cs="Times New Roman"/>
          <w:szCs w:val="20"/>
          <w:lang w:val="en-US"/>
        </w:rPr>
        <w:t xml:space="preserve"> which has been widely adopted in volatility studies</w:t>
      </w:r>
      <w:r w:rsidR="00C92B89">
        <w:rPr>
          <w:rFonts w:eastAsia="Times New Roman" w:cs="Times New Roman"/>
          <w:szCs w:val="20"/>
          <w:lang w:val="en-US"/>
        </w:rPr>
        <w:t xml:space="preserve"> </w:t>
      </w:r>
      <w:r w:rsidR="00A371F7">
        <w:rPr>
          <w:rFonts w:eastAsia="Times New Roman" w:cs="Times New Roman"/>
          <w:szCs w:val="20"/>
          <w:lang w:val="en-US"/>
        </w:rPr>
        <w:t xml:space="preserve">to capture the long memory in volatility </w:t>
      </w:r>
      <w:r w:rsidR="00C92B89">
        <w:rPr>
          <w:rFonts w:eastAsia="Times New Roman" w:cs="Times New Roman"/>
          <w:szCs w:val="20"/>
          <w:lang w:val="en-US"/>
        </w:rPr>
        <w:t>(</w:t>
      </w:r>
      <w:r w:rsidR="00ED311F">
        <w:rPr>
          <w:rFonts w:cs="Times New Roman"/>
        </w:rPr>
        <w:fldChar w:fldCharType="begin"/>
      </w:r>
      <w:r w:rsidR="00C92B89">
        <w:rPr>
          <w:rFonts w:cs="Times New Roman"/>
        </w:rPr>
        <w:instrText xml:space="preserve"> ADDIN EN.CITE &lt;EndNote&gt;&lt;Cite&gt;&lt;Author&gt;Andersen&lt;/Author&gt;&lt;Year&gt;2007&lt;/Year&gt;&lt;RecNum&gt;802&lt;/RecNum&gt;&lt;DisplayText&gt;Andersen, Bollerslev and Diebold (2007)&lt;/DisplayText&gt;&lt;record&gt;&lt;rec-number&gt;802&lt;/rec-number&gt;&lt;foreign-keys&gt;&lt;key app="EN" db-id="szetpsas1ep5veesd5xvva5qdxwetsvpfs5x"&gt;802&lt;/key&gt;&lt;/foreign-keys&gt;&lt;ref-type name="Journal Article"&gt;17&lt;/ref-type&gt;&lt;contributors&gt;&lt;authors&gt;&lt;author&gt;Andersen, Torben G&lt;/author&gt;&lt;author&gt;Bollerslev, Tim&lt;/author&gt;&lt;author&gt;Diebold, Francis X&lt;/author&gt;&lt;/authors&gt;&lt;/contributors&gt;&lt;titles&gt;&lt;title&gt;Roughing it up: Including jump components in the measurement, modeling, and forecasting of return volatility&lt;/title&gt;&lt;secondary-title&gt;Review of Economics and Statistics&lt;/secondary-title&gt;&lt;/titles&gt;&lt;periodical&gt;&lt;full-title&gt;Review of Economics and Statistics&lt;/full-title&gt;&lt;/periodical&gt;&lt;pages&gt;701-720&lt;/pages&gt;&lt;volume&gt;89&lt;/volume&gt;&lt;number&gt;4&lt;/number&gt;&lt;dates&gt;&lt;year&gt;2007&lt;/year&gt;&lt;/dates&gt;&lt;isbn&gt;0034-6535&lt;/isbn&gt;&lt;urls&gt;&lt;/urls&gt;&lt;/record&gt;&lt;/Cite&gt;&lt;/EndNote&gt;</w:instrText>
      </w:r>
      <w:r w:rsidR="00ED311F">
        <w:rPr>
          <w:rFonts w:cs="Times New Roman"/>
        </w:rPr>
        <w:fldChar w:fldCharType="separate"/>
      </w:r>
      <w:hyperlink w:anchor="_ENREF_1" w:tooltip="Andersen, 2007 #802" w:history="1">
        <w:r w:rsidR="00C419D5">
          <w:rPr>
            <w:rFonts w:cs="Times New Roman"/>
            <w:noProof/>
          </w:rPr>
          <w:t>Andersen, Bollerslev and Diebold (2007</w:t>
        </w:r>
      </w:hyperlink>
      <w:r w:rsidR="00C92B89">
        <w:rPr>
          <w:rFonts w:cs="Times New Roman"/>
          <w:noProof/>
        </w:rPr>
        <w:t>)</w:t>
      </w:r>
      <w:r w:rsidR="00ED311F">
        <w:rPr>
          <w:rFonts w:cs="Times New Roman"/>
        </w:rPr>
        <w:fldChar w:fldCharType="end"/>
      </w:r>
      <w:r w:rsidR="00C92B89" w:rsidRPr="006C2756">
        <w:rPr>
          <w:rFonts w:cs="Times New Roman"/>
        </w:rPr>
        <w:t>,</w:t>
      </w:r>
      <w:r w:rsidR="00C92B89">
        <w:rPr>
          <w:rFonts w:cs="Times New Roman"/>
        </w:rPr>
        <w:t xml:space="preserve"> </w:t>
      </w:r>
      <w:r w:rsidR="00ED311F">
        <w:rPr>
          <w:rFonts w:cs="Times New Roman"/>
        </w:rPr>
        <w:fldChar w:fldCharType="begin"/>
      </w:r>
      <w:r w:rsidR="00C92B89">
        <w:rPr>
          <w:rFonts w:cs="Times New Roman"/>
        </w:rPr>
        <w:instrText xml:space="preserve"> ADDIN EN.CITE &lt;EndNote&gt;&lt;Cite&gt;&lt;Author&gt;Andersen&lt;/Author&gt;&lt;Year&gt;2006&lt;/Year&gt;&lt;RecNum&gt;803&lt;/RecNum&gt;&lt;DisplayText&gt;Andersen, Bollerslev and Huang (2006)&lt;/DisplayText&gt;&lt;record&gt;&lt;rec-number&gt;803&lt;/rec-number&gt;&lt;foreign-keys&gt;&lt;key app="EN" db-id="szetpsas1ep5veesd5xvva5qdxwetsvpfs5x"&gt;803&lt;/key&gt;&lt;/foreign-keys&gt;&lt;ref-type name="Journal Article"&gt;17&lt;/ref-type&gt;&lt;contributors&gt;&lt;authors&gt;&lt;author&gt;Andersen, Torben G&lt;/author&gt;&lt;author&gt;Bollerslev, Tim&lt;/author&gt;&lt;author&gt;Huang, Xin&lt;/author&gt;&lt;/authors&gt;&lt;/contributors&gt;&lt;titles&gt;&lt;title&gt;A semiparametric framework for modelling and forecasting jumps and volatility in speculative prices&lt;/title&gt;&lt;secondary-title&gt;Working Paper, Duke University&lt;/secondary-title&gt;&lt;/titles&gt;&lt;periodical&gt;&lt;full-title&gt;Working Paper, Duke University&lt;/full-title&gt;&lt;/periodical&gt;&lt;dates&gt;&lt;year&gt;2006&lt;/year&gt;&lt;/dates&gt;&lt;urls&gt;&lt;/urls&gt;&lt;/record&gt;&lt;/Cite&gt;&lt;/EndNote&gt;</w:instrText>
      </w:r>
      <w:r w:rsidR="00ED311F">
        <w:rPr>
          <w:rFonts w:cs="Times New Roman"/>
        </w:rPr>
        <w:fldChar w:fldCharType="separate"/>
      </w:r>
      <w:hyperlink w:anchor="_ENREF_2" w:tooltip="Andersen, 2006 #803" w:history="1">
        <w:r w:rsidR="00C419D5">
          <w:rPr>
            <w:rFonts w:cs="Times New Roman"/>
            <w:noProof/>
          </w:rPr>
          <w:t>Andersen, Bollerslev and Huang (2006</w:t>
        </w:r>
      </w:hyperlink>
      <w:r w:rsidR="00C92B89">
        <w:rPr>
          <w:rFonts w:cs="Times New Roman"/>
          <w:noProof/>
        </w:rPr>
        <w:t>)</w:t>
      </w:r>
      <w:r w:rsidR="00ED311F">
        <w:rPr>
          <w:rFonts w:cs="Times New Roman"/>
        </w:rPr>
        <w:fldChar w:fldCharType="end"/>
      </w:r>
      <w:r w:rsidR="00C92B89" w:rsidRPr="006C2756">
        <w:rPr>
          <w:rFonts w:cs="Times New Roman"/>
        </w:rPr>
        <w:t>,</w:t>
      </w:r>
      <w:r w:rsidR="00C92B89">
        <w:rPr>
          <w:rFonts w:cs="Times New Roman"/>
        </w:rPr>
        <w:t xml:space="preserve"> </w:t>
      </w:r>
      <w:r w:rsidR="00ED311F">
        <w:rPr>
          <w:rFonts w:cs="Times New Roman"/>
        </w:rPr>
        <w:fldChar w:fldCharType="begin"/>
      </w:r>
      <w:r w:rsidR="00C419D5">
        <w:rPr>
          <w:rFonts w:cs="Times New Roman"/>
        </w:rPr>
        <w:instrText xml:space="preserve"> ADDIN EN.CITE &lt;EndNote&gt;&lt;Cite&gt;&lt;Author&gt;Bollerslev&lt;/Author&gt;&lt;Year&gt;2009&lt;/Year&gt;&lt;RecNum&gt;804&lt;/RecNum&gt;&lt;DisplayText&gt;Bollerslev&lt;style face="italic"&gt; et al.&lt;/style&gt; (2009)&lt;/DisplayText&gt;&lt;record&gt;&lt;rec-number&gt;804&lt;/rec-number&gt;&lt;foreign-keys&gt;&lt;key app="EN" db-id="szetpsas1ep5veesd5xvva5qdxwetsvpfs5x"&gt;804&lt;/key&gt;&lt;/foreign-keys&gt;&lt;ref-type name="Journal Article"&gt;17&lt;/ref-type&gt;&lt;contributors&gt;&lt;authors&gt;&lt;author&gt;Bollerslev, Tim&lt;/author&gt;&lt;author&gt;Kretschmer, Uta&lt;/author&gt;&lt;author&gt;Pigorsch, Christian&lt;/author&gt;&lt;author&gt;Tauchen, George&lt;/author&gt;&lt;/authors&gt;&lt;/contributors&gt;&lt;titles&gt;&lt;title&gt;A discrete-time model for daily S&amp;amp;P 500 returns and realized variations: Jumps and leverage effects&lt;/title&gt;&lt;secondary-title&gt;Journal of Econometrics&lt;/secondary-title&gt;&lt;/titles&gt;&lt;periodical&gt;&lt;full-title&gt;Journal of Econometrics&lt;/full-title&gt;&lt;/periodical&gt;&lt;pages&gt;151-166&lt;/pages&gt;&lt;volume&gt;150&lt;/volume&gt;&lt;number&gt;2&lt;/number&gt;&lt;dates&gt;&lt;year&gt;2009&lt;/year&gt;&lt;/dates&gt;&lt;isbn&gt;0304-4076&lt;/isbn&gt;&lt;urls&gt;&lt;/urls&gt;&lt;/record&gt;&lt;/Cite&gt;&lt;/EndNote&gt;</w:instrText>
      </w:r>
      <w:r w:rsidR="00ED311F">
        <w:rPr>
          <w:rFonts w:cs="Times New Roman"/>
        </w:rPr>
        <w:fldChar w:fldCharType="separate"/>
      </w:r>
      <w:hyperlink w:anchor="_ENREF_7" w:tooltip="Bollerslev, 2009 #804" w:history="1">
        <w:r w:rsidR="00C419D5">
          <w:rPr>
            <w:rFonts w:cs="Times New Roman"/>
            <w:noProof/>
          </w:rPr>
          <w:t>Bollerslev</w:t>
        </w:r>
        <w:r w:rsidR="00C419D5" w:rsidRPr="00C419D5">
          <w:rPr>
            <w:rFonts w:cs="Times New Roman"/>
            <w:i/>
            <w:noProof/>
          </w:rPr>
          <w:t xml:space="preserve"> et al.</w:t>
        </w:r>
        <w:r w:rsidR="00C419D5">
          <w:rPr>
            <w:rFonts w:cs="Times New Roman"/>
            <w:noProof/>
          </w:rPr>
          <w:t xml:space="preserve"> (2009</w:t>
        </w:r>
      </w:hyperlink>
      <w:r w:rsidR="00C419D5">
        <w:rPr>
          <w:rFonts w:cs="Times New Roman"/>
          <w:noProof/>
        </w:rPr>
        <w:t>)</w:t>
      </w:r>
      <w:r w:rsidR="00ED311F">
        <w:rPr>
          <w:rFonts w:cs="Times New Roman"/>
        </w:rPr>
        <w:fldChar w:fldCharType="end"/>
      </w:r>
      <w:r w:rsidR="00C92B89" w:rsidRPr="006C2756">
        <w:rPr>
          <w:rFonts w:cs="Times New Roman"/>
        </w:rPr>
        <w:t>,</w:t>
      </w:r>
      <w:r w:rsidR="00C92B89">
        <w:rPr>
          <w:rFonts w:cs="Times New Roman"/>
        </w:rPr>
        <w:t xml:space="preserve"> </w:t>
      </w:r>
      <w:r w:rsidR="00ED311F">
        <w:rPr>
          <w:rFonts w:cs="Times New Roman"/>
        </w:rPr>
        <w:fldChar w:fldCharType="begin"/>
      </w:r>
      <w:r w:rsidR="00C419D5">
        <w:rPr>
          <w:rFonts w:cs="Times New Roman"/>
        </w:rPr>
        <w:instrText xml:space="preserve"> ADDIN EN.CITE &lt;EndNote&gt;&lt;Cite&gt;&lt;Author&gt;Corsi&lt;/Author&gt;&lt;Year&gt;2008&lt;/Year&gt;&lt;RecNum&gt;806&lt;/RecNum&gt;&lt;DisplayText&gt;Corsi&lt;style face="italic"&gt; et al.&lt;/style&gt; (2008)&lt;/DisplayText&gt;&lt;record&gt;&lt;rec-number&gt;806&lt;/rec-number&gt;&lt;foreign-keys&gt;&lt;key app="EN" db-id="szetpsas1ep5veesd5xvva5qdxwetsvpfs5x"&gt;806&lt;/key&gt;&lt;/foreign-keys&gt;&lt;ref-type name="Journal Article"&gt;17&lt;/ref-type&gt;&lt;contributors&gt;&lt;authors&gt;&lt;author&gt;Corsi, Fulvio&lt;/author&gt;&lt;author&gt;Mittnik, Stefan&lt;/author&gt;&lt;author&gt;Pigorsch, Christian&lt;/author&gt;&lt;author&gt;Pigorsch, Uta&lt;/author&gt;&lt;/authors&gt;&lt;/contributors&gt;&lt;titles&gt;&lt;title&gt;The volatility of realized volatility&lt;/title&gt;&lt;secondary-title&gt;Econometric Reviews&lt;/secondary-title&gt;&lt;/titles&gt;&lt;periodical&gt;&lt;full-title&gt;Econometric Reviews&lt;/full-title&gt;&lt;/periodical&gt;&lt;pages&gt;46-78&lt;/pages&gt;&lt;volume&gt;27&lt;/volume&gt;&lt;number&gt;1-3&lt;/number&gt;&lt;dates&gt;&lt;year&gt;2008&lt;/year&gt;&lt;/dates&gt;&lt;isbn&gt;0747-4938&lt;/isbn&gt;&lt;urls&gt;&lt;/urls&gt;&lt;/record&gt;&lt;/Cite&gt;&lt;/EndNote&gt;</w:instrText>
      </w:r>
      <w:r w:rsidR="00ED311F">
        <w:rPr>
          <w:rFonts w:cs="Times New Roman"/>
        </w:rPr>
        <w:fldChar w:fldCharType="separate"/>
      </w:r>
      <w:hyperlink w:anchor="_ENREF_13" w:tooltip="Corsi, 2008 #806" w:history="1">
        <w:r w:rsidR="00C419D5">
          <w:rPr>
            <w:rFonts w:cs="Times New Roman"/>
            <w:noProof/>
          </w:rPr>
          <w:t>Corsi</w:t>
        </w:r>
        <w:r w:rsidR="00C419D5" w:rsidRPr="00C419D5">
          <w:rPr>
            <w:rFonts w:cs="Times New Roman"/>
            <w:i/>
            <w:noProof/>
          </w:rPr>
          <w:t xml:space="preserve"> et al.</w:t>
        </w:r>
        <w:r w:rsidR="00C419D5">
          <w:rPr>
            <w:rFonts w:cs="Times New Roman"/>
            <w:noProof/>
          </w:rPr>
          <w:t xml:space="preserve"> (2008</w:t>
        </w:r>
      </w:hyperlink>
      <w:r w:rsidR="00C419D5">
        <w:rPr>
          <w:rFonts w:cs="Times New Roman"/>
          <w:noProof/>
        </w:rPr>
        <w:t>)</w:t>
      </w:r>
      <w:r w:rsidR="00ED311F">
        <w:rPr>
          <w:rFonts w:cs="Times New Roman"/>
        </w:rPr>
        <w:fldChar w:fldCharType="end"/>
      </w:r>
      <w:r w:rsidR="00C92B89">
        <w:rPr>
          <w:rFonts w:cs="Times New Roman"/>
        </w:rPr>
        <w:t xml:space="preserve">, </w:t>
      </w:r>
      <w:r w:rsidR="00ED311F">
        <w:rPr>
          <w:rFonts w:cs="Times New Roman"/>
        </w:rPr>
        <w:fldChar w:fldCharType="begin"/>
      </w:r>
      <w:r w:rsidR="00C92B89">
        <w:rPr>
          <w:rFonts w:cs="Times New Roman"/>
        </w:rPr>
        <w:instrText xml:space="preserve"> ADDIN EN.CITE &lt;EndNote&gt;&lt;Cite&gt;&lt;Author&gt;Forsberg&lt;/Author&gt;&lt;Year&gt;2007&lt;/Year&gt;&lt;RecNum&gt;807&lt;/RecNum&gt;&lt;DisplayText&gt;Forsberg and Ghysels (2007)&lt;/DisplayText&gt;&lt;record&gt;&lt;rec-number&gt;807&lt;/rec-number&gt;&lt;foreign-keys&gt;&lt;key app="EN" db-id="szetpsas1ep5veesd5xvva5qdxwetsvpfs5x"&gt;807&lt;/key&gt;&lt;/foreign-keys&gt;&lt;ref-type name="Journal Article"&gt;17&lt;/ref-type&gt;&lt;contributors&gt;&lt;authors&gt;&lt;author&gt;Forsberg, Lars&lt;/author&gt;&lt;author&gt;Ghysels, Eric&lt;/author&gt;&lt;/authors&gt;&lt;/contributors&gt;&lt;titles&gt;&lt;title&gt;Why do absolute returns predict volatility so well?&lt;/title&gt;&lt;secondary-title&gt;Journal of Financial Econometrics&lt;/secondary-title&gt;&lt;/titles&gt;&lt;periodical&gt;&lt;full-title&gt;Journal of Financial Econometrics&lt;/full-title&gt;&lt;/periodical&gt;&lt;pages&gt;31-67&lt;/pages&gt;&lt;volume&gt;5&lt;/volume&gt;&lt;number&gt;1&lt;/number&gt;&lt;dates&gt;&lt;year&gt;2007&lt;/year&gt;&lt;/dates&gt;&lt;isbn&gt;1479-8409&lt;/isbn&gt;&lt;urls&gt;&lt;/urls&gt;&lt;/record&gt;&lt;/Cite&gt;&lt;/EndNote&gt;</w:instrText>
      </w:r>
      <w:r w:rsidR="00ED311F">
        <w:rPr>
          <w:rFonts w:cs="Times New Roman"/>
        </w:rPr>
        <w:fldChar w:fldCharType="separate"/>
      </w:r>
      <w:hyperlink w:anchor="_ENREF_18" w:tooltip="Forsberg, 2007 #807" w:history="1">
        <w:r w:rsidR="00C419D5">
          <w:rPr>
            <w:rFonts w:cs="Times New Roman"/>
            <w:noProof/>
          </w:rPr>
          <w:t>Forsberg and Ghysels (2007</w:t>
        </w:r>
      </w:hyperlink>
      <w:r w:rsidR="00C92B89">
        <w:rPr>
          <w:rFonts w:cs="Times New Roman"/>
          <w:noProof/>
        </w:rPr>
        <w:t>)</w:t>
      </w:r>
      <w:r w:rsidR="00ED311F">
        <w:rPr>
          <w:rFonts w:cs="Times New Roman"/>
        </w:rPr>
        <w:fldChar w:fldCharType="end"/>
      </w:r>
      <w:r w:rsidR="00C92B89">
        <w:rPr>
          <w:rFonts w:cs="Times New Roman"/>
        </w:rPr>
        <w:t xml:space="preserve"> </w:t>
      </w:r>
      <w:r w:rsidR="00C92B89" w:rsidRPr="006C2756">
        <w:rPr>
          <w:rFonts w:cs="Times New Roman"/>
        </w:rPr>
        <w:t xml:space="preserve">and </w:t>
      </w:r>
      <w:r w:rsidR="00ED311F">
        <w:rPr>
          <w:rFonts w:cs="Times New Roman"/>
        </w:rPr>
        <w:fldChar w:fldCharType="begin"/>
      </w:r>
      <w:r w:rsidR="00C92B89">
        <w:rPr>
          <w:rFonts w:cs="Times New Roman"/>
        </w:rPr>
        <w:instrText xml:space="preserve"> ADDIN EN.CITE &lt;EndNote&gt;&lt;Cite&gt;&lt;Author&gt;Maheu&lt;/Author&gt;&lt;Year&gt;2011&lt;/Year&gt;&lt;RecNum&gt;808&lt;/RecNum&gt;&lt;DisplayText&gt;Maheu and McCurdy (2011)&lt;/DisplayText&gt;&lt;record&gt;&lt;rec-number&gt;808&lt;/rec-number&gt;&lt;foreign-keys&gt;&lt;key app="EN" db-id="szetpsas1ep5veesd5xvva5qdxwetsvpfs5x"&gt;808&lt;/key&gt;&lt;/foreign-keys&gt;&lt;ref-type name="Journal Article"&gt;17&lt;/ref-type&gt;&lt;contributors&gt;&lt;authors&gt;&lt;author&gt;Maheu, John M&lt;/author&gt;&lt;author&gt;McCurdy, Thomas H&lt;/author&gt;&lt;/authors&gt;&lt;/contributors&gt;&lt;titles&gt;&lt;title&gt;Do high-frequency measures of volatility improve forecasts of return distributions?&lt;/title&gt;&lt;secondary-title&gt;Journal of Econometrics&lt;/secondary-title&gt;&lt;/titles&gt;&lt;periodical&gt;&lt;full-title&gt;Journal of Econometrics&lt;/full-title&gt;&lt;/periodical&gt;&lt;pages&gt;69-76&lt;/pages&gt;&lt;volume&gt;160&lt;/volume&gt;&lt;number&gt;1&lt;/number&gt;&lt;dates&gt;&lt;year&gt;2011&lt;/year&gt;&lt;/dates&gt;&lt;isbn&gt;0304-4076&lt;/isbn&gt;&lt;urls&gt;&lt;/urls&gt;&lt;/record&gt;&lt;/Cite&gt;&lt;/EndNote&gt;</w:instrText>
      </w:r>
      <w:r w:rsidR="00ED311F">
        <w:rPr>
          <w:rFonts w:cs="Times New Roman"/>
        </w:rPr>
        <w:fldChar w:fldCharType="separate"/>
      </w:r>
      <w:hyperlink w:anchor="_ENREF_31" w:tooltip="Maheu, 2011 #808" w:history="1">
        <w:r w:rsidR="00C419D5">
          <w:rPr>
            <w:rFonts w:cs="Times New Roman"/>
            <w:noProof/>
          </w:rPr>
          <w:t>Maheu and McCurdy (2011</w:t>
        </w:r>
      </w:hyperlink>
      <w:r w:rsidR="00C92B89">
        <w:rPr>
          <w:rFonts w:cs="Times New Roman"/>
          <w:noProof/>
        </w:rPr>
        <w:t>)</w:t>
      </w:r>
      <w:r w:rsidR="00ED311F">
        <w:rPr>
          <w:rFonts w:cs="Times New Roman"/>
        </w:rPr>
        <w:fldChar w:fldCharType="end"/>
      </w:r>
      <w:r w:rsidR="00C92B89">
        <w:rPr>
          <w:rFonts w:cs="Times New Roman"/>
        </w:rPr>
        <w:t>)</w:t>
      </w:r>
      <w:r w:rsidR="00C92B89" w:rsidRPr="006C2756">
        <w:rPr>
          <w:rFonts w:cs="Times New Roman"/>
        </w:rPr>
        <w:t>.</w:t>
      </w:r>
      <w:r w:rsidR="001A282B">
        <w:rPr>
          <w:rFonts w:eastAsia="Times New Roman" w:cs="Times New Roman"/>
          <w:szCs w:val="20"/>
          <w:lang w:val="en-US"/>
        </w:rPr>
        <w:t xml:space="preserve"> </w:t>
      </w:r>
      <w:r w:rsidR="006A3341">
        <w:rPr>
          <w:rFonts w:eastAsia="Times New Roman" w:cs="Times New Roman"/>
          <w:szCs w:val="20"/>
          <w:lang w:val="en-US"/>
        </w:rPr>
        <w:t>The log</w:t>
      </w:r>
      <w:r w:rsidR="008F1F28">
        <w:rPr>
          <w:rFonts w:eastAsia="Times New Roman" w:cs="Times New Roman"/>
          <w:szCs w:val="20"/>
          <w:lang w:val="en-US"/>
        </w:rPr>
        <w:t xml:space="preserve"> transformation allows the dependent variable to be positive or negative. </w:t>
      </w:r>
      <w:r w:rsidR="00714722">
        <w:rPr>
          <w:rFonts w:eastAsia="Times New Roman" w:cs="Times New Roman"/>
          <w:szCs w:val="20"/>
          <w:lang w:val="en-US"/>
        </w:rPr>
        <w:t xml:space="preserve">The coefficients </w:t>
      </w:r>
      <w:r w:rsidR="00714722">
        <w:rPr>
          <w:rFonts w:eastAsia="Times New Roman" w:cs="Times New Roman"/>
          <w:szCs w:val="24"/>
          <w:lang w:val="en-US"/>
        </w:rPr>
        <w:t>β</w:t>
      </w:r>
      <w:r w:rsidR="00714722">
        <w:rPr>
          <w:rFonts w:eastAsia="Times New Roman" w:cs="Times New Roman"/>
          <w:szCs w:val="24"/>
          <w:vertAlign w:val="subscript"/>
          <w:lang w:val="en-US"/>
        </w:rPr>
        <w:t>W</w:t>
      </w:r>
      <w:r w:rsidR="00714722">
        <w:rPr>
          <w:rFonts w:eastAsia="Times New Roman" w:cs="Times New Roman"/>
          <w:szCs w:val="24"/>
          <w:lang w:val="en-US"/>
        </w:rPr>
        <w:t xml:space="preserve"> and β</w:t>
      </w:r>
      <w:r w:rsidR="00714722">
        <w:rPr>
          <w:rFonts w:eastAsia="Times New Roman" w:cs="Times New Roman"/>
          <w:szCs w:val="24"/>
          <w:vertAlign w:val="subscript"/>
          <w:lang w:val="en-US"/>
        </w:rPr>
        <w:t>M</w:t>
      </w:r>
      <w:r w:rsidR="008F1F28">
        <w:rPr>
          <w:rFonts w:eastAsia="Times New Roman" w:cs="Times New Roman"/>
          <w:szCs w:val="20"/>
          <w:lang w:val="en-US"/>
        </w:rPr>
        <w:t xml:space="preserve"> </w:t>
      </w:r>
      <w:r w:rsidR="00714722">
        <w:rPr>
          <w:rFonts w:eastAsia="Times New Roman" w:cs="Times New Roman"/>
          <w:szCs w:val="20"/>
          <w:lang w:val="en-US"/>
        </w:rPr>
        <w:t xml:space="preserve">captures the long-run dependence of volatility.  </w:t>
      </w:r>
      <w:r w:rsidR="00A371F7">
        <w:rPr>
          <w:rFonts w:eastAsia="Times New Roman" w:cs="Times New Roman"/>
          <w:szCs w:val="20"/>
          <w:lang w:val="en-US"/>
        </w:rPr>
        <w:t>The short-run dependence, typically represented by the one-day lagged volatility</w:t>
      </w:r>
      <w:r w:rsidR="00533073">
        <w:rPr>
          <w:rFonts w:eastAsia="Times New Roman" w:cs="Times New Roman"/>
          <w:szCs w:val="20"/>
          <w:lang w:val="en-US"/>
        </w:rPr>
        <w:t xml:space="preserve"> lnV</w:t>
      </w:r>
      <w:r w:rsidR="00533073">
        <w:rPr>
          <w:rFonts w:eastAsia="Times New Roman" w:cs="Times New Roman"/>
          <w:szCs w:val="20"/>
          <w:vertAlign w:val="subscript"/>
          <w:lang w:val="en-US"/>
        </w:rPr>
        <w:t>i,t-1</w:t>
      </w:r>
      <w:r w:rsidR="00A371F7">
        <w:rPr>
          <w:rFonts w:eastAsia="Times New Roman" w:cs="Times New Roman"/>
          <w:szCs w:val="20"/>
          <w:lang w:val="en-US"/>
        </w:rPr>
        <w:t xml:space="preserve">, is represented here by the lagged volatilities in four different markets. </w:t>
      </w:r>
      <w:r w:rsidR="00EF7297">
        <w:rPr>
          <w:rFonts w:eastAsia="Times New Roman" w:cs="Times New Roman"/>
          <w:szCs w:val="20"/>
          <w:lang w:val="en-US"/>
        </w:rPr>
        <w:t>The coefficient β</w:t>
      </w:r>
      <w:r w:rsidR="00EF7297" w:rsidRPr="0054056C">
        <w:rPr>
          <w:rFonts w:eastAsia="Times New Roman" w:cs="Times New Roman"/>
          <w:i/>
          <w:szCs w:val="20"/>
          <w:vertAlign w:val="subscript"/>
          <w:lang w:val="en-US"/>
        </w:rPr>
        <w:t>i,j</w:t>
      </w:r>
      <w:r w:rsidR="00714722">
        <w:rPr>
          <w:rFonts w:eastAsia="Times New Roman" w:cs="Times New Roman"/>
          <w:szCs w:val="20"/>
          <w:lang w:val="en-US"/>
        </w:rPr>
        <w:t xml:space="preserve"> (</w:t>
      </w:r>
      <w:r w:rsidR="00ED311F" w:rsidRPr="00133D23">
        <w:rPr>
          <w:rFonts w:eastAsia="Times New Roman" w:cs="Times New Roman"/>
          <w:i/>
          <w:szCs w:val="20"/>
          <w:lang w:val="en-US"/>
        </w:rPr>
        <w:t>j</w:t>
      </w:r>
      <w:r w:rsidR="00714722">
        <w:rPr>
          <w:rFonts w:eastAsia="Times New Roman" w:cs="Times New Roman"/>
          <w:szCs w:val="20"/>
          <w:lang w:val="en-US"/>
        </w:rPr>
        <w:t xml:space="preserve"> = A, E, L and U)  </w:t>
      </w:r>
      <w:r w:rsidR="00EF7297">
        <w:rPr>
          <w:rFonts w:eastAsia="Times New Roman" w:cs="Times New Roman"/>
          <w:szCs w:val="20"/>
          <w:lang w:val="en-US"/>
        </w:rPr>
        <w:t xml:space="preserve">measures the </w:t>
      </w:r>
      <w:r w:rsidR="00714722">
        <w:rPr>
          <w:rFonts w:eastAsia="Times New Roman" w:cs="Times New Roman"/>
          <w:szCs w:val="20"/>
          <w:lang w:val="en-US"/>
        </w:rPr>
        <w:t xml:space="preserve">short-run </w:t>
      </w:r>
      <w:r w:rsidR="00EF7297">
        <w:rPr>
          <w:rFonts w:eastAsia="Times New Roman" w:cs="Times New Roman"/>
          <w:szCs w:val="20"/>
          <w:lang w:val="en-US"/>
        </w:rPr>
        <w:t xml:space="preserve">volatility spillover from market </w:t>
      </w:r>
      <w:r w:rsidR="00BC5246" w:rsidRPr="00BC5246">
        <w:rPr>
          <w:rFonts w:eastAsia="Times New Roman" w:cs="Times New Roman"/>
          <w:i/>
          <w:szCs w:val="20"/>
          <w:lang w:val="en-US"/>
        </w:rPr>
        <w:t>j</w:t>
      </w:r>
      <w:r w:rsidR="00EF7297">
        <w:rPr>
          <w:rFonts w:eastAsia="Times New Roman" w:cs="Times New Roman"/>
          <w:szCs w:val="20"/>
          <w:lang w:val="en-US"/>
        </w:rPr>
        <w:t xml:space="preserve"> to market </w:t>
      </w:r>
      <w:r w:rsidR="00BC5246" w:rsidRPr="00BC5246">
        <w:rPr>
          <w:rFonts w:eastAsia="Times New Roman" w:cs="Times New Roman"/>
          <w:i/>
          <w:szCs w:val="20"/>
          <w:lang w:val="en-US"/>
        </w:rPr>
        <w:t>i</w:t>
      </w:r>
      <w:r w:rsidR="00EF7297">
        <w:rPr>
          <w:rFonts w:eastAsia="Times New Roman" w:cs="Times New Roman"/>
          <w:szCs w:val="20"/>
          <w:lang w:val="en-US"/>
        </w:rPr>
        <w:t xml:space="preserve">. </w:t>
      </w:r>
      <w:r w:rsidR="000F6255">
        <w:rPr>
          <w:rFonts w:eastAsia="Times New Roman" w:cs="Times New Roman"/>
          <w:szCs w:val="20"/>
          <w:lang w:val="en-US"/>
        </w:rPr>
        <w:t xml:space="preserve">Note that the </w:t>
      </w:r>
      <w:r w:rsidR="00BC5246" w:rsidRPr="00BC5246">
        <w:rPr>
          <w:rFonts w:eastAsia="Times New Roman" w:cs="Times New Roman"/>
          <w:i/>
          <w:szCs w:val="20"/>
          <w:lang w:val="en-US"/>
        </w:rPr>
        <w:t>t</w:t>
      </w:r>
      <w:r w:rsidR="00BC5246" w:rsidRPr="005F0E13">
        <w:rPr>
          <w:rFonts w:eastAsia="Times New Roman" w:cs="Times New Roman"/>
          <w:szCs w:val="20"/>
          <w:lang w:val="en-US"/>
        </w:rPr>
        <w:t>-1</w:t>
      </w:r>
      <w:r w:rsidR="000F6255">
        <w:rPr>
          <w:rFonts w:eastAsia="Times New Roman" w:cs="Times New Roman"/>
          <w:szCs w:val="20"/>
          <w:lang w:val="en-US"/>
        </w:rPr>
        <w:t xml:space="preserve"> lag represents the </w:t>
      </w:r>
      <w:r w:rsidR="00596A62">
        <w:rPr>
          <w:rFonts w:eastAsia="Times New Roman" w:cs="Times New Roman"/>
          <w:szCs w:val="20"/>
          <w:lang w:val="en-US"/>
        </w:rPr>
        <w:t>market</w:t>
      </w:r>
      <w:r w:rsidR="000F6255">
        <w:rPr>
          <w:rFonts w:eastAsia="Times New Roman" w:cs="Times New Roman"/>
          <w:szCs w:val="20"/>
          <w:lang w:val="en-US"/>
        </w:rPr>
        <w:t xml:space="preserve"> immediately prior to market </w:t>
      </w:r>
      <w:r w:rsidR="000F6255" w:rsidRPr="000F6255">
        <w:rPr>
          <w:rFonts w:eastAsia="Times New Roman" w:cs="Times New Roman"/>
          <w:i/>
          <w:szCs w:val="20"/>
          <w:lang w:val="en-US"/>
        </w:rPr>
        <w:t>i</w:t>
      </w:r>
      <w:r w:rsidR="00714722">
        <w:rPr>
          <w:rFonts w:eastAsia="Times New Roman" w:cs="Times New Roman"/>
          <w:szCs w:val="20"/>
          <w:lang w:val="en-US"/>
        </w:rPr>
        <w:t xml:space="preserve">, which may be on the same day as market </w:t>
      </w:r>
      <w:r w:rsidR="00714722" w:rsidRPr="000B778F">
        <w:rPr>
          <w:rFonts w:eastAsia="Times New Roman" w:cs="Times New Roman"/>
          <w:i/>
          <w:szCs w:val="20"/>
          <w:lang w:val="en-US"/>
        </w:rPr>
        <w:t>i</w:t>
      </w:r>
      <w:r w:rsidR="00714722">
        <w:rPr>
          <w:rFonts w:eastAsia="Times New Roman" w:cs="Times New Roman"/>
          <w:szCs w:val="20"/>
          <w:lang w:val="en-US"/>
        </w:rPr>
        <w:t xml:space="preserve">. </w:t>
      </w:r>
      <w:r w:rsidR="000F6255">
        <w:rPr>
          <w:rFonts w:eastAsia="Times New Roman" w:cs="Times New Roman"/>
          <w:szCs w:val="20"/>
          <w:lang w:val="en-US"/>
        </w:rPr>
        <w:t xml:space="preserve">For example, </w:t>
      </w:r>
      <w:r w:rsidR="000E5C65">
        <w:rPr>
          <w:rFonts w:eastAsia="Times New Roman" w:cs="Times New Roman"/>
          <w:szCs w:val="20"/>
          <w:lang w:val="en-US"/>
        </w:rPr>
        <w:t xml:space="preserve">when </w:t>
      </w:r>
      <w:r w:rsidR="00ED311F" w:rsidRPr="00133D23">
        <w:rPr>
          <w:rFonts w:eastAsia="Times New Roman" w:cs="Times New Roman"/>
          <w:i/>
          <w:szCs w:val="20"/>
          <w:lang w:val="en-US"/>
        </w:rPr>
        <w:t>i</w:t>
      </w:r>
      <w:r w:rsidR="000E5C65">
        <w:rPr>
          <w:rFonts w:eastAsia="Times New Roman" w:cs="Times New Roman"/>
          <w:szCs w:val="20"/>
          <w:lang w:val="en-US"/>
        </w:rPr>
        <w:t xml:space="preserve"> = Asia, the first market to trade on day </w:t>
      </w:r>
      <w:r w:rsidR="000E5C65" w:rsidRPr="000B778F">
        <w:rPr>
          <w:rFonts w:eastAsia="Times New Roman" w:cs="Times New Roman"/>
          <w:i/>
          <w:szCs w:val="20"/>
          <w:lang w:val="en-US"/>
        </w:rPr>
        <w:t>t</w:t>
      </w:r>
      <w:r w:rsidR="000E5C65">
        <w:rPr>
          <w:rFonts w:eastAsia="Times New Roman" w:cs="Times New Roman"/>
          <w:szCs w:val="20"/>
          <w:lang w:val="en-US"/>
        </w:rPr>
        <w:t>, lnV</w:t>
      </w:r>
      <w:r w:rsidR="000E5C65">
        <w:rPr>
          <w:rFonts w:eastAsia="Times New Roman" w:cs="Times New Roman"/>
          <w:szCs w:val="20"/>
          <w:vertAlign w:val="subscript"/>
          <w:lang w:val="en-US"/>
        </w:rPr>
        <w:t>j,t-1</w:t>
      </w:r>
      <w:r w:rsidR="000E5C65">
        <w:rPr>
          <w:rFonts w:eastAsia="Times New Roman" w:cs="Times New Roman"/>
          <w:szCs w:val="20"/>
          <w:lang w:val="en-US"/>
        </w:rPr>
        <w:t xml:space="preserve"> (j = A, E, L and U) are all from the previous day </w:t>
      </w:r>
      <w:r w:rsidR="000E5C65" w:rsidRPr="000B778F">
        <w:rPr>
          <w:rFonts w:eastAsia="Times New Roman" w:cs="Times New Roman"/>
          <w:i/>
          <w:szCs w:val="20"/>
          <w:lang w:val="en-US"/>
        </w:rPr>
        <w:t>t</w:t>
      </w:r>
      <w:r w:rsidR="000E5C65">
        <w:rPr>
          <w:rFonts w:eastAsia="Times New Roman" w:cs="Times New Roman"/>
          <w:szCs w:val="20"/>
          <w:lang w:val="en-US"/>
        </w:rPr>
        <w:t xml:space="preserve">-1.  When </w:t>
      </w:r>
      <w:r w:rsidR="000E5C65" w:rsidRPr="000B778F">
        <w:rPr>
          <w:rFonts w:eastAsia="Times New Roman" w:cs="Times New Roman"/>
          <w:i/>
          <w:szCs w:val="20"/>
          <w:lang w:val="en-US"/>
        </w:rPr>
        <w:t>i</w:t>
      </w:r>
      <w:r w:rsidR="000E5C65">
        <w:rPr>
          <w:rFonts w:eastAsia="Times New Roman" w:cs="Times New Roman"/>
          <w:szCs w:val="20"/>
          <w:lang w:val="en-US"/>
        </w:rPr>
        <w:t xml:space="preserve"> = U.S., the last market to trade on day </w:t>
      </w:r>
      <w:r w:rsidR="000E5C65" w:rsidRPr="000B778F">
        <w:rPr>
          <w:rFonts w:eastAsia="Times New Roman" w:cs="Times New Roman"/>
          <w:i/>
          <w:szCs w:val="20"/>
          <w:lang w:val="en-US"/>
        </w:rPr>
        <w:t>t</w:t>
      </w:r>
      <w:r w:rsidR="000E5C65">
        <w:rPr>
          <w:rFonts w:eastAsia="Times New Roman" w:cs="Times New Roman"/>
          <w:szCs w:val="20"/>
          <w:lang w:val="en-US"/>
        </w:rPr>
        <w:t>, lnV</w:t>
      </w:r>
      <w:r w:rsidR="000E5C65">
        <w:rPr>
          <w:rFonts w:eastAsia="Times New Roman" w:cs="Times New Roman"/>
          <w:szCs w:val="20"/>
          <w:vertAlign w:val="subscript"/>
          <w:lang w:val="en-US"/>
        </w:rPr>
        <w:t>j,t-1</w:t>
      </w:r>
      <w:r w:rsidR="000E5C65">
        <w:rPr>
          <w:rFonts w:eastAsia="Times New Roman" w:cs="Times New Roman"/>
          <w:szCs w:val="20"/>
          <w:lang w:val="en-US"/>
        </w:rPr>
        <w:t xml:space="preserve"> (j = A, E, </w:t>
      </w:r>
      <w:r w:rsidR="00533073">
        <w:rPr>
          <w:rFonts w:eastAsia="Times New Roman" w:cs="Times New Roman"/>
          <w:szCs w:val="20"/>
          <w:lang w:val="en-US"/>
        </w:rPr>
        <w:t xml:space="preserve">and </w:t>
      </w:r>
      <w:r w:rsidR="000E5C65">
        <w:rPr>
          <w:rFonts w:eastAsia="Times New Roman" w:cs="Times New Roman"/>
          <w:szCs w:val="20"/>
          <w:lang w:val="en-US"/>
        </w:rPr>
        <w:t xml:space="preserve">L) are actually from the same day </w:t>
      </w:r>
      <w:r w:rsidR="000E5C65" w:rsidRPr="000B778F">
        <w:rPr>
          <w:rFonts w:eastAsia="Times New Roman" w:cs="Times New Roman"/>
          <w:i/>
          <w:szCs w:val="20"/>
          <w:lang w:val="en-US"/>
        </w:rPr>
        <w:t>t</w:t>
      </w:r>
      <w:r w:rsidR="00533073">
        <w:rPr>
          <w:rFonts w:eastAsia="Times New Roman" w:cs="Times New Roman"/>
          <w:szCs w:val="20"/>
          <w:lang w:val="en-US"/>
        </w:rPr>
        <w:t xml:space="preserve"> with only the lagged U.S. volatility from the previous day</w:t>
      </w:r>
      <w:r w:rsidR="000E5C65">
        <w:rPr>
          <w:rFonts w:eastAsia="Times New Roman" w:cs="Times New Roman"/>
          <w:szCs w:val="20"/>
          <w:lang w:val="en-US"/>
        </w:rPr>
        <w:t xml:space="preserve">.  When </w:t>
      </w:r>
      <w:r w:rsidR="000E5C65" w:rsidRPr="000B778F">
        <w:rPr>
          <w:rFonts w:eastAsia="Times New Roman" w:cs="Times New Roman"/>
          <w:i/>
          <w:szCs w:val="20"/>
          <w:lang w:val="en-US"/>
        </w:rPr>
        <w:t>i</w:t>
      </w:r>
      <w:r w:rsidR="000E5C65">
        <w:rPr>
          <w:rFonts w:eastAsia="Times New Roman" w:cs="Times New Roman"/>
          <w:szCs w:val="20"/>
          <w:lang w:val="en-US"/>
        </w:rPr>
        <w:t xml:space="preserve"> = Europe, lnV</w:t>
      </w:r>
      <w:r w:rsidR="000E5C65">
        <w:rPr>
          <w:rFonts w:eastAsia="Times New Roman" w:cs="Times New Roman"/>
          <w:szCs w:val="20"/>
          <w:vertAlign w:val="subscript"/>
          <w:lang w:val="en-US"/>
        </w:rPr>
        <w:t>A,t-1</w:t>
      </w:r>
      <w:r w:rsidR="000E5C65">
        <w:rPr>
          <w:rFonts w:eastAsia="Times New Roman" w:cs="Times New Roman"/>
          <w:szCs w:val="20"/>
          <w:lang w:val="en-US"/>
        </w:rPr>
        <w:t xml:space="preserve"> the log variance of Asia is from the same day (before Europe opens) but lnV</w:t>
      </w:r>
      <w:r w:rsidR="000E5C65">
        <w:rPr>
          <w:rFonts w:eastAsia="Times New Roman" w:cs="Times New Roman"/>
          <w:szCs w:val="20"/>
          <w:vertAlign w:val="subscript"/>
          <w:lang w:val="en-US"/>
        </w:rPr>
        <w:t>E,t-1</w:t>
      </w:r>
      <w:r w:rsidR="000E5C65">
        <w:rPr>
          <w:rFonts w:eastAsia="Times New Roman" w:cs="Times New Roman"/>
          <w:szCs w:val="20"/>
          <w:lang w:val="en-US"/>
        </w:rPr>
        <w:t>, lnV</w:t>
      </w:r>
      <w:r w:rsidR="000E5C65">
        <w:rPr>
          <w:rFonts w:eastAsia="Times New Roman" w:cs="Times New Roman"/>
          <w:szCs w:val="20"/>
          <w:vertAlign w:val="subscript"/>
          <w:lang w:val="en-US"/>
        </w:rPr>
        <w:t>L,t-1</w:t>
      </w:r>
      <w:r w:rsidR="000E5C65">
        <w:rPr>
          <w:rFonts w:eastAsia="Times New Roman" w:cs="Times New Roman"/>
          <w:szCs w:val="20"/>
          <w:lang w:val="en-US"/>
        </w:rPr>
        <w:t>, and lnV</w:t>
      </w:r>
      <w:r w:rsidR="000E5C65">
        <w:rPr>
          <w:rFonts w:eastAsia="Times New Roman" w:cs="Times New Roman"/>
          <w:szCs w:val="20"/>
          <w:vertAlign w:val="subscript"/>
          <w:lang w:val="en-US"/>
        </w:rPr>
        <w:t>U,t-1</w:t>
      </w:r>
      <w:r w:rsidR="000E5C65">
        <w:rPr>
          <w:rFonts w:eastAsia="Times New Roman" w:cs="Times New Roman"/>
          <w:szCs w:val="20"/>
          <w:lang w:val="en-US"/>
        </w:rPr>
        <w:t xml:space="preserve"> are all from the previous day.  </w:t>
      </w:r>
      <w:r w:rsidR="001C07B4">
        <w:rPr>
          <w:rFonts w:eastAsia="Times New Roman" w:cs="Times New Roman"/>
          <w:szCs w:val="20"/>
          <w:lang w:val="en-US"/>
        </w:rPr>
        <w:t xml:space="preserve">This model is used to measure short-run volatility spillover while taking into account the long memory in volatility.  </w:t>
      </w:r>
      <w:r w:rsidR="00E86FB0">
        <w:rPr>
          <w:rFonts w:eastAsia="Times New Roman" w:cs="Times New Roman"/>
          <w:szCs w:val="20"/>
          <w:lang w:val="en-US"/>
        </w:rPr>
        <w:t xml:space="preserve">The error term is assumed to be normally distributed and the model </w:t>
      </w:r>
      <w:r w:rsidR="00C432EE">
        <w:rPr>
          <w:rFonts w:eastAsia="Times New Roman" w:cs="Times New Roman"/>
          <w:szCs w:val="20"/>
          <w:lang w:val="en-US"/>
        </w:rPr>
        <w:t xml:space="preserve">is estimated via OLS as in previous studies. Statistical inferences are based on the Newey-West robust standard errors. </w:t>
      </w:r>
      <w:r w:rsidR="001C07B4">
        <w:rPr>
          <w:rFonts w:eastAsia="Times New Roman" w:cs="Times New Roman"/>
          <w:szCs w:val="20"/>
          <w:lang w:val="en-US"/>
        </w:rPr>
        <w:t xml:space="preserve">Figure 5 shows that when estimated using OTC gold TSRV, the model removes most but not all volatility dependence.  </w:t>
      </w:r>
    </w:p>
    <w:p w:rsidR="00ED311F" w:rsidRDefault="00AA2949" w:rsidP="00133D23">
      <w:pPr>
        <w:ind w:firstLine="0"/>
        <w:jc w:val="center"/>
        <w:rPr>
          <w:rFonts w:eastAsia="Times New Roman" w:cs="Times New Roman"/>
          <w:szCs w:val="24"/>
          <w:lang w:val="en-US"/>
        </w:rPr>
      </w:pPr>
      <w:r>
        <w:rPr>
          <w:rFonts w:eastAsia="Times New Roman" w:cs="Times New Roman"/>
          <w:szCs w:val="24"/>
          <w:lang w:val="en-US"/>
        </w:rPr>
        <w:t>[INSERT FIGURE 5 HERE]</w:t>
      </w:r>
    </w:p>
    <w:p w:rsidR="00944981" w:rsidRPr="00944981" w:rsidRDefault="00144947" w:rsidP="00944981">
      <w:pPr>
        <w:suppressAutoHyphens/>
        <w:ind w:firstLine="0"/>
        <w:rPr>
          <w:rFonts w:eastAsia="Times New Roman" w:cs="Times New Roman"/>
          <w:b/>
          <w:i/>
          <w:szCs w:val="20"/>
          <w:lang w:val="en-US"/>
        </w:rPr>
      </w:pPr>
      <w:r>
        <w:rPr>
          <w:rFonts w:eastAsia="Times New Roman" w:cs="Times New Roman"/>
          <w:b/>
          <w:i/>
          <w:szCs w:val="20"/>
          <w:lang w:val="en-US"/>
        </w:rPr>
        <w:t xml:space="preserve">Measuring </w:t>
      </w:r>
      <w:r w:rsidR="00944981" w:rsidRPr="00944981">
        <w:rPr>
          <w:rFonts w:eastAsia="Times New Roman" w:cs="Times New Roman"/>
          <w:b/>
          <w:i/>
          <w:szCs w:val="20"/>
          <w:lang w:val="en-US"/>
        </w:rPr>
        <w:t>Private Information Flow</w:t>
      </w:r>
      <w:r>
        <w:rPr>
          <w:rFonts w:eastAsia="Times New Roman" w:cs="Times New Roman"/>
          <w:b/>
          <w:i/>
          <w:szCs w:val="20"/>
          <w:lang w:val="en-US"/>
        </w:rPr>
        <w:t>s</w:t>
      </w:r>
    </w:p>
    <w:p w:rsidR="00977701" w:rsidRDefault="00D354CD" w:rsidP="001C07B4">
      <w:pPr>
        <w:suppressAutoHyphens/>
        <w:rPr>
          <w:rFonts w:eastAsia="Times New Roman" w:cs="Times New Roman"/>
          <w:szCs w:val="20"/>
          <w:lang w:val="en-US"/>
        </w:rPr>
      </w:pPr>
      <w:r w:rsidRPr="000F6255">
        <w:rPr>
          <w:rFonts w:eastAsia="Times New Roman" w:cs="Times New Roman"/>
          <w:szCs w:val="20"/>
          <w:lang w:val="en-US"/>
        </w:rPr>
        <w:lastRenderedPageBreak/>
        <w:t>We</w:t>
      </w:r>
      <w:r>
        <w:rPr>
          <w:rFonts w:eastAsia="Times New Roman" w:cs="Times New Roman"/>
          <w:szCs w:val="20"/>
          <w:lang w:val="en-US"/>
        </w:rPr>
        <w:t xml:space="preserve"> </w:t>
      </w:r>
      <w:r w:rsidR="001C07B4">
        <w:rPr>
          <w:rFonts w:eastAsia="Times New Roman" w:cs="Times New Roman"/>
          <w:szCs w:val="20"/>
          <w:lang w:val="en-US"/>
        </w:rPr>
        <w:t xml:space="preserve">amend the above model with </w:t>
      </w:r>
      <w:r>
        <w:rPr>
          <w:rFonts w:eastAsia="Times New Roman" w:cs="Times New Roman"/>
          <w:szCs w:val="20"/>
          <w:lang w:val="en-US"/>
        </w:rPr>
        <w:t xml:space="preserve">two order flow variables to capture the link between trading and volatility: </w:t>
      </w:r>
      <w:r w:rsidR="008056EF">
        <w:rPr>
          <w:rFonts w:eastAsia="Times New Roman" w:cs="Times New Roman"/>
          <w:szCs w:val="20"/>
          <w:lang w:val="en-US"/>
        </w:rPr>
        <w:t>the number of trades</w:t>
      </w:r>
      <w:r w:rsidR="001C07B4">
        <w:rPr>
          <w:rFonts w:eastAsia="Times New Roman" w:cs="Times New Roman"/>
          <w:szCs w:val="20"/>
          <w:lang w:val="en-US"/>
        </w:rPr>
        <w:t xml:space="preserve"> T</w:t>
      </w:r>
      <w:r w:rsidR="001C07B4" w:rsidRPr="0054056C">
        <w:rPr>
          <w:rFonts w:eastAsia="Times New Roman" w:cs="Times New Roman"/>
          <w:i/>
          <w:szCs w:val="20"/>
          <w:vertAlign w:val="subscript"/>
          <w:lang w:val="en-US"/>
        </w:rPr>
        <w:t>i,t</w:t>
      </w:r>
      <w:r w:rsidR="008056EF">
        <w:rPr>
          <w:rFonts w:eastAsia="Times New Roman" w:cs="Times New Roman"/>
          <w:szCs w:val="20"/>
          <w:lang w:val="en-US"/>
        </w:rPr>
        <w:t xml:space="preserve"> </w:t>
      </w:r>
      <w:r w:rsidR="001C07B4">
        <w:rPr>
          <w:rFonts w:eastAsia="Times New Roman" w:cs="Times New Roman"/>
          <w:szCs w:val="20"/>
          <w:lang w:val="en-US"/>
        </w:rPr>
        <w:t>and the order imbalance Z</w:t>
      </w:r>
      <w:r w:rsidR="001C07B4" w:rsidRPr="0054056C">
        <w:rPr>
          <w:rFonts w:eastAsia="Times New Roman" w:cs="Times New Roman"/>
          <w:i/>
          <w:szCs w:val="20"/>
          <w:vertAlign w:val="subscript"/>
          <w:lang w:val="en-US"/>
        </w:rPr>
        <w:t>i,t</w:t>
      </w:r>
      <w:r w:rsidR="001C07B4">
        <w:rPr>
          <w:rFonts w:eastAsia="Times New Roman" w:cs="Times New Roman"/>
          <w:szCs w:val="20"/>
          <w:lang w:val="en-US"/>
        </w:rPr>
        <w:t xml:space="preserve"> </w:t>
      </w:r>
      <w:r w:rsidR="008056EF">
        <w:rPr>
          <w:rFonts w:eastAsia="Times New Roman" w:cs="Times New Roman"/>
          <w:szCs w:val="20"/>
          <w:lang w:val="en-US"/>
        </w:rPr>
        <w:t xml:space="preserve">in market </w:t>
      </w:r>
      <w:r w:rsidR="008056EF" w:rsidRPr="005F0E13">
        <w:rPr>
          <w:rFonts w:eastAsia="Times New Roman" w:cs="Times New Roman"/>
          <w:i/>
          <w:szCs w:val="20"/>
          <w:lang w:val="en-US"/>
        </w:rPr>
        <w:t>i</w:t>
      </w:r>
      <w:r w:rsidR="008056EF">
        <w:rPr>
          <w:rFonts w:eastAsia="Times New Roman" w:cs="Times New Roman"/>
          <w:szCs w:val="20"/>
          <w:lang w:val="en-US"/>
        </w:rPr>
        <w:t xml:space="preserve"> on day </w:t>
      </w:r>
      <w:r w:rsidR="008056EF" w:rsidRPr="005F0E13">
        <w:rPr>
          <w:rFonts w:eastAsia="Times New Roman" w:cs="Times New Roman"/>
          <w:i/>
          <w:szCs w:val="20"/>
          <w:lang w:val="en-US"/>
        </w:rPr>
        <w:t>t</w:t>
      </w:r>
      <w:r w:rsidR="008056EF">
        <w:rPr>
          <w:rFonts w:eastAsia="Times New Roman" w:cs="Times New Roman"/>
          <w:szCs w:val="20"/>
          <w:lang w:val="en-US"/>
        </w:rPr>
        <w:t xml:space="preserve">.  Both have been shown to be important determinants of </w:t>
      </w:r>
      <w:r w:rsidR="00BE73AA">
        <w:rPr>
          <w:rFonts w:eastAsia="Times New Roman" w:cs="Times New Roman"/>
          <w:szCs w:val="20"/>
          <w:lang w:val="en-US"/>
        </w:rPr>
        <w:t xml:space="preserve">daily </w:t>
      </w:r>
      <w:r w:rsidR="008056EF">
        <w:rPr>
          <w:rFonts w:eastAsia="Times New Roman" w:cs="Times New Roman"/>
          <w:szCs w:val="20"/>
          <w:lang w:val="en-US"/>
        </w:rPr>
        <w:t xml:space="preserve">volatility, e.g.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&lt;EndNote&gt;&lt;Cite&gt;&lt;Author&gt;Chan&lt;/Author&gt;&lt;Year&gt;2000&lt;/Year&gt;&lt;RecNum&gt;800&lt;/RecNum&gt;&lt;DisplayText&gt;Chan and Fong (2000)&lt;/DisplayText&gt;&lt;record&gt;&lt;rec-number&gt;800&lt;/rec-number&gt;&lt;foreign-keys&gt;&lt;key app="EN" db-id="szetpsas1ep5veesd5xvva5qdxwetsvpfs5x"&gt;800&lt;/key&gt;&lt;/foreign-keys&gt;&lt;ref-type name="Journal Article"&gt;17&lt;/ref-type&gt;&lt;contributors&gt;&lt;authors&gt;&lt;author&gt;Chan, Kalok&lt;/author&gt;&lt;author&gt;Fong, Wai-Ming&lt;/author&gt;&lt;/authors&gt;&lt;/contributors&gt;&lt;titles&gt;&lt;title&gt;Trade size, order imbalance, and the volatility–volume relation&lt;/title&gt;&lt;secondary-title&gt;Journal of Financial Economics&lt;/secondary-title&gt;&lt;/titles&gt;&lt;periodical&gt;&lt;full-title&gt;Journal of Financial Economics&lt;/full-title&gt;&lt;/periodical&gt;&lt;pages&gt;247-273&lt;/pages&gt;&lt;volume&gt;57&lt;/volume&gt;&lt;number&gt;2&lt;/number&gt;&lt;dates&gt;&lt;year&gt;2000&lt;/year&gt;&lt;/dates&gt;&lt;isbn&gt;0304-405X&lt;/isbn&gt;&lt;urls&gt;&lt;/urls&gt;&lt;/record&gt;&lt;/Cite&gt;&lt;/EndNote&gt;</w:instrText>
      </w:r>
      <w:r w:rsidR="00ED311F">
        <w:rPr>
          <w:rFonts w:eastAsia="Times New Roman" w:cs="Times New Roman"/>
          <w:szCs w:val="20"/>
          <w:lang w:val="en-US"/>
        </w:rPr>
        <w:fldChar w:fldCharType="separate"/>
      </w:r>
      <w:hyperlink w:anchor="_ENREF_10" w:tooltip="Chan, 2000 #800" w:history="1">
        <w:r w:rsidR="00C419D5">
          <w:rPr>
            <w:rFonts w:eastAsia="Times New Roman" w:cs="Times New Roman"/>
            <w:noProof/>
            <w:szCs w:val="20"/>
            <w:lang w:val="en-US"/>
          </w:rPr>
          <w:t>Chan and Fong (2000</w:t>
        </w:r>
      </w:hyperlink>
      <w:r w:rsidR="00F60E9A">
        <w:rPr>
          <w:rFonts w:eastAsia="Times New Roman" w:cs="Times New Roman"/>
          <w:noProof/>
          <w:szCs w:val="20"/>
          <w:lang w:val="en-US"/>
        </w:rPr>
        <w:t>)</w:t>
      </w:r>
      <w:r w:rsidR="00ED311F">
        <w:rPr>
          <w:rFonts w:eastAsia="Times New Roman" w:cs="Times New Roman"/>
          <w:szCs w:val="20"/>
          <w:lang w:val="en-US"/>
        </w:rPr>
        <w:fldChar w:fldCharType="end"/>
      </w:r>
      <w:r w:rsidR="008056EF">
        <w:rPr>
          <w:rFonts w:eastAsia="Times New Roman" w:cs="Times New Roman"/>
          <w:szCs w:val="20"/>
          <w:lang w:val="en-US"/>
        </w:rPr>
        <w:t xml:space="preserve">.  </w:t>
      </w:r>
      <w:r w:rsidR="001C07B4">
        <w:rPr>
          <w:rFonts w:eastAsia="Times New Roman" w:cs="Times New Roman"/>
          <w:szCs w:val="20"/>
          <w:lang w:val="en-US"/>
        </w:rPr>
        <w:t xml:space="preserve">As demonstrated by Berger et al (2009) for the foreign exchange market, order flows play a significant role in determining volatility long memory. </w:t>
      </w:r>
      <w:r w:rsidR="00040019">
        <w:rPr>
          <w:rFonts w:eastAsia="Times New Roman" w:cs="Times New Roman"/>
          <w:szCs w:val="20"/>
          <w:lang w:val="en-US"/>
        </w:rPr>
        <w:t xml:space="preserve">Therefore adding these variables should help remove the remaining autocorrelation from the residuals.  </w:t>
      </w:r>
      <w:r w:rsidR="00BE73AA">
        <w:rPr>
          <w:rFonts w:eastAsia="Times New Roman" w:cs="Times New Roman"/>
          <w:szCs w:val="20"/>
          <w:lang w:val="en-US"/>
        </w:rPr>
        <w:t xml:space="preserve">More importantly </w:t>
      </w:r>
      <w:r w:rsidR="00CC22FF">
        <w:rPr>
          <w:rFonts w:eastAsia="Times New Roman" w:cs="Times New Roman"/>
          <w:szCs w:val="20"/>
          <w:lang w:val="en-US"/>
        </w:rPr>
        <w:t xml:space="preserve">order flow is </w:t>
      </w:r>
      <w:r w:rsidR="00BE73AA">
        <w:rPr>
          <w:rFonts w:eastAsia="Times New Roman" w:cs="Times New Roman"/>
          <w:szCs w:val="20"/>
          <w:lang w:val="en-US"/>
        </w:rPr>
        <w:t>the main channel through which investors’ private information is incorporated into the observed prices</w:t>
      </w:r>
      <w:r w:rsidR="00CC22FF">
        <w:rPr>
          <w:rFonts w:eastAsia="Times New Roman" w:cs="Times New Roman"/>
          <w:szCs w:val="20"/>
          <w:lang w:val="en-US"/>
        </w:rPr>
        <w:t xml:space="preserve"> (see studies cited in footnote 4)</w:t>
      </w:r>
      <w:r w:rsidR="00BE73AA">
        <w:rPr>
          <w:rFonts w:eastAsia="Times New Roman" w:cs="Times New Roman"/>
          <w:szCs w:val="20"/>
          <w:lang w:val="en-US"/>
        </w:rPr>
        <w:t xml:space="preserve">.  </w:t>
      </w:r>
      <w:r w:rsidR="000162FA">
        <w:rPr>
          <w:rFonts w:eastAsia="Times New Roman" w:cs="Times New Roman"/>
          <w:szCs w:val="20"/>
          <w:lang w:val="en-US"/>
        </w:rPr>
        <w:t>W</w:t>
      </w:r>
      <w:r w:rsidR="00BE73AA">
        <w:rPr>
          <w:rFonts w:eastAsia="Times New Roman" w:cs="Times New Roman"/>
          <w:szCs w:val="20"/>
          <w:lang w:val="en-US"/>
        </w:rPr>
        <w:t xml:space="preserve">e use the impact of </w:t>
      </w:r>
      <w:r w:rsidR="000162FA">
        <w:rPr>
          <w:rFonts w:eastAsia="Times New Roman" w:cs="Times New Roman"/>
          <w:szCs w:val="20"/>
          <w:lang w:val="en-US"/>
        </w:rPr>
        <w:t xml:space="preserve">unexpected </w:t>
      </w:r>
      <w:r w:rsidR="00BE73AA">
        <w:rPr>
          <w:rFonts w:eastAsia="Times New Roman" w:cs="Times New Roman"/>
          <w:szCs w:val="20"/>
          <w:lang w:val="en-US"/>
        </w:rPr>
        <w:t xml:space="preserve">order flows on </w:t>
      </w:r>
      <w:r w:rsidR="000162FA">
        <w:rPr>
          <w:rFonts w:eastAsia="Times New Roman" w:cs="Times New Roman"/>
          <w:szCs w:val="20"/>
          <w:lang w:val="en-US"/>
        </w:rPr>
        <w:t>TSRV</w:t>
      </w:r>
      <w:r w:rsidR="00BE73AA">
        <w:rPr>
          <w:rFonts w:eastAsia="Times New Roman" w:cs="Times New Roman"/>
          <w:szCs w:val="20"/>
          <w:lang w:val="en-US"/>
        </w:rPr>
        <w:t xml:space="preserve"> to measure the </w:t>
      </w:r>
      <w:r w:rsidR="000162FA">
        <w:rPr>
          <w:rFonts w:eastAsia="Times New Roman" w:cs="Times New Roman"/>
          <w:szCs w:val="20"/>
          <w:lang w:val="en-US"/>
        </w:rPr>
        <w:t xml:space="preserve">amount of private information present in the order flow variables.  </w:t>
      </w:r>
      <w:r w:rsidR="00D64133">
        <w:rPr>
          <w:rFonts w:eastAsia="Times New Roman" w:cs="Times New Roman"/>
          <w:szCs w:val="20"/>
          <w:lang w:val="en-US"/>
        </w:rPr>
        <w:t>Following</w:t>
      </w:r>
      <w:r w:rsidR="00F60E9A">
        <w:rPr>
          <w:rFonts w:eastAsia="Times New Roman" w:cs="Times New Roman"/>
          <w:szCs w:val="20"/>
          <w:lang w:val="en-US"/>
        </w:rPr>
        <w:t xml:space="preserve"> </w:t>
      </w:r>
      <w:r w:rsidR="00ED311F">
        <w:rPr>
          <w:rFonts w:eastAsia="Times New Roman" w:cs="Times New Roman"/>
          <w:szCs w:val="20"/>
          <w:lang w:val="en-US"/>
        </w:rPr>
        <w:fldChar w:fldCharType="begin"/>
      </w:r>
      <w:r w:rsidR="00BC3C36">
        <w:rPr>
          <w:rFonts w:eastAsia="Times New Roman" w:cs="Times New Roman"/>
          <w:szCs w:val="20"/>
          <w:lang w:val="en-US"/>
        </w:rPr>
        <w:instrText xml:space="preserve"> ADDIN EN.CITE &lt;EndNote&gt;&lt;Cite&gt;&lt;Author&gt;Bessembinder&lt;/Author&gt;&lt;Year&gt;1993&lt;/Year&gt;&lt;RecNum&gt;801&lt;/RecNum&gt;&lt;DisplayText&gt;Bessembinder and Seguin (1993)&lt;/DisplayText&gt;&lt;record&gt;&lt;rec-number&gt;801&lt;/rec-number&gt;&lt;foreign-keys&gt;&lt;key app="EN" db-id="szetpsas1ep5veesd5xvva5qdxwetsvpfs5x"&gt;801&lt;/key&gt;&lt;/foreign-keys&gt;&lt;ref-type name="Journal Article"&gt;17&lt;/ref-type&gt;&lt;contributors&gt;&lt;authors&gt;&lt;author&gt;Bessembinder, Hendrik&lt;/author&gt;&lt;author&gt;Seguin, Paul J&lt;/author&gt;&lt;/authors&gt;&lt;/contributors&gt;&lt;titles&gt;&lt;title&gt;Price volatility, trading volume, and market depth: Evidence from futures markets&lt;/title&gt;&lt;secondary-title&gt;Journal of Financial and Quantitative Analysis&lt;/secondary-title&gt;&lt;/titles&gt;&lt;periodical&gt;&lt;full-title&gt;Journal of Financial and Quantitative Analysis&lt;/full-title&gt;&lt;/periodical&gt;&lt;pages&gt;21-39&lt;/pages&gt;&lt;volume&gt;28&lt;/volume&gt;&lt;number&gt;01&lt;/number&gt;&lt;dates&gt;&lt;year&gt;1993&lt;/year&gt;&lt;/dates&gt;&lt;isbn&gt;1756-6916&lt;/isbn&gt;&lt;urls&gt;&lt;/urls&gt;&lt;/record&gt;&lt;/Cite&gt;&lt;/EndNote&gt;</w:instrText>
      </w:r>
      <w:r w:rsidR="00ED311F">
        <w:rPr>
          <w:rFonts w:eastAsia="Times New Roman" w:cs="Times New Roman"/>
          <w:szCs w:val="20"/>
          <w:lang w:val="en-US"/>
        </w:rPr>
        <w:fldChar w:fldCharType="separate"/>
      </w:r>
      <w:hyperlink w:anchor="_ENREF_6" w:tooltip="Bessembinder, 1993 #801" w:history="1">
        <w:r w:rsidR="00C419D5">
          <w:rPr>
            <w:rFonts w:eastAsia="Times New Roman" w:cs="Times New Roman"/>
            <w:noProof/>
            <w:szCs w:val="20"/>
            <w:lang w:val="en-US"/>
          </w:rPr>
          <w:t>Bessembinder and Seguin (1993</w:t>
        </w:r>
      </w:hyperlink>
      <w:r w:rsidR="00F60E9A">
        <w:rPr>
          <w:rFonts w:eastAsia="Times New Roman" w:cs="Times New Roman"/>
          <w:noProof/>
          <w:szCs w:val="20"/>
          <w:lang w:val="en-US"/>
        </w:rPr>
        <w:t>)</w:t>
      </w:r>
      <w:r w:rsidR="00ED311F">
        <w:rPr>
          <w:rFonts w:eastAsia="Times New Roman" w:cs="Times New Roman"/>
          <w:szCs w:val="20"/>
          <w:lang w:val="en-US"/>
        </w:rPr>
        <w:fldChar w:fldCharType="end"/>
      </w:r>
      <w:r w:rsidR="00D64133">
        <w:rPr>
          <w:rFonts w:eastAsia="Times New Roman" w:cs="Times New Roman"/>
          <w:szCs w:val="20"/>
          <w:lang w:val="en-US"/>
        </w:rPr>
        <w:t>, b</w:t>
      </w:r>
      <w:r w:rsidR="006C0D91">
        <w:rPr>
          <w:rFonts w:eastAsia="Times New Roman" w:cs="Times New Roman"/>
          <w:szCs w:val="20"/>
          <w:lang w:val="en-US"/>
        </w:rPr>
        <w:t xml:space="preserve">oth </w:t>
      </w:r>
      <w:r w:rsidR="000162FA">
        <w:rPr>
          <w:rFonts w:eastAsia="Times New Roman" w:cs="Times New Roman"/>
          <w:szCs w:val="20"/>
          <w:lang w:val="en-US"/>
        </w:rPr>
        <w:t>T</w:t>
      </w:r>
      <w:r w:rsidR="000162FA" w:rsidRPr="0054056C">
        <w:rPr>
          <w:rFonts w:eastAsia="Times New Roman" w:cs="Times New Roman"/>
          <w:i/>
          <w:szCs w:val="20"/>
          <w:vertAlign w:val="subscript"/>
          <w:lang w:val="en-US"/>
        </w:rPr>
        <w:t>i,t</w:t>
      </w:r>
      <w:r w:rsidR="006C0D91">
        <w:rPr>
          <w:rFonts w:eastAsia="Times New Roman" w:cs="Times New Roman"/>
          <w:szCs w:val="20"/>
          <w:lang w:val="en-US"/>
        </w:rPr>
        <w:t xml:space="preserve"> </w:t>
      </w:r>
      <w:r w:rsidR="000162FA">
        <w:rPr>
          <w:rFonts w:eastAsia="Times New Roman" w:cs="Times New Roman"/>
          <w:szCs w:val="20"/>
          <w:lang w:val="en-US"/>
        </w:rPr>
        <w:t>and Z</w:t>
      </w:r>
      <w:r w:rsidR="000162FA" w:rsidRPr="0054056C">
        <w:rPr>
          <w:rFonts w:eastAsia="Times New Roman" w:cs="Times New Roman"/>
          <w:i/>
          <w:szCs w:val="20"/>
          <w:vertAlign w:val="subscript"/>
          <w:lang w:val="en-US"/>
        </w:rPr>
        <w:t>i,t</w:t>
      </w:r>
      <w:r w:rsidR="000162FA">
        <w:rPr>
          <w:rFonts w:eastAsia="Times New Roman" w:cs="Times New Roman"/>
          <w:szCs w:val="20"/>
          <w:lang w:val="en-US"/>
        </w:rPr>
        <w:t xml:space="preserve"> </w:t>
      </w:r>
      <w:r w:rsidR="00D64133">
        <w:rPr>
          <w:rFonts w:eastAsia="Times New Roman" w:cs="Times New Roman"/>
          <w:szCs w:val="20"/>
          <w:lang w:val="en-US"/>
        </w:rPr>
        <w:t>are modeled as an AR(</w:t>
      </w:r>
      <w:r w:rsidR="0004609E">
        <w:rPr>
          <w:rFonts w:eastAsia="Times New Roman" w:cs="Times New Roman"/>
          <w:szCs w:val="20"/>
          <w:lang w:val="en-US"/>
        </w:rPr>
        <w:t>5</w:t>
      </w:r>
      <w:r w:rsidR="00D64133">
        <w:rPr>
          <w:rFonts w:eastAsia="Times New Roman" w:cs="Times New Roman"/>
          <w:szCs w:val="20"/>
          <w:lang w:val="en-US"/>
        </w:rPr>
        <w:t>) process with the fitted AR(</w:t>
      </w:r>
      <w:r w:rsidR="0004609E">
        <w:rPr>
          <w:rFonts w:eastAsia="Times New Roman" w:cs="Times New Roman"/>
          <w:szCs w:val="20"/>
          <w:lang w:val="en-US"/>
        </w:rPr>
        <w:t>5</w:t>
      </w:r>
      <w:r w:rsidR="00D64133">
        <w:rPr>
          <w:rFonts w:eastAsia="Times New Roman" w:cs="Times New Roman"/>
          <w:szCs w:val="20"/>
          <w:lang w:val="en-US"/>
        </w:rPr>
        <w:t xml:space="preserve">) as the </w:t>
      </w:r>
      <w:r w:rsidR="006C0D91">
        <w:rPr>
          <w:rFonts w:eastAsia="Times New Roman" w:cs="Times New Roman"/>
          <w:szCs w:val="20"/>
          <w:lang w:val="en-US"/>
        </w:rPr>
        <w:t xml:space="preserve">expected </w:t>
      </w:r>
      <w:r w:rsidR="00D64133">
        <w:rPr>
          <w:rFonts w:eastAsia="Times New Roman" w:cs="Times New Roman"/>
          <w:szCs w:val="20"/>
          <w:lang w:val="en-US"/>
        </w:rPr>
        <w:t xml:space="preserve">value </w:t>
      </w:r>
      <w:r w:rsidR="006C0D91">
        <w:rPr>
          <w:rFonts w:eastAsia="Times New Roman" w:cs="Times New Roman"/>
          <w:szCs w:val="20"/>
          <w:lang w:val="en-US"/>
        </w:rPr>
        <w:t xml:space="preserve">and </w:t>
      </w:r>
      <w:r w:rsidR="00D64133">
        <w:rPr>
          <w:rFonts w:eastAsia="Times New Roman" w:cs="Times New Roman"/>
          <w:szCs w:val="20"/>
          <w:lang w:val="en-US"/>
        </w:rPr>
        <w:t xml:space="preserve">the residuals as the </w:t>
      </w:r>
      <w:r w:rsidR="006C0D91">
        <w:rPr>
          <w:rFonts w:eastAsia="Times New Roman" w:cs="Times New Roman"/>
          <w:szCs w:val="20"/>
          <w:lang w:val="en-US"/>
        </w:rPr>
        <w:t xml:space="preserve">surprise component. The expected component </w:t>
      </w:r>
      <w:r w:rsidR="000162FA">
        <w:rPr>
          <w:rFonts w:eastAsia="Times New Roman" w:cs="Times New Roman"/>
          <w:szCs w:val="20"/>
          <w:lang w:val="en-US"/>
        </w:rPr>
        <w:t>is assumed to be public knowledge</w:t>
      </w:r>
      <w:r w:rsidR="006C0D91">
        <w:rPr>
          <w:rFonts w:eastAsia="Times New Roman" w:cs="Times New Roman"/>
          <w:szCs w:val="20"/>
          <w:lang w:val="en-US"/>
        </w:rPr>
        <w:t xml:space="preserve">. </w:t>
      </w:r>
      <w:r w:rsidR="000162FA">
        <w:rPr>
          <w:rFonts w:eastAsia="Times New Roman" w:cs="Times New Roman"/>
          <w:szCs w:val="20"/>
          <w:lang w:val="en-US"/>
        </w:rPr>
        <w:t xml:space="preserve"> </w:t>
      </w:r>
      <w:r w:rsidR="00D64133">
        <w:rPr>
          <w:rFonts w:eastAsia="Times New Roman" w:cs="Times New Roman"/>
          <w:szCs w:val="20"/>
          <w:lang w:val="en-US"/>
        </w:rPr>
        <w:t xml:space="preserve">Any private information should impact volatility through the surprise component.  </w:t>
      </w:r>
      <w:r w:rsidR="00EB3A58">
        <w:rPr>
          <w:rFonts w:eastAsia="Times New Roman" w:cs="Times New Roman"/>
          <w:szCs w:val="20"/>
          <w:lang w:val="en-US"/>
        </w:rPr>
        <w:t xml:space="preserve">Let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oMath>
      <w:r w:rsidR="00EB3A58">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oMath>
      <w:r w:rsidR="00EB3A58">
        <w:rPr>
          <w:rFonts w:eastAsia="Times New Roman" w:cs="Times New Roman"/>
          <w:szCs w:val="20"/>
          <w:lang w:val="en-US"/>
        </w:rPr>
        <w:t xml:space="preserve"> be the expected components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EB3A58">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EB3A58">
        <w:rPr>
          <w:rFonts w:eastAsia="Times New Roman" w:cs="Times New Roman"/>
          <w:szCs w:val="20"/>
          <w:lang w:val="en-US"/>
        </w:rPr>
        <w:t xml:space="preserve"> be the unexpected components. The </w:t>
      </w:r>
      <w:r w:rsidR="00886001">
        <w:rPr>
          <w:rFonts w:eastAsia="Times New Roman" w:cs="Times New Roman"/>
          <w:szCs w:val="20"/>
          <w:lang w:val="en-US"/>
        </w:rPr>
        <w:t xml:space="preserve">amended </w:t>
      </w:r>
      <w:r w:rsidR="00EB3A58">
        <w:rPr>
          <w:rFonts w:eastAsia="Times New Roman" w:cs="Times New Roman"/>
          <w:szCs w:val="20"/>
          <w:lang w:val="en-US"/>
        </w:rPr>
        <w:t>model for TSRV is given by</w:t>
      </w:r>
      <w:r w:rsidR="00977701">
        <w:rPr>
          <w:rFonts w:eastAsia="Times New Roman" w:cs="Times New Roman"/>
          <w:szCs w:val="20"/>
          <w:lang w:val="en-US"/>
        </w:rPr>
        <w:t>:</w:t>
      </w:r>
    </w:p>
    <w:p w:rsidR="00886001" w:rsidRDefault="00886001" w:rsidP="00886001">
      <w:pPr>
        <w:suppressAutoHyphens/>
        <w:ind w:firstLine="0"/>
        <w:jc w:val="center"/>
        <w:rPr>
          <w:rFonts w:eastAsia="Times New Roman" w:cs="Times New Roman"/>
          <w:szCs w:val="24"/>
          <w:lang w:val="en-US"/>
        </w:rPr>
      </w:pPr>
      <w:r>
        <w:rPr>
          <w:rFonts w:eastAsia="Times New Roman" w:cs="Times New Roman"/>
          <w:szCs w:val="24"/>
          <w:lang w:val="en-US"/>
        </w:rPr>
        <w:t>lnV</w:t>
      </w:r>
      <w:r>
        <w:rPr>
          <w:rFonts w:eastAsia="Times New Roman" w:cs="Times New Roman"/>
          <w:szCs w:val="24"/>
          <w:vertAlign w:val="subscript"/>
          <w:lang w:val="en-US"/>
        </w:rPr>
        <w:t>i</w:t>
      </w:r>
      <w:r w:rsidRPr="0054056C">
        <w:rPr>
          <w:rFonts w:eastAsia="Times New Roman" w:cs="Times New Roman"/>
          <w:i/>
          <w:szCs w:val="24"/>
          <w:vertAlign w:val="subscript"/>
          <w:lang w:val="en-US"/>
        </w:rPr>
        <w:t>,t</w:t>
      </w:r>
      <w:r w:rsidRPr="0054056C">
        <w:rPr>
          <w:rFonts w:eastAsia="Times New Roman" w:cs="Times New Roman"/>
          <w:i/>
          <w:szCs w:val="24"/>
          <w:lang w:val="en-US"/>
        </w:rPr>
        <w:t xml:space="preserve"> </w:t>
      </w:r>
      <w:r>
        <w:rPr>
          <w:rFonts w:eastAsia="Times New Roman" w:cs="Times New Roman"/>
          <w:szCs w:val="24"/>
          <w:lang w:val="en-US"/>
        </w:rPr>
        <w:t>= α</w:t>
      </w:r>
      <w:r>
        <w:rPr>
          <w:rFonts w:eastAsia="Times New Roman" w:cs="Times New Roman"/>
          <w:szCs w:val="24"/>
          <w:vertAlign w:val="subscript"/>
          <w:lang w:val="en-US"/>
        </w:rPr>
        <w:t>i</w:t>
      </w:r>
      <w:r>
        <w:rPr>
          <w:rFonts w:eastAsia="Times New Roman" w:cs="Times New Roman"/>
          <w:szCs w:val="24"/>
          <w:lang w:val="en-US"/>
        </w:rPr>
        <w:t xml:space="preserve"> + </w:t>
      </w:r>
      <m:oMath>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i,A</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A,t-1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i,E</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E,t-1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i,L</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L,t-1</m:t>
            </m:r>
          </m:sub>
        </m:sSub>
        <m:r>
          <w:rPr>
            <w:rFonts w:ascii="Cambria Math" w:eastAsia="Times New Roman" w:hAnsi="Cambria Math" w:cs="Times New Roman"/>
            <w:szCs w:val="24"/>
            <w:lang w:val="en-US"/>
          </w:rPr>
          <m:t>+</m:t>
        </m:r>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β</m:t>
            </m:r>
          </m:e>
          <m:sub>
            <m:r>
              <w:rPr>
                <w:rFonts w:ascii="Cambria Math" w:eastAsia="Times New Roman" w:hAnsi="Cambria Math" w:cs="Times New Roman"/>
                <w:szCs w:val="24"/>
                <w:lang w:val="en-US"/>
              </w:rPr>
              <m:t>i,U</m:t>
            </m:r>
          </m:sub>
        </m:sSub>
        <m:sSub>
          <m:sSubPr>
            <m:ctrlPr>
              <w:rPr>
                <w:rFonts w:ascii="Cambria Math" w:eastAsia="Times New Roman" w:hAnsi="Cambria Math" w:cs="Times New Roman"/>
                <w:szCs w:val="24"/>
                <w:lang w:val="en-US"/>
              </w:rPr>
            </m:ctrlPr>
          </m:sSubPr>
          <m:e>
            <m:r>
              <m:rPr>
                <m:sty m:val="p"/>
              </m:rPr>
              <w:rPr>
                <w:rFonts w:ascii="Cambria Math" w:eastAsia="Times New Roman" w:hAnsi="Cambria Math" w:cs="Times New Roman"/>
                <w:szCs w:val="24"/>
                <w:lang w:val="en-US"/>
              </w:rPr>
              <m:t>lnV</m:t>
            </m:r>
          </m:e>
          <m:sub>
            <m:r>
              <w:rPr>
                <w:rFonts w:ascii="Cambria Math" w:eastAsia="Times New Roman" w:hAnsi="Cambria Math" w:cs="Times New Roman"/>
                <w:szCs w:val="24"/>
                <w:lang w:val="en-US"/>
              </w:rPr>
              <m:t>U,t-1</m:t>
            </m:r>
          </m:sub>
        </m:sSub>
      </m:oMath>
      <w:r>
        <w:rPr>
          <w:rFonts w:eastAsia="Times New Roman" w:cs="Times New Roman"/>
          <w:szCs w:val="24"/>
          <w:lang w:val="en-US"/>
        </w:rPr>
        <w:t xml:space="preserve"> </w:t>
      </w:r>
      <w:r w:rsidRPr="00362309">
        <w:rPr>
          <w:rFonts w:eastAsia="Times New Roman" w:cs="Times New Roman"/>
          <w:szCs w:val="24"/>
          <w:lang w:val="en-US"/>
        </w:rPr>
        <w:t>+</w:t>
      </w:r>
      <w:r>
        <w:rPr>
          <w:rFonts w:eastAsia="Times New Roman" w:cs="Times New Roman"/>
          <w:szCs w:val="24"/>
          <w:lang w:val="en-US"/>
        </w:rPr>
        <w:t xml:space="preserve"> </w:t>
      </w:r>
      <w:r w:rsidRPr="00362309">
        <w:rPr>
          <w:rFonts w:eastAsia="Times New Roman" w:cs="Times New Roman"/>
          <w:szCs w:val="24"/>
          <w:lang w:val="en-US"/>
        </w:rPr>
        <w:t>β</w:t>
      </w:r>
      <w:r w:rsidRPr="00362309">
        <w:rPr>
          <w:rFonts w:eastAsia="Times New Roman" w:cs="Times New Roman"/>
          <w:szCs w:val="24"/>
          <w:vertAlign w:val="subscript"/>
          <w:lang w:val="en-US"/>
        </w:rPr>
        <w:t>i,W</w:t>
      </w:r>
      <w:r w:rsidRPr="00362309">
        <w:rPr>
          <w:rFonts w:eastAsia="Times New Roman" w:cs="Times New Roman"/>
          <w:szCs w:val="24"/>
          <w:lang w:val="en-US"/>
        </w:rPr>
        <w:t>lnV</w:t>
      </w:r>
      <w:r w:rsidRPr="00362309">
        <w:rPr>
          <w:rFonts w:eastAsia="Times New Roman" w:cs="Times New Roman"/>
          <w:szCs w:val="24"/>
          <w:vertAlign w:val="subscript"/>
          <w:lang w:val="en-US"/>
        </w:rPr>
        <w:t>t-1,W</w:t>
      </w:r>
      <w:r>
        <w:rPr>
          <w:rFonts w:eastAsia="Times New Roman" w:cs="Times New Roman"/>
          <w:szCs w:val="24"/>
          <w:lang w:val="en-US"/>
        </w:rPr>
        <w:t xml:space="preserve"> + </w:t>
      </w:r>
      <w:r w:rsidRPr="00362309">
        <w:rPr>
          <w:rFonts w:eastAsia="Times New Roman" w:cs="Times New Roman"/>
          <w:szCs w:val="24"/>
          <w:lang w:val="en-US"/>
        </w:rPr>
        <w:t>β</w:t>
      </w:r>
      <w:r w:rsidRPr="00362309">
        <w:rPr>
          <w:rFonts w:eastAsia="Times New Roman" w:cs="Times New Roman"/>
          <w:szCs w:val="24"/>
          <w:vertAlign w:val="subscript"/>
          <w:lang w:val="en-US"/>
        </w:rPr>
        <w:t>i,M</w:t>
      </w:r>
      <w:r w:rsidRPr="00362309">
        <w:rPr>
          <w:rFonts w:eastAsia="Times New Roman" w:cs="Times New Roman"/>
          <w:szCs w:val="24"/>
          <w:lang w:val="en-US"/>
        </w:rPr>
        <w:t>lnV</w:t>
      </w:r>
      <w:r w:rsidRPr="00362309">
        <w:rPr>
          <w:rFonts w:eastAsia="Times New Roman" w:cs="Times New Roman"/>
          <w:szCs w:val="24"/>
          <w:vertAlign w:val="subscript"/>
          <w:lang w:val="en-US"/>
        </w:rPr>
        <w:t>t-1,M</w:t>
      </w:r>
      <w:r>
        <w:rPr>
          <w:rFonts w:eastAsia="Times New Roman" w:cs="Times New Roman"/>
          <w:szCs w:val="24"/>
          <w:lang w:val="en-US"/>
        </w:rPr>
        <w:t xml:space="preserve"> </w:t>
      </w:r>
    </w:p>
    <w:p w:rsidR="00373E9E" w:rsidRPr="00886001" w:rsidRDefault="00886001" w:rsidP="00886001">
      <w:pPr>
        <w:suppressAutoHyphens/>
        <w:ind w:firstLine="0"/>
        <w:jc w:val="center"/>
        <w:rPr>
          <w:rFonts w:eastAsia="Times New Roman" w:cs="Times New Roman"/>
          <w:szCs w:val="20"/>
          <w:lang w:val="en-US"/>
        </w:rPr>
      </w:pPr>
      <w:r w:rsidRPr="00362309">
        <w:rPr>
          <w:rFonts w:eastAsia="Times New Roman" w:cs="Times New Roman"/>
          <w:szCs w:val="24"/>
          <w:lang w:val="en-US"/>
        </w:rPr>
        <w:t>+</w:t>
      </w:r>
      <m:oMath>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 xml:space="preserve"> β</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T</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r>
          <w:rPr>
            <w:rFonts w:ascii="Cambria Math" w:eastAsia="Times New Roman" w:hAnsi="Cambria Math" w:cs="Times New Roman"/>
            <w:szCs w:val="20"/>
            <w:lang w:val="en-US"/>
          </w:rPr>
          <m:t xml:space="preserve"> </m:t>
        </m:r>
      </m:oMath>
      <w:r w:rsidRPr="00362309">
        <w:rPr>
          <w:rFonts w:eastAsia="Times New Roman" w:cs="Times New Roman"/>
          <w:szCs w:val="20"/>
          <w:lang w:val="en-US"/>
        </w:rPr>
        <w:t>+</w:t>
      </w:r>
      <m:oMath>
        <m:r>
          <w:rPr>
            <w:rFonts w:ascii="Cambria Math" w:eastAsia="Times New Roman" w:hAnsi="Cambria Math" w:cs="Times New Roman"/>
            <w:szCs w:val="20"/>
            <w:lang w:val="en-US"/>
          </w:rPr>
          <m:t xml:space="preserve"> </m:t>
        </m:r>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β</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T</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r>
              <m:rPr>
                <m:sty m:val="p"/>
              </m:rPr>
              <w:rPr>
                <w:rFonts w:ascii="Cambria Math" w:eastAsia="Times New Roman" w:hAnsi="Cambria Math" w:cs="Times New Roman"/>
                <w:szCs w:val="20"/>
                <w:lang w:val="en-US"/>
              </w:rPr>
              <m:t xml:space="preserve"> </m:t>
            </m:r>
          </m:sup>
        </m:sSubSup>
      </m:oMath>
      <w:r w:rsidRPr="00362309">
        <w:rPr>
          <w:rFonts w:eastAsia="Times New Roman" w:cs="Times New Roman"/>
          <w:szCs w:val="20"/>
          <w:lang w:val="en-US"/>
        </w:rPr>
        <w:t>+</w:t>
      </w:r>
      <m:oMath>
        <m:r>
          <w:rPr>
            <w:rFonts w:ascii="Cambria Math" w:eastAsia="Times New Roman" w:hAnsi="Cambria Math" w:cs="Times New Roman"/>
            <w:szCs w:val="20"/>
            <w:lang w:val="en-US"/>
          </w:rPr>
          <m:t xml:space="preserve"> </m:t>
        </m:r>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β</m:t>
            </m:r>
          </m:e>
          <m:sub>
            <m:r>
              <m:rPr>
                <m:sty m:val="p"/>
              </m:rPr>
              <w:rPr>
                <w:rFonts w:ascii="Cambria Math" w:eastAsia="Times New Roman" w:hAnsi="Cambria Math" w:cs="Times New Roman"/>
                <w:szCs w:val="20"/>
                <w:lang w:val="en-US"/>
              </w:rPr>
              <m:t>i,Z</m:t>
            </m:r>
          </m:sub>
          <m:sup>
            <m:r>
              <w:rPr>
                <w:rFonts w:ascii="Cambria Math" w:eastAsia="Times New Roman" w:hAnsi="Cambria Math" w:cs="Times New Roman"/>
                <w:szCs w:val="20"/>
                <w:lang w:val="en-US"/>
              </w:rPr>
              <m:t>e</m:t>
            </m:r>
          </m:sup>
        </m:sSubSup>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Z</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r>
          <w:rPr>
            <w:rFonts w:ascii="Cambria Math" w:eastAsia="Times New Roman" w:hAnsi="Cambria Math" w:cs="Times New Roman"/>
            <w:szCs w:val="20"/>
            <w:lang w:val="en-US"/>
          </w:rPr>
          <m:t xml:space="preserve"> </m:t>
        </m:r>
      </m:oMath>
      <w:r w:rsidRPr="00362309">
        <w:rPr>
          <w:rFonts w:eastAsia="Times New Roman" w:cs="Times New Roman"/>
          <w:szCs w:val="24"/>
          <w:lang w:val="en-US"/>
        </w:rPr>
        <w:t>+</w:t>
      </w:r>
      <m:oMath>
        <m:r>
          <w:rPr>
            <w:rFonts w:ascii="Cambria Math" w:eastAsia="Times New Roman" w:hAnsi="Cambria Math" w:cs="Times New Roman"/>
            <w:szCs w:val="24"/>
            <w:lang w:val="en-US"/>
          </w:rPr>
          <m:t xml:space="preserve"> </m:t>
        </m:r>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β</m:t>
            </m:r>
          </m:e>
          <m:sub>
            <m:r>
              <m:rPr>
                <m:sty m:val="p"/>
              </m:rPr>
              <w:rPr>
                <w:rFonts w:ascii="Cambria Math" w:eastAsia="Times New Roman" w:hAnsi="Cambria Math" w:cs="Times New Roman"/>
                <w:szCs w:val="20"/>
                <w:lang w:val="en-US"/>
              </w:rPr>
              <m:t>i,Z</m:t>
            </m:r>
          </m:sub>
          <m:sup>
            <m:r>
              <w:rPr>
                <w:rFonts w:ascii="Cambria Math" w:eastAsia="Times New Roman" w:hAnsi="Cambria Math" w:cs="Times New Roman"/>
                <w:szCs w:val="20"/>
                <w:lang w:val="en-US"/>
              </w:rPr>
              <m:t>u</m:t>
            </m:r>
          </m:sup>
        </m:sSubSup>
        <m:sSubSup>
          <m:sSubSupPr>
            <m:ctrlPr>
              <w:rPr>
                <w:rFonts w:ascii="Cambria Math" w:eastAsia="Times New Roman" w:hAnsi="Cambria Math" w:cs="Times New Roman"/>
                <w:szCs w:val="20"/>
                <w:lang w:val="en-US"/>
              </w:rPr>
            </m:ctrlPr>
          </m:sSubSupPr>
          <m:e>
            <m:r>
              <m:rPr>
                <m:sty m:val="p"/>
              </m:rPr>
              <w:rPr>
                <w:rFonts w:ascii="Cambria Math" w:eastAsia="Times New Roman" w:hAnsi="Cambria Math" w:cs="Times New Roman"/>
                <w:szCs w:val="20"/>
                <w:lang w:val="en-US"/>
              </w:rPr>
              <m:t>Z</m:t>
            </m:r>
          </m:e>
          <m:sub>
            <m:r>
              <m:rPr>
                <m:sty m:val="p"/>
              </m:rP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r>
          <w:rPr>
            <w:rFonts w:ascii="Cambria Math" w:eastAsia="Times New Roman" w:hAnsi="Cambria Math" w:cs="Times New Roman"/>
            <w:szCs w:val="20"/>
            <w:lang w:val="en-US"/>
          </w:rPr>
          <m:t xml:space="preserve"> </m:t>
        </m:r>
      </m:oMath>
      <w:r w:rsidRPr="00362309">
        <w:rPr>
          <w:rFonts w:eastAsia="Times New Roman" w:cs="Times New Roman"/>
          <w:szCs w:val="24"/>
          <w:lang w:val="en-US"/>
        </w:rPr>
        <w:t>+ ε</w:t>
      </w:r>
      <w:r w:rsidRPr="00362309">
        <w:rPr>
          <w:rFonts w:eastAsia="Times New Roman" w:cs="Times New Roman"/>
          <w:szCs w:val="24"/>
          <w:vertAlign w:val="subscript"/>
          <w:lang w:val="en-US"/>
        </w:rPr>
        <w:t>i,t</w:t>
      </w:r>
      <w:r w:rsidRPr="00362309">
        <w:rPr>
          <w:rFonts w:eastAsia="Times New Roman" w:cs="Times New Roman"/>
          <w:szCs w:val="24"/>
          <w:lang w:val="en-US"/>
        </w:rPr>
        <w:t xml:space="preserve">,    </w:t>
      </w:r>
      <w:r w:rsidRPr="000B778F">
        <w:rPr>
          <w:rFonts w:eastAsia="Times New Roman" w:cs="Times New Roman"/>
          <w:i/>
          <w:szCs w:val="20"/>
          <w:lang w:val="en-US"/>
        </w:rPr>
        <w:t xml:space="preserve">i </w:t>
      </w:r>
      <w:r>
        <w:rPr>
          <w:rFonts w:eastAsia="Times New Roman" w:cs="Times New Roman"/>
          <w:szCs w:val="20"/>
          <w:lang w:val="en-US"/>
        </w:rPr>
        <w:t xml:space="preserve">= A, E, L and U. </w:t>
      </w:r>
      <w:r w:rsidR="004A3B8D">
        <w:rPr>
          <w:rFonts w:eastAsia="Times New Roman" w:cs="Times New Roman"/>
          <w:szCs w:val="20"/>
          <w:lang w:val="en-US"/>
        </w:rPr>
        <w:t xml:space="preserve">                              </w:t>
      </w:r>
      <w:r>
        <w:rPr>
          <w:rFonts w:eastAsia="Times New Roman" w:cs="Times New Roman"/>
          <w:szCs w:val="20"/>
          <w:lang w:val="en-US"/>
        </w:rPr>
        <w:t>(5)</w:t>
      </w:r>
    </w:p>
    <w:p w:rsidR="00FC1015" w:rsidRDefault="00B2550F" w:rsidP="00787BDD">
      <w:pPr>
        <w:suppressAutoHyphens/>
        <w:rPr>
          <w:rFonts w:eastAsia="Times New Roman" w:cs="Times New Roman"/>
          <w:szCs w:val="20"/>
          <w:lang w:val="en-US"/>
        </w:rPr>
      </w:pPr>
      <w:r>
        <w:rPr>
          <w:rFonts w:eastAsia="Times New Roman" w:cs="Times New Roman"/>
          <w:szCs w:val="20"/>
          <w:lang w:val="en-US"/>
        </w:rPr>
        <w:t xml:space="preserve">With the exception of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Pr>
          <w:rFonts w:eastAsia="Times New Roman" w:cs="Times New Roman"/>
          <w:szCs w:val="20"/>
          <w:lang w:val="en-US"/>
        </w:rPr>
        <w:t xml:space="preserve">, all other explanatory variables are observable </w:t>
      </w:r>
      <w:r w:rsidR="00F0586E">
        <w:rPr>
          <w:rFonts w:eastAsia="Times New Roman" w:cs="Times New Roman"/>
          <w:szCs w:val="20"/>
          <w:lang w:val="en-US"/>
        </w:rPr>
        <w:t xml:space="preserve">before market </w:t>
      </w:r>
      <w:r w:rsidR="00F0586E" w:rsidRPr="000B778F">
        <w:rPr>
          <w:rFonts w:eastAsia="Times New Roman" w:cs="Times New Roman"/>
          <w:i/>
          <w:szCs w:val="20"/>
          <w:lang w:val="en-US"/>
        </w:rPr>
        <w:t>i</w:t>
      </w:r>
      <w:r w:rsidR="00F0586E">
        <w:rPr>
          <w:rFonts w:eastAsia="Times New Roman" w:cs="Times New Roman"/>
          <w:szCs w:val="20"/>
          <w:lang w:val="en-US"/>
        </w:rPr>
        <w:t xml:space="preserve"> opens</w:t>
      </w:r>
      <w:r>
        <w:rPr>
          <w:rFonts w:eastAsia="Times New Roman" w:cs="Times New Roman"/>
          <w:szCs w:val="20"/>
          <w:lang w:val="en-US"/>
        </w:rPr>
        <w:t xml:space="preserve">, including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oMath>
      <w:r>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e</m:t>
            </m:r>
          </m:sup>
        </m:sSubSup>
      </m:oMath>
      <w:r>
        <w:rPr>
          <w:rFonts w:eastAsia="Times New Roman" w:cs="Times New Roman"/>
          <w:szCs w:val="20"/>
          <w:lang w:val="en-US"/>
        </w:rPr>
        <w:t xml:space="preserve"> which are based on past trading. </w:t>
      </w:r>
      <w:r w:rsidR="00F0586E">
        <w:rPr>
          <w:rFonts w:eastAsia="Times New Roman" w:cs="Times New Roman"/>
          <w:szCs w:val="20"/>
          <w:lang w:val="en-US"/>
        </w:rPr>
        <w:t xml:space="preserve"> </w:t>
      </w:r>
      <w:r w:rsidR="00944981">
        <w:rPr>
          <w:rFonts w:eastAsia="Times New Roman" w:cs="Times New Roman"/>
          <w:szCs w:val="20"/>
          <w:lang w:val="en-US"/>
        </w:rPr>
        <w:t xml:space="preserve">The impact of new information </w:t>
      </w:r>
      <w:r w:rsidR="00F0586E">
        <w:rPr>
          <w:rFonts w:eastAsia="Times New Roman" w:cs="Times New Roman"/>
          <w:szCs w:val="20"/>
          <w:lang w:val="en-US"/>
        </w:rPr>
        <w:t xml:space="preserve">in market </w:t>
      </w:r>
      <w:r w:rsidR="00F0586E" w:rsidRPr="000B778F">
        <w:rPr>
          <w:rFonts w:eastAsia="Times New Roman" w:cs="Times New Roman"/>
          <w:i/>
          <w:szCs w:val="20"/>
          <w:lang w:val="en-US"/>
        </w:rPr>
        <w:t>i</w:t>
      </w:r>
      <w:r w:rsidR="00F0586E">
        <w:rPr>
          <w:rFonts w:eastAsia="Times New Roman" w:cs="Times New Roman"/>
          <w:szCs w:val="20"/>
          <w:lang w:val="en-US"/>
        </w:rPr>
        <w:t xml:space="preserve"> on day </w:t>
      </w:r>
      <w:r w:rsidR="00F0586E" w:rsidRPr="000B778F">
        <w:rPr>
          <w:rFonts w:eastAsia="Times New Roman" w:cs="Times New Roman"/>
          <w:i/>
          <w:szCs w:val="20"/>
          <w:lang w:val="en-US"/>
        </w:rPr>
        <w:t>t</w:t>
      </w:r>
      <w:r w:rsidR="00F0586E">
        <w:rPr>
          <w:rFonts w:eastAsia="Times New Roman" w:cs="Times New Roman"/>
          <w:szCs w:val="20"/>
          <w:lang w:val="en-US"/>
        </w:rPr>
        <w:t xml:space="preserve"> </w:t>
      </w:r>
      <w:r w:rsidR="00944981">
        <w:rPr>
          <w:rFonts w:eastAsia="Times New Roman" w:cs="Times New Roman"/>
          <w:szCs w:val="20"/>
          <w:lang w:val="en-US"/>
        </w:rPr>
        <w:t xml:space="preserve">is embedded in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944981">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944981">
        <w:rPr>
          <w:rFonts w:eastAsia="Times New Roman" w:cs="Times New Roman"/>
          <w:szCs w:val="20"/>
          <w:lang w:val="en-US"/>
        </w:rPr>
        <w:t>.  Theoretically public information leads to an immediate quote change by the posting dealer without the need for trading</w:t>
      </w:r>
      <w:r w:rsidR="00F0586E">
        <w:rPr>
          <w:rFonts w:eastAsia="Times New Roman" w:cs="Times New Roman"/>
          <w:szCs w:val="20"/>
          <w:lang w:val="en-US"/>
        </w:rPr>
        <w:t xml:space="preserve">, e.g. </w:t>
      </w:r>
      <w:r w:rsidR="00ED311F">
        <w:rPr>
          <w:rFonts w:eastAsia="Times New Roman" w:cs="Times New Roman"/>
          <w:szCs w:val="20"/>
          <w:lang w:val="en-US"/>
        </w:rPr>
        <w:fldChar w:fldCharType="begin"/>
      </w:r>
      <w:r w:rsidR="00A91A8C">
        <w:rPr>
          <w:rFonts w:eastAsia="Times New Roman" w:cs="Times New Roman"/>
          <w:szCs w:val="20"/>
          <w:lang w:val="en-US"/>
        </w:rPr>
        <w:instrText xml:space="preserve"> ADDIN EN.CITE &lt;EndNote&gt;&lt;Cite&gt;&lt;Author&gt;Kyle&lt;/Author&gt;&lt;Year&gt;1985&lt;/Year&gt;&lt;RecNum&gt;257&lt;/RecNum&gt;&lt;DisplayText&gt;Kyle (1985)&lt;/DisplayText&gt;&lt;record&gt;&lt;rec-number&gt;257&lt;/rec-number&gt;&lt;foreign-keys&gt;&lt;key app="EN" db-id="szetpsas1ep5veesd5xvva5qdxwetsvpfs5x"&gt;257&lt;/key&gt;&lt;/foreign-keys&gt;&lt;ref-type name="Journal Article"&gt;17&lt;/ref-type&gt;&lt;contributors&gt;&lt;authors&gt;&lt;author&gt;Kyle, A. S.&lt;/author&gt;&lt;/authors&gt;&lt;/contributors&gt;&lt;titles&gt;&lt;title&gt;Continuous Auctions and Insider Trading&lt;/title&gt;&lt;secondary-title&gt;Econometrica&lt;/secondary-title&gt;&lt;/titles&gt;&lt;periodical&gt;&lt;full-title&gt;Econometrica&lt;/full-title&gt;&lt;/periodical&gt;&lt;pages&gt;1315-1336&lt;/pages&gt;&lt;volume&gt;53&lt;/volume&gt;&lt;number&gt;6&lt;/number&gt;&lt;dates&gt;&lt;year&gt;1985&lt;/year&gt;&lt;/dates&gt;&lt;urls&gt;&lt;/urls&gt;&lt;/record&gt;&lt;/Cite&gt;&lt;/EndNote&gt;</w:instrText>
      </w:r>
      <w:r w:rsidR="00ED311F">
        <w:rPr>
          <w:rFonts w:eastAsia="Times New Roman" w:cs="Times New Roman"/>
          <w:szCs w:val="20"/>
          <w:lang w:val="en-US"/>
        </w:rPr>
        <w:fldChar w:fldCharType="separate"/>
      </w:r>
      <w:hyperlink w:anchor="_ENREF_24" w:tooltip="Kyle, 1985 #257" w:history="1">
        <w:r w:rsidR="00C419D5">
          <w:rPr>
            <w:rFonts w:eastAsia="Times New Roman" w:cs="Times New Roman"/>
            <w:noProof/>
            <w:szCs w:val="20"/>
            <w:lang w:val="en-US"/>
          </w:rPr>
          <w:t>Kyle (1985</w:t>
        </w:r>
      </w:hyperlink>
      <w:r w:rsidR="00A91A8C">
        <w:rPr>
          <w:rFonts w:eastAsia="Times New Roman" w:cs="Times New Roman"/>
          <w:noProof/>
          <w:szCs w:val="20"/>
          <w:lang w:val="en-US"/>
        </w:rPr>
        <w:t>)</w:t>
      </w:r>
      <w:r w:rsidR="00ED311F">
        <w:rPr>
          <w:rFonts w:eastAsia="Times New Roman" w:cs="Times New Roman"/>
          <w:szCs w:val="20"/>
          <w:lang w:val="en-US"/>
        </w:rPr>
        <w:fldChar w:fldCharType="end"/>
      </w:r>
      <w:r w:rsidR="00A91A8C">
        <w:rPr>
          <w:rFonts w:eastAsia="Times New Roman" w:cs="Times New Roman"/>
          <w:szCs w:val="20"/>
          <w:lang w:val="en-US"/>
        </w:rPr>
        <w:t>.</w:t>
      </w:r>
      <w:r w:rsidR="00F0586E">
        <w:rPr>
          <w:rFonts w:eastAsia="Times New Roman" w:cs="Times New Roman"/>
          <w:szCs w:val="20"/>
          <w:lang w:val="en-US"/>
        </w:rPr>
        <w:t xml:space="preserve"> Private information motivates investors to trade for profits, revealing his/</w:t>
      </w:r>
      <w:r w:rsidR="00787BDD">
        <w:rPr>
          <w:rFonts w:eastAsia="Times New Roman" w:cs="Times New Roman"/>
          <w:szCs w:val="20"/>
          <w:lang w:val="en-US"/>
        </w:rPr>
        <w:t xml:space="preserve"> </w:t>
      </w:r>
      <w:r w:rsidR="00F0586E">
        <w:rPr>
          <w:rFonts w:eastAsia="Times New Roman" w:cs="Times New Roman"/>
          <w:szCs w:val="20"/>
          <w:lang w:val="en-US"/>
        </w:rPr>
        <w:t xml:space="preserve">her private information in the process.  </w:t>
      </w:r>
      <w:r w:rsidR="00787BDD">
        <w:rPr>
          <w:rFonts w:eastAsia="Times New Roman" w:cs="Times New Roman"/>
          <w:szCs w:val="20"/>
          <w:lang w:val="en-US"/>
        </w:rPr>
        <w:t>Therefore t</w:t>
      </w:r>
      <w:r w:rsidR="00944981">
        <w:rPr>
          <w:rFonts w:eastAsia="Times New Roman" w:cs="Times New Roman"/>
          <w:szCs w:val="20"/>
          <w:lang w:val="en-US"/>
        </w:rPr>
        <w:t xml:space="preserve">he impact of the unexpected order flows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944981">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944981">
        <w:rPr>
          <w:rFonts w:eastAsia="Times New Roman" w:cs="Times New Roman"/>
          <w:szCs w:val="20"/>
          <w:lang w:val="en-US"/>
        </w:rPr>
        <w:t xml:space="preserve"> captures the flow of private information or beliefs. </w:t>
      </w:r>
      <w:r w:rsidR="00787BDD">
        <w:rPr>
          <w:rFonts w:eastAsia="Times New Roman" w:cs="Times New Roman"/>
          <w:szCs w:val="20"/>
          <w:lang w:val="en-US"/>
        </w:rPr>
        <w:t xml:space="preserve"> Empirically however, news announcements do generate</w:t>
      </w:r>
      <w:r w:rsidR="00D91C7C">
        <w:rPr>
          <w:rFonts w:eastAsia="Times New Roman" w:cs="Times New Roman"/>
          <w:szCs w:val="20"/>
          <w:lang w:val="en-US"/>
        </w:rPr>
        <w:t xml:space="preserve"> </w:t>
      </w:r>
      <w:r w:rsidR="00787BDD">
        <w:rPr>
          <w:rFonts w:eastAsia="Times New Roman" w:cs="Times New Roman"/>
          <w:szCs w:val="20"/>
          <w:lang w:val="en-US"/>
        </w:rPr>
        <w:t xml:space="preserve">abnormal trading volume.  </w:t>
      </w:r>
      <w:r w:rsidR="00D91C7C">
        <w:rPr>
          <w:rFonts w:eastAsia="Times New Roman" w:cs="Times New Roman"/>
          <w:szCs w:val="20"/>
          <w:lang w:val="en-US"/>
        </w:rPr>
        <w:t xml:space="preserve">Part of the news-driven volume is portfolio adjustments which cause short-term price changes due to liquidity friction.  These price changes tend to be serially correlated as they are driven by the same news or event.  Another part is due to investors searching for the new </w:t>
      </w:r>
      <w:r w:rsidR="00D91C7C">
        <w:rPr>
          <w:rFonts w:eastAsia="Times New Roman" w:cs="Times New Roman"/>
          <w:szCs w:val="20"/>
          <w:lang w:val="en-US"/>
        </w:rPr>
        <w:lastRenderedPageBreak/>
        <w:t xml:space="preserve">equilibrium price.  Studies have shown that in most cases, price converges to the new equilibrium within a few minutes </w:t>
      </w:r>
      <w:r w:rsidR="00ED311F" w:rsidRPr="00133D23">
        <w:rPr>
          <w:rFonts w:eastAsia="Times New Roman" w:cs="Times New Roman"/>
          <w:szCs w:val="20"/>
          <w:lang w:val="en-US"/>
        </w:rPr>
        <w:t>(</w:t>
      </w:r>
      <w:r w:rsidR="00ED311F">
        <w:rPr>
          <w:rFonts w:eastAsia="Times New Roman" w:cs="Times New Roman"/>
          <w:szCs w:val="20"/>
          <w:lang w:val="en-US"/>
        </w:rPr>
        <w:fldChar w:fldCharType="begin"/>
      </w:r>
      <w:r w:rsidR="00D2398C">
        <w:rPr>
          <w:rFonts w:eastAsia="Times New Roman" w:cs="Times New Roman"/>
          <w:szCs w:val="20"/>
          <w:lang w:val="en-US"/>
        </w:rPr>
        <w:instrText xml:space="preserve"> ADDIN EN.CITE &lt;EndNote&gt;&lt;Cite&gt;&lt;Author&gt;Patell&lt;/Author&gt;&lt;Year&gt;1984&lt;/Year&gt;&lt;RecNum&gt;851&lt;/RecNum&gt;&lt;DisplayText&gt;Patell and Wolfson (1984)&lt;/DisplayText&gt;&lt;record&gt;&lt;rec-number&gt;851&lt;/rec-number&gt;&lt;foreign-keys&gt;&lt;key app="EN" db-id="szetpsas1ep5veesd5xvva5qdxwetsvpfs5x"&gt;851&lt;/key&gt;&lt;/foreign-keys&gt;&lt;ref-type name="Journal Article"&gt;17&lt;/ref-type&gt;&lt;contributors&gt;&lt;authors&gt;&lt;author&gt;Patell, James M&lt;/author&gt;&lt;author&gt;Wolfson, Mark A&lt;/author&gt;&lt;/authors&gt;&lt;/contributors&gt;&lt;titles&gt;&lt;title&gt;The intraday speed of adjustment of stock prices to earnings and dividend announcements&lt;/title&gt;&lt;secondary-title&gt;Journal of Financial Economics&lt;/secondary-title&gt;&lt;/titles&gt;&lt;periodical&gt;&lt;full-title&gt;Journal of Financial Economics&lt;/full-title&gt;&lt;/periodical&gt;&lt;pages&gt;223-252&lt;/pages&gt;&lt;volume&gt;13&lt;/volume&gt;&lt;number&gt;2&lt;/number&gt;&lt;dates&gt;&lt;year&gt;1984&lt;/year&gt;&lt;/dates&gt;&lt;isbn&gt;0304-405X&lt;/isbn&gt;&lt;urls&gt;&lt;/urls&gt;&lt;/record&gt;&lt;/Cite&gt;&lt;/EndNote&gt;</w:instrText>
      </w:r>
      <w:r w:rsidR="00ED311F">
        <w:rPr>
          <w:rFonts w:eastAsia="Times New Roman" w:cs="Times New Roman"/>
          <w:szCs w:val="20"/>
          <w:lang w:val="en-US"/>
        </w:rPr>
        <w:fldChar w:fldCharType="separate"/>
      </w:r>
      <w:hyperlink w:anchor="_ENREF_33" w:tooltip="Patell, 1984 #851" w:history="1">
        <w:r w:rsidR="00C419D5">
          <w:rPr>
            <w:rFonts w:eastAsia="Times New Roman" w:cs="Times New Roman"/>
            <w:noProof/>
            <w:szCs w:val="20"/>
            <w:lang w:val="en-US"/>
          </w:rPr>
          <w:t>Patell and Wolfson (1984</w:t>
        </w:r>
      </w:hyperlink>
      <w:r w:rsidR="00D2398C">
        <w:rPr>
          <w:rFonts w:eastAsia="Times New Roman" w:cs="Times New Roman"/>
          <w:noProof/>
          <w:szCs w:val="20"/>
          <w:lang w:val="en-US"/>
        </w:rPr>
        <w:t>)</w:t>
      </w:r>
      <w:r w:rsidR="00ED311F">
        <w:rPr>
          <w:rFonts w:eastAsia="Times New Roman" w:cs="Times New Roman"/>
          <w:szCs w:val="20"/>
          <w:lang w:val="en-US"/>
        </w:rPr>
        <w:fldChar w:fldCharType="end"/>
      </w:r>
      <w:r w:rsidR="00D2398C">
        <w:rPr>
          <w:rFonts w:eastAsia="Times New Roman" w:cs="Times New Roman"/>
          <w:szCs w:val="20"/>
          <w:lang w:val="en-US"/>
        </w:rPr>
        <w:t xml:space="preserve">, </w:t>
      </w:r>
      <w:r w:rsidR="00ED311F">
        <w:rPr>
          <w:rFonts w:eastAsia="Times New Roman" w:cs="Times New Roman"/>
          <w:szCs w:val="20"/>
          <w:lang w:val="en-US"/>
        </w:rPr>
        <w:fldChar w:fldCharType="begin"/>
      </w:r>
      <w:r w:rsidR="00D2398C">
        <w:rPr>
          <w:rFonts w:eastAsia="Times New Roman" w:cs="Times New Roman"/>
          <w:szCs w:val="20"/>
          <w:lang w:val="en-US"/>
        </w:rPr>
        <w:instrText xml:space="preserve"> ADDIN EN.CITE &lt;EndNote&gt;&lt;Cite&gt;&lt;Author&gt;Chordia&lt;/Author&gt;&lt;Year&gt;2005&lt;/Year&gt;&lt;RecNum&gt;852&lt;/RecNum&gt;&lt;DisplayText&gt;Chordia, Roll and Subrahmanyam (2005)&lt;/DisplayText&gt;&lt;record&gt;&lt;rec-number&gt;852&lt;/rec-number&gt;&lt;foreign-keys&gt;&lt;key app="EN" db-id="szetpsas1ep5veesd5xvva5qdxwetsvpfs5x"&gt;852&lt;/key&gt;&lt;/foreign-keys&gt;&lt;ref-type name="Journal Article"&gt;17&lt;/ref-type&gt;&lt;contributors&gt;&lt;authors&gt;&lt;author&gt;Chordia, Tarun&lt;/author&gt;&lt;author&gt;Roll, Richard&lt;/author&gt;&lt;author&gt;Subrahmanyam, Avanidhar&lt;/author&gt;&lt;/authors&gt;&lt;/contributors&gt;&lt;titles&gt;&lt;title&gt;Evidence on the speed of convergence to market efficiency&lt;/title&gt;&lt;secondary-title&gt;Journal of Financial Economics&lt;/secondary-title&gt;&lt;/titles&gt;&lt;periodical&gt;&lt;full-title&gt;Journal of Financial Economics&lt;/full-title&gt;&lt;/periodical&gt;&lt;pages&gt;271-292&lt;/pages&gt;&lt;volume&gt;76&lt;/volume&gt;&lt;number&gt;2&lt;/number&gt;&lt;keywords&gt;&lt;keyword&gt;Serial dependence&lt;/keyword&gt;&lt;keyword&gt;Market efficiency&lt;/keyword&gt;&lt;keyword&gt;Speed of convergence&lt;/keyword&gt;&lt;/keywords&gt;&lt;dates&gt;&lt;year&gt;2005&lt;/year&gt;&lt;/dates&gt;&lt;isbn&gt;0304-405X&lt;/isbn&gt;&lt;urls&gt;&lt;related-urls&gt;&lt;url&gt;http://www.sciencedirect.com/science/article/pii/S0304405X05000152&lt;/url&gt;&lt;/related-urls&gt;&lt;/urls&gt;&lt;electronic-resource-num&gt;http://dx.doi.org/10.1016/j.jfineco.2004.06.004&lt;/electronic-resource-num&gt;&lt;/record&gt;&lt;/Cite&gt;&lt;/EndNote&gt;</w:instrText>
      </w:r>
      <w:r w:rsidR="00ED311F">
        <w:rPr>
          <w:rFonts w:eastAsia="Times New Roman" w:cs="Times New Roman"/>
          <w:szCs w:val="20"/>
          <w:lang w:val="en-US"/>
        </w:rPr>
        <w:fldChar w:fldCharType="separate"/>
      </w:r>
      <w:hyperlink w:anchor="_ENREF_11" w:tooltip="Chordia, 2005 #852" w:history="1">
        <w:r w:rsidR="00C419D5">
          <w:rPr>
            <w:rFonts w:eastAsia="Times New Roman" w:cs="Times New Roman"/>
            <w:noProof/>
            <w:szCs w:val="20"/>
            <w:lang w:val="en-US"/>
          </w:rPr>
          <w:t>Chordia, Roll and Subrahmanyam (2005</w:t>
        </w:r>
      </w:hyperlink>
      <w:r w:rsidR="00D2398C">
        <w:rPr>
          <w:rFonts w:eastAsia="Times New Roman" w:cs="Times New Roman"/>
          <w:noProof/>
          <w:szCs w:val="20"/>
          <w:lang w:val="en-US"/>
        </w:rPr>
        <w:t>)</w:t>
      </w:r>
      <w:r w:rsidR="00ED311F">
        <w:rPr>
          <w:rFonts w:eastAsia="Times New Roman" w:cs="Times New Roman"/>
          <w:szCs w:val="20"/>
          <w:lang w:val="en-US"/>
        </w:rPr>
        <w:fldChar w:fldCharType="end"/>
      </w:r>
      <w:r w:rsidR="00ED311F" w:rsidRPr="00133D23">
        <w:rPr>
          <w:rFonts w:eastAsia="Times New Roman" w:cs="Times New Roman"/>
          <w:szCs w:val="20"/>
          <w:lang w:val="en-US"/>
        </w:rPr>
        <w:t>)</w:t>
      </w:r>
      <w:r w:rsidR="00D2398C">
        <w:rPr>
          <w:rFonts w:eastAsia="Times New Roman" w:cs="Times New Roman"/>
          <w:szCs w:val="20"/>
          <w:lang w:val="en-US"/>
        </w:rPr>
        <w:t>.</w:t>
      </w:r>
      <w:r w:rsidR="004E3A48">
        <w:rPr>
          <w:rFonts w:eastAsia="Times New Roman" w:cs="Times New Roman"/>
          <w:szCs w:val="20"/>
          <w:lang w:val="en-US"/>
        </w:rPr>
        <w:t xml:space="preserve"> </w:t>
      </w:r>
      <w:r w:rsidR="00D91C7C">
        <w:rPr>
          <w:rFonts w:eastAsia="Times New Roman" w:cs="Times New Roman"/>
          <w:szCs w:val="20"/>
          <w:lang w:val="en-US"/>
        </w:rPr>
        <w:t xml:space="preserve">Therefore we regard the </w:t>
      </w:r>
      <w:r w:rsidR="007D692B">
        <w:rPr>
          <w:rFonts w:eastAsia="Times New Roman" w:cs="Times New Roman"/>
          <w:szCs w:val="20"/>
          <w:lang w:val="en-US"/>
        </w:rPr>
        <w:t xml:space="preserve">impact of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T</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7D692B">
        <w:rPr>
          <w:rFonts w:eastAsia="Times New Roman" w:cs="Times New Roman"/>
          <w:szCs w:val="20"/>
          <w:lang w:val="en-US"/>
        </w:rPr>
        <w:t xml:space="preserve"> and </w:t>
      </w:r>
      <m:oMath>
        <m:sSubSup>
          <m:sSubSupPr>
            <m:ctrlPr>
              <w:rPr>
                <w:rFonts w:ascii="Cambria Math" w:eastAsia="Times New Roman" w:hAnsi="Cambria Math" w:cs="Times New Roman"/>
                <w:i/>
                <w:szCs w:val="20"/>
                <w:lang w:val="en-US"/>
              </w:rPr>
            </m:ctrlPr>
          </m:sSubSupPr>
          <m:e>
            <m:r>
              <w:rPr>
                <w:rFonts w:ascii="Cambria Math" w:eastAsia="Times New Roman" w:hAnsi="Cambria Math" w:cs="Times New Roman"/>
                <w:szCs w:val="20"/>
                <w:lang w:val="en-US"/>
              </w:rPr>
              <m:t>Z</m:t>
            </m:r>
          </m:e>
          <m:sub>
            <m:r>
              <w:rPr>
                <w:rFonts w:ascii="Cambria Math" w:eastAsia="Times New Roman" w:hAnsi="Cambria Math" w:cs="Times New Roman"/>
                <w:szCs w:val="20"/>
                <w:lang w:val="en-US"/>
              </w:rPr>
              <m:t>i,t</m:t>
            </m:r>
          </m:sub>
          <m:sup>
            <m:r>
              <w:rPr>
                <w:rFonts w:ascii="Cambria Math" w:eastAsia="Times New Roman" w:hAnsi="Cambria Math" w:cs="Times New Roman"/>
                <w:szCs w:val="20"/>
                <w:lang w:val="en-US"/>
              </w:rPr>
              <m:t>u</m:t>
            </m:r>
          </m:sup>
        </m:sSubSup>
      </m:oMath>
      <w:r w:rsidR="007D692B">
        <w:rPr>
          <w:rFonts w:eastAsia="Times New Roman" w:cs="Times New Roman"/>
          <w:szCs w:val="20"/>
          <w:lang w:val="en-US"/>
        </w:rPr>
        <w:t xml:space="preserve"> is mostly due to private information.  </w:t>
      </w:r>
    </w:p>
    <w:p w:rsidR="00592058" w:rsidRDefault="00BE719D" w:rsidP="00592058">
      <w:pPr>
        <w:suppressAutoHyphens/>
        <w:rPr>
          <w:rFonts w:eastAsiaTheme="minorEastAsia" w:cs="Times New Roman"/>
          <w:szCs w:val="24"/>
          <w:lang w:val="en-US"/>
        </w:rPr>
      </w:pPr>
      <w:r>
        <w:rPr>
          <w:rFonts w:eastAsia="Times New Roman" w:cs="Times New Roman"/>
          <w:szCs w:val="20"/>
          <w:lang w:val="en-US"/>
        </w:rPr>
        <w:t>The order imbalance Z</w:t>
      </w:r>
      <w:r w:rsidRPr="0054056C">
        <w:rPr>
          <w:rFonts w:eastAsia="Times New Roman" w:cs="Times New Roman"/>
          <w:i/>
          <w:szCs w:val="20"/>
          <w:vertAlign w:val="subscript"/>
          <w:lang w:val="en-US"/>
        </w:rPr>
        <w:t>i,t</w:t>
      </w:r>
      <w:r>
        <w:rPr>
          <w:rFonts w:eastAsia="Times New Roman" w:cs="Times New Roman"/>
          <w:i/>
          <w:szCs w:val="20"/>
          <w:lang w:val="en-US"/>
        </w:rPr>
        <w:t xml:space="preserve"> </w:t>
      </w:r>
      <w:r>
        <w:rPr>
          <w:rFonts w:eastAsia="Times New Roman" w:cs="Times New Roman"/>
          <w:szCs w:val="20"/>
          <w:lang w:val="en-US"/>
        </w:rPr>
        <w:t>is defined as the number of buyer-initiated orders minus the number of seller-initiated orders</w:t>
      </w:r>
      <w:r w:rsidR="00442645">
        <w:rPr>
          <w:rFonts w:eastAsia="Times New Roman" w:cs="Times New Roman"/>
          <w:szCs w:val="20"/>
          <w:lang w:val="en-US"/>
        </w:rPr>
        <w:t xml:space="preserve"> in market </w:t>
      </w:r>
      <w:r w:rsidR="00442645" w:rsidRPr="000B778F">
        <w:rPr>
          <w:rFonts w:eastAsia="Times New Roman" w:cs="Times New Roman"/>
          <w:i/>
          <w:szCs w:val="20"/>
          <w:lang w:val="en-US"/>
        </w:rPr>
        <w:t>i</w:t>
      </w:r>
      <w:r w:rsidR="00442645">
        <w:rPr>
          <w:rFonts w:eastAsia="Times New Roman" w:cs="Times New Roman"/>
          <w:szCs w:val="20"/>
          <w:lang w:val="en-US"/>
        </w:rPr>
        <w:t xml:space="preserve"> on day </w:t>
      </w:r>
      <w:r w:rsidR="00442645" w:rsidRPr="000B778F">
        <w:rPr>
          <w:rFonts w:eastAsia="Times New Roman" w:cs="Times New Roman"/>
          <w:i/>
          <w:szCs w:val="20"/>
          <w:lang w:val="en-US"/>
        </w:rPr>
        <w:t>t</w:t>
      </w:r>
      <w:r>
        <w:rPr>
          <w:rFonts w:eastAsia="Times New Roman" w:cs="Times New Roman"/>
          <w:szCs w:val="20"/>
          <w:lang w:val="en-US"/>
        </w:rPr>
        <w:t>.</w:t>
      </w:r>
      <w:r w:rsidR="00592058">
        <w:rPr>
          <w:rFonts w:eastAsia="Times New Roman" w:cs="Times New Roman"/>
          <w:szCs w:val="20"/>
          <w:lang w:val="en-US"/>
        </w:rPr>
        <w:t xml:space="preserve">  </w:t>
      </w:r>
      <w:r w:rsidR="00442645">
        <w:rPr>
          <w:rFonts w:eastAsia="Times New Roman" w:cs="Times New Roman"/>
          <w:szCs w:val="20"/>
          <w:lang w:val="en-US"/>
        </w:rPr>
        <w:t xml:space="preserve">Following </w:t>
      </w:r>
      <w:r w:rsidR="00ED311F" w:rsidRPr="0099458E">
        <w:rPr>
          <w:rFonts w:cs="Times New Roman"/>
          <w:szCs w:val="24"/>
          <w:lang w:val="en-US"/>
        </w:rPr>
        <w:fldChar w:fldCharType="begin"/>
      </w:r>
      <w:r w:rsidR="00C419D5">
        <w:rPr>
          <w:rFonts w:cs="Times New Roman"/>
          <w:szCs w:val="24"/>
          <w:lang w:val="en-US"/>
        </w:rPr>
        <w:instrText xml:space="preserve"> ADDIN EN.CITE &lt;EndNote&gt;&lt;Cite&gt;&lt;Author&gt;Easley&lt;/Author&gt;&lt;Year&gt;2008&lt;/Year&gt;&lt;RecNum&gt;761&lt;/RecNum&gt;&lt;DisplayText&gt;Easley&lt;style face="italic"&gt; et al.&lt;/style&gt; (2008)&lt;/DisplayText&gt;&lt;record&gt;&lt;rec-number&gt;761&lt;/rec-number&gt;&lt;foreign-keys&gt;&lt;key app="EN" db-id="szetpsas1ep5veesd5xvva5qdxwetsvpfs5x"&gt;761&lt;/key&gt;&lt;/foreign-keys&gt;&lt;ref-type name="Journal Article"&gt;17&lt;/ref-type&gt;&lt;contributors&gt;&lt;authors&gt;&lt;author&gt;Easley, David&lt;/author&gt;&lt;author&gt;Engle, Robert F&lt;/author&gt;&lt;author&gt;O&amp;apos;Hara, Maureen&lt;/author&gt;&lt;author&gt;Wu, Liuren&lt;/author&gt;&lt;/authors&gt;&lt;/contributors&gt;&lt;titles&gt;&lt;title&gt;Time-varying arrival rates of informed and uninformed trades&lt;/title&gt;&lt;secondary-title&gt;Journal of Financial Econometrics&lt;/secondary-title&gt;&lt;/titles&gt;&lt;periodical&gt;&lt;full-title&gt;Journal of Financial Econometrics&lt;/full-title&gt;&lt;/periodical&gt;&lt;pages&gt;171-207&lt;/pages&gt;&lt;volume&gt;6&lt;/volume&gt;&lt;number&gt;2&lt;/number&gt;&lt;dates&gt;&lt;year&gt;2008&lt;/year&gt;&lt;/dates&gt;&lt;isbn&gt;1479-8409&lt;/isbn&gt;&lt;urls&gt;&lt;/urls&gt;&lt;/record&gt;&lt;/Cite&gt;&lt;/EndNote&gt;</w:instrText>
      </w:r>
      <w:r w:rsidR="00ED311F" w:rsidRPr="0099458E">
        <w:rPr>
          <w:rFonts w:cs="Times New Roman"/>
          <w:szCs w:val="24"/>
          <w:lang w:val="en-US"/>
        </w:rPr>
        <w:fldChar w:fldCharType="separate"/>
      </w:r>
      <w:hyperlink w:anchor="_ENREF_15" w:tooltip="Easley, 2008 #761" w:history="1">
        <w:r w:rsidR="00C419D5">
          <w:rPr>
            <w:rFonts w:cs="Times New Roman"/>
            <w:noProof/>
            <w:szCs w:val="24"/>
            <w:lang w:val="en-US"/>
          </w:rPr>
          <w:t>Easley</w:t>
        </w:r>
        <w:r w:rsidR="00C419D5" w:rsidRPr="00C419D5">
          <w:rPr>
            <w:rFonts w:cs="Times New Roman"/>
            <w:i/>
            <w:noProof/>
            <w:szCs w:val="24"/>
            <w:lang w:val="en-US"/>
          </w:rPr>
          <w:t xml:space="preserve"> et al.</w:t>
        </w:r>
        <w:r w:rsidR="00C419D5">
          <w:rPr>
            <w:rFonts w:cs="Times New Roman"/>
            <w:noProof/>
            <w:szCs w:val="24"/>
            <w:lang w:val="en-US"/>
          </w:rPr>
          <w:t xml:space="preserve"> (2008</w:t>
        </w:r>
      </w:hyperlink>
      <w:r w:rsidR="00C419D5">
        <w:rPr>
          <w:rFonts w:cs="Times New Roman"/>
          <w:noProof/>
          <w:szCs w:val="24"/>
          <w:lang w:val="en-US"/>
        </w:rPr>
        <w:t>)</w:t>
      </w:r>
      <w:r w:rsidR="00ED311F" w:rsidRPr="0099458E">
        <w:rPr>
          <w:rFonts w:cs="Times New Roman"/>
          <w:szCs w:val="24"/>
          <w:lang w:val="en-US"/>
        </w:rPr>
        <w:fldChar w:fldCharType="end"/>
      </w:r>
      <w:r w:rsidR="00592058" w:rsidRPr="0099458E">
        <w:rPr>
          <w:rFonts w:cs="Times New Roman"/>
          <w:szCs w:val="24"/>
          <w:lang w:val="en-US"/>
        </w:rPr>
        <w:t>, the number of buyer initiated trades</w:t>
      </w:r>
      <w:r w:rsidR="00442645">
        <w:rPr>
          <w:rFonts w:cs="Times New Roman"/>
          <w:szCs w:val="24"/>
          <w:lang w:val="en-US"/>
        </w:rPr>
        <w:t xml:space="preserve"> in the </w:t>
      </w:r>
      <w:r w:rsidR="00886001" w:rsidRPr="000B778F">
        <w:rPr>
          <w:rFonts w:cs="Times New Roman"/>
          <w:i/>
          <w:szCs w:val="24"/>
          <w:lang w:val="en-US"/>
        </w:rPr>
        <w:t>j</w:t>
      </w:r>
      <w:r w:rsidR="00442645" w:rsidRPr="00442645">
        <w:rPr>
          <w:rFonts w:cs="Times New Roman"/>
          <w:szCs w:val="24"/>
          <w:vertAlign w:val="superscript"/>
          <w:lang w:val="en-US"/>
        </w:rPr>
        <w:t>th</w:t>
      </w:r>
      <w:r w:rsidR="00442645">
        <w:rPr>
          <w:rFonts w:cs="Times New Roman"/>
          <w:szCs w:val="24"/>
          <w:lang w:val="en-US"/>
        </w:rPr>
        <w:t xml:space="preserve"> 5-minute period</w:t>
      </w:r>
      <w:r w:rsidR="00886001">
        <w:rPr>
          <w:rFonts w:cs="Times New Roman"/>
          <w:szCs w:val="24"/>
          <w:lang w:val="en-US"/>
        </w:rPr>
        <w:t xml:space="preserve"> in market </w:t>
      </w:r>
      <w:r w:rsidR="00886001" w:rsidRPr="00095266">
        <w:rPr>
          <w:rFonts w:cs="Times New Roman"/>
          <w:i/>
          <w:szCs w:val="24"/>
          <w:lang w:val="en-US"/>
        </w:rPr>
        <w:t>i</w:t>
      </w:r>
      <w:r w:rsidR="00442645">
        <w:rPr>
          <w:rFonts w:cs="Times New Roman"/>
          <w:szCs w:val="24"/>
          <w:lang w:val="en-US"/>
        </w:rPr>
        <w:t xml:space="preserve"> on day </w:t>
      </w:r>
      <w:r w:rsidR="00442645" w:rsidRPr="00095266">
        <w:rPr>
          <w:rFonts w:cs="Times New Roman"/>
          <w:i/>
          <w:szCs w:val="24"/>
          <w:lang w:val="en-US"/>
        </w:rPr>
        <w:t>t</w:t>
      </w:r>
      <w:r w:rsidR="00442645">
        <w:rPr>
          <w:rFonts w:cs="Times New Roman"/>
          <w:szCs w:val="24"/>
          <w:lang w:val="en-US"/>
        </w:rPr>
        <w:t xml:space="preserve"> is </w:t>
      </w:r>
      <m:oMath>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up>
            <m:r>
              <w:rPr>
                <w:rFonts w:ascii="Cambria Math" w:hAnsi="Cambria Math" w:cs="Times New Roman"/>
                <w:szCs w:val="24"/>
                <w:lang w:val="en-US"/>
              </w:rPr>
              <m:t>B</m:t>
            </m:r>
          </m:sup>
        </m:sSubSup>
        <m:r>
          <w:rPr>
            <w:rFonts w:asci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Sub>
        <m:r>
          <w:rPr>
            <w:rFonts w:ascii="Cambria Math" w:hAnsi="Cambria Math" w:cs="Times New Roman"/>
            <w:szCs w:val="24"/>
            <w:lang w:val="en-US"/>
          </w:rPr>
          <m:t>Z</m:t>
        </m:r>
        <m:d>
          <m:dPr>
            <m:ctrlPr>
              <w:rPr>
                <w:rFonts w:ascii="Cambria Math" w:hAnsi="Cambria Math" w:cs="Times New Roman"/>
                <w:i/>
                <w:szCs w:val="24"/>
                <w:lang w:val="en-US"/>
              </w:rPr>
            </m:ctrlPr>
          </m:dPr>
          <m:e>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σ</m:t>
                    </m:r>
                  </m:e>
                  <m:sub>
                    <m:r>
                      <w:rPr>
                        <w:rFonts w:ascii="Cambria Math" w:hAnsi="Cambria Math" w:cs="Times New Roman"/>
                        <w:szCs w:val="24"/>
                        <w:lang w:val="en-US"/>
                      </w:rPr>
                      <m:t>t</m:t>
                    </m:r>
                  </m:sub>
                </m:sSub>
              </m:den>
            </m:f>
          </m:e>
        </m:d>
      </m:oMath>
      <w:r w:rsidR="00442645">
        <w:rPr>
          <w:rFonts w:cs="Times New Roman"/>
          <w:szCs w:val="24"/>
          <w:lang w:val="en-US"/>
        </w:rPr>
        <w:t xml:space="preserve">; the number of seller initiated trades is </w:t>
      </w:r>
      <m:oMath>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up>
            <m:r>
              <w:rPr>
                <w:rFonts w:ascii="Cambria Math" w:hAnsi="Cambria Math" w:cs="Times New Roman"/>
                <w:szCs w:val="24"/>
                <w:lang w:val="en-US"/>
              </w:rPr>
              <m:t>S</m:t>
            </m:r>
          </m:sup>
        </m:sSubSup>
        <m:r>
          <w:rPr>
            <w:rFonts w:ascii="Cambria Math" w:cs="Times New Roman"/>
            <w:szCs w:val="24"/>
            <w:lang w:val="en-US"/>
          </w:rPr>
          <m:t>=</m:t>
        </m:r>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Sub>
        <m:d>
          <m:dPr>
            <m:begChr m:val="["/>
            <m:endChr m:val="]"/>
            <m:ctrlPr>
              <w:rPr>
                <w:rFonts w:ascii="Cambria Math" w:hAnsi="Cambria Math" w:cs="Times New Roman"/>
                <w:i/>
                <w:szCs w:val="24"/>
                <w:lang w:val="en-US"/>
              </w:rPr>
            </m:ctrlPr>
          </m:dPr>
          <m:e>
            <m:r>
              <w:rPr>
                <w:rFonts w:ascii="Cambria Math" w:cs="Times New Roman"/>
                <w:szCs w:val="24"/>
                <w:lang w:val="en-US"/>
              </w:rPr>
              <m:t>1</m:t>
            </m:r>
            <m:r>
              <w:rPr>
                <w:rFonts w:ascii="Cambria Math" w:cs="Times New Roman"/>
                <w:szCs w:val="24"/>
                <w:lang w:val="en-US"/>
              </w:rPr>
              <m:t>-</m:t>
            </m:r>
            <m:r>
              <w:rPr>
                <w:rFonts w:ascii="Cambria Math" w:hAnsi="Cambria Math" w:cs="Times New Roman"/>
                <w:szCs w:val="24"/>
                <w:lang w:val="en-US"/>
              </w:rPr>
              <m:t>Z</m:t>
            </m:r>
            <m:d>
              <m:dPr>
                <m:ctrlPr>
                  <w:rPr>
                    <w:rFonts w:ascii="Cambria Math" w:hAnsi="Cambria Math" w:cs="Times New Roman"/>
                    <w:i/>
                    <w:szCs w:val="24"/>
                    <w:lang w:val="en-US"/>
                  </w:rPr>
                </m:ctrlPr>
              </m:dPr>
              <m:e>
                <m:f>
                  <m:fPr>
                    <m:ctrlPr>
                      <w:rPr>
                        <w:rFonts w:ascii="Cambria Math" w:hAnsi="Cambria Math" w:cs="Times New Roman"/>
                        <w:i/>
                        <w:szCs w:val="24"/>
                        <w:lang w:val="en-US"/>
                      </w:rPr>
                    </m:ctrlPr>
                  </m:fPr>
                  <m:num>
                    <m:sSub>
                      <m:sSubPr>
                        <m:ctrlPr>
                          <w:rPr>
                            <w:rFonts w:ascii="Cambria Math" w:hAnsi="Cambria Math" w:cs="Times New Roman"/>
                            <w:i/>
                            <w:szCs w:val="24"/>
                            <w:lang w:val="en-US"/>
                          </w:rPr>
                        </m:ctrlPr>
                      </m:sSubPr>
                      <m:e>
                        <m:r>
                          <w:rPr>
                            <w:rFonts w:ascii="Cambria Math" w:hAnsi="Cambria Math" w:cs="Times New Roman"/>
                            <w:szCs w:val="24"/>
                            <w:lang w:val="en-US"/>
                          </w:rPr>
                          <m:t>r</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Sub>
                  </m:num>
                  <m:den>
                    <m:sSub>
                      <m:sSubPr>
                        <m:ctrlPr>
                          <w:rPr>
                            <w:rFonts w:ascii="Cambria Math" w:hAnsi="Cambria Math" w:cs="Times New Roman"/>
                            <w:i/>
                            <w:szCs w:val="24"/>
                            <w:lang w:val="en-US"/>
                          </w:rPr>
                        </m:ctrlPr>
                      </m:sSubPr>
                      <m:e>
                        <m:r>
                          <w:rPr>
                            <w:rFonts w:ascii="Cambria Math" w:hAnsi="Cambria Math" w:cs="Times New Roman"/>
                            <w:szCs w:val="24"/>
                            <w:lang w:val="en-US"/>
                          </w:rPr>
                          <m:t>σ</m:t>
                        </m:r>
                      </m:e>
                      <m:sub>
                        <m:r>
                          <w:rPr>
                            <w:rFonts w:ascii="Cambria Math" w:hAnsi="Cambria Math" w:cs="Times New Roman"/>
                            <w:szCs w:val="24"/>
                            <w:lang w:val="en-US"/>
                          </w:rPr>
                          <m:t>t</m:t>
                        </m:r>
                      </m:sub>
                    </m:sSub>
                  </m:den>
                </m:f>
              </m:e>
            </m:d>
          </m:e>
        </m:d>
      </m:oMath>
      <w:r w:rsidR="00442645">
        <w:rPr>
          <w:rFonts w:cs="Times New Roman"/>
          <w:szCs w:val="24"/>
          <w:lang w:val="en-US"/>
        </w:rPr>
        <w:t>, where</w:t>
      </w:r>
      <w:r w:rsidR="00592058" w:rsidRPr="0099458E">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Sub>
      </m:oMath>
      <w:r w:rsidR="00592058" w:rsidRPr="0099458E">
        <w:rPr>
          <w:rFonts w:cs="Times New Roman"/>
          <w:szCs w:val="24"/>
          <w:lang w:val="en-US"/>
        </w:rPr>
        <w:t xml:space="preserve"> </w:t>
      </w:r>
      <w:r w:rsidR="00442645">
        <w:rPr>
          <w:rFonts w:cs="Times New Roman"/>
          <w:szCs w:val="24"/>
          <w:lang w:val="en-US"/>
        </w:rPr>
        <w:t>is</w:t>
      </w:r>
      <w:r w:rsidR="00592058" w:rsidRPr="0099458E">
        <w:rPr>
          <w:rFonts w:cs="Times New Roman"/>
          <w:szCs w:val="24"/>
          <w:lang w:val="en-US"/>
        </w:rPr>
        <w:t xml:space="preserve"> the number of trades</w:t>
      </w:r>
      <w:r w:rsidR="00442645" w:rsidRPr="00442645">
        <w:rPr>
          <w:rFonts w:cs="Times New Roman"/>
          <w:szCs w:val="24"/>
          <w:lang w:val="en-US"/>
        </w:rPr>
        <w:t xml:space="preserve"> </w:t>
      </w:r>
      <w:r w:rsidR="00442645">
        <w:rPr>
          <w:rFonts w:cs="Times New Roman"/>
          <w:szCs w:val="24"/>
          <w:lang w:val="en-US"/>
        </w:rPr>
        <w:t xml:space="preserve">in the </w:t>
      </w:r>
      <w:r w:rsidR="00886001" w:rsidRPr="005F0E13">
        <w:rPr>
          <w:rFonts w:cs="Times New Roman"/>
          <w:i/>
          <w:szCs w:val="24"/>
          <w:lang w:val="en-US"/>
        </w:rPr>
        <w:t>j</w:t>
      </w:r>
      <w:r w:rsidR="00442645" w:rsidRPr="00442645">
        <w:rPr>
          <w:rFonts w:cs="Times New Roman"/>
          <w:szCs w:val="24"/>
          <w:vertAlign w:val="superscript"/>
          <w:lang w:val="en-US"/>
        </w:rPr>
        <w:t>th</w:t>
      </w:r>
      <w:r w:rsidR="00442645">
        <w:rPr>
          <w:rFonts w:cs="Times New Roman"/>
          <w:szCs w:val="24"/>
          <w:lang w:val="en-US"/>
        </w:rPr>
        <w:t xml:space="preserve"> 5-minute period </w:t>
      </w:r>
      <w:r w:rsidR="00886001">
        <w:rPr>
          <w:rFonts w:cs="Times New Roman"/>
          <w:szCs w:val="24"/>
          <w:lang w:val="en-US"/>
        </w:rPr>
        <w:t xml:space="preserve">in market </w:t>
      </w:r>
      <w:r w:rsidR="00ED311F" w:rsidRPr="00133D23">
        <w:rPr>
          <w:rFonts w:cs="Times New Roman"/>
          <w:i/>
          <w:szCs w:val="24"/>
          <w:lang w:val="en-US"/>
        </w:rPr>
        <w:t>i</w:t>
      </w:r>
      <w:r w:rsidR="00886001">
        <w:rPr>
          <w:rFonts w:cs="Times New Roman"/>
          <w:szCs w:val="24"/>
          <w:lang w:val="en-US"/>
        </w:rPr>
        <w:t xml:space="preserve"> </w:t>
      </w:r>
      <w:r w:rsidR="00442645">
        <w:rPr>
          <w:rFonts w:cs="Times New Roman"/>
          <w:szCs w:val="24"/>
          <w:lang w:val="en-US"/>
        </w:rPr>
        <w:t>on day t, r</w:t>
      </w:r>
      <w:r w:rsidR="00886001">
        <w:rPr>
          <w:rFonts w:cs="Times New Roman"/>
          <w:szCs w:val="24"/>
          <w:vertAlign w:val="subscript"/>
          <w:lang w:val="en-US"/>
        </w:rPr>
        <w:t>j,i</w:t>
      </w:r>
      <w:r w:rsidR="00442645">
        <w:rPr>
          <w:rFonts w:cs="Times New Roman"/>
          <w:szCs w:val="24"/>
          <w:vertAlign w:val="subscript"/>
          <w:lang w:val="en-US"/>
        </w:rPr>
        <w:t>,t</w:t>
      </w:r>
      <w:r w:rsidR="00442645">
        <w:rPr>
          <w:rFonts w:cs="Times New Roman"/>
          <w:szCs w:val="24"/>
          <w:lang w:val="en-US"/>
        </w:rPr>
        <w:t xml:space="preserve"> is the return, σ</w:t>
      </w:r>
      <w:r w:rsidR="00442645">
        <w:rPr>
          <w:rFonts w:cs="Times New Roman"/>
          <w:szCs w:val="24"/>
          <w:vertAlign w:val="subscript"/>
          <w:lang w:val="en-US"/>
        </w:rPr>
        <w:t>t</w:t>
      </w:r>
      <w:r w:rsidR="00442645">
        <w:rPr>
          <w:rFonts w:cs="Times New Roman"/>
          <w:szCs w:val="24"/>
          <w:lang w:val="en-US"/>
        </w:rPr>
        <w:t xml:space="preserve"> is the standard deviation of r</w:t>
      </w:r>
      <w:r w:rsidR="00886001">
        <w:rPr>
          <w:rFonts w:cs="Times New Roman"/>
          <w:szCs w:val="24"/>
          <w:vertAlign w:val="subscript"/>
          <w:lang w:val="en-US"/>
        </w:rPr>
        <w:t>j,i</w:t>
      </w:r>
      <w:r w:rsidR="00442645">
        <w:rPr>
          <w:rFonts w:cs="Times New Roman"/>
          <w:szCs w:val="24"/>
          <w:vertAlign w:val="subscript"/>
          <w:lang w:val="en-US"/>
        </w:rPr>
        <w:t>,t</w:t>
      </w:r>
      <w:r w:rsidR="00442645">
        <w:rPr>
          <w:rFonts w:cs="Times New Roman"/>
          <w:szCs w:val="24"/>
          <w:lang w:val="en-US"/>
        </w:rPr>
        <w:t xml:space="preserve"> </w:t>
      </w:r>
      <w:r w:rsidR="00886001">
        <w:rPr>
          <w:rFonts w:cs="Times New Roman"/>
          <w:szCs w:val="24"/>
          <w:lang w:val="en-US"/>
        </w:rPr>
        <w:t xml:space="preserve">across all four markets </w:t>
      </w:r>
      <w:r w:rsidR="00442645">
        <w:rPr>
          <w:rFonts w:cs="Times New Roman"/>
          <w:szCs w:val="24"/>
          <w:lang w:val="en-US"/>
        </w:rPr>
        <w:t xml:space="preserve">in day </w:t>
      </w:r>
      <w:r w:rsidR="00ED311F" w:rsidRPr="00133D23">
        <w:rPr>
          <w:rFonts w:cs="Times New Roman"/>
          <w:i/>
          <w:szCs w:val="24"/>
          <w:lang w:val="en-US"/>
        </w:rPr>
        <w:t>t</w:t>
      </w:r>
      <w:r w:rsidR="00442645">
        <w:rPr>
          <w:rFonts w:cs="Times New Roman"/>
          <w:szCs w:val="24"/>
          <w:lang w:val="en-US"/>
        </w:rPr>
        <w:t xml:space="preserve">, </w:t>
      </w:r>
      <w:r w:rsidR="00592058" w:rsidRPr="0099458E">
        <w:rPr>
          <w:rFonts w:cs="Times New Roman"/>
          <w:szCs w:val="24"/>
          <w:lang w:val="en-US"/>
        </w:rPr>
        <w:t xml:space="preserve">and </w:t>
      </w:r>
      <m:oMath>
        <m:r>
          <w:rPr>
            <w:rFonts w:ascii="Cambria Math" w:hAnsi="Cambria Math" w:cs="Times New Roman"/>
            <w:szCs w:val="24"/>
            <w:lang w:val="en-US"/>
          </w:rPr>
          <m:t>Z</m:t>
        </m:r>
        <m:d>
          <m:dPr>
            <m:ctrlPr>
              <w:rPr>
                <w:rFonts w:ascii="Cambria Math" w:hAnsi="Cambria Math" w:cs="Times New Roman"/>
                <w:i/>
                <w:szCs w:val="24"/>
                <w:lang w:val="en-US"/>
              </w:rPr>
            </m:ctrlPr>
          </m:dPr>
          <m:e>
            <m:r>
              <w:rPr>
                <w:rFonts w:ascii="Cambria Math" w:hAnsi="Cambria Math" w:cs="Times New Roman"/>
                <w:szCs w:val="24"/>
                <w:lang w:val="en-US"/>
              </w:rPr>
              <m:t>⋅</m:t>
            </m:r>
          </m:e>
        </m:d>
      </m:oMath>
      <w:r w:rsidR="00592058" w:rsidRPr="0099458E">
        <w:rPr>
          <w:rFonts w:cs="Times New Roman"/>
          <w:szCs w:val="24"/>
          <w:lang w:val="en-US"/>
        </w:rPr>
        <w:t xml:space="preserve"> is the normal cumulative density function</w:t>
      </w:r>
      <w:r w:rsidR="00442645">
        <w:rPr>
          <w:rFonts w:cs="Times New Roman"/>
          <w:szCs w:val="24"/>
          <w:lang w:val="en-US"/>
        </w:rPr>
        <w:t xml:space="preserve">.  </w:t>
      </w:r>
      <w:r w:rsidR="00E54013">
        <w:rPr>
          <w:rFonts w:cs="Times New Roman"/>
          <w:szCs w:val="24"/>
          <w:lang w:val="en-US"/>
        </w:rPr>
        <w:t>Hence, order imbalance is</w:t>
      </w:r>
      <w:r w:rsidR="00592058" w:rsidRPr="0099458E">
        <w:rPr>
          <w:rFonts w:cs="Times New Roman"/>
          <w:szCs w:val="24"/>
          <w:lang w:val="en-US"/>
        </w:rPr>
        <w:t xml:space="preserve"> </w:t>
      </w:r>
      <m:oMath>
        <m:sSub>
          <m:sSubPr>
            <m:ctrlPr>
              <w:rPr>
                <w:rFonts w:ascii="Cambria Math" w:hAnsi="Cambria Math" w:cs="Times New Roman"/>
                <w:i/>
                <w:szCs w:val="24"/>
                <w:lang w:val="en-US"/>
              </w:rPr>
            </m:ctrlPr>
          </m:sSubPr>
          <m:e>
            <m:r>
              <w:rPr>
                <w:rFonts w:ascii="Cambria Math" w:cs="Times New Roman"/>
                <w:szCs w:val="24"/>
                <w:lang w:val="en-US"/>
              </w:rPr>
              <m:t>Z</m:t>
            </m:r>
          </m:e>
          <m:sub>
            <m:r>
              <w:rPr>
                <w:rFonts w:ascii="Cambria Math" w:hAnsi="Cambria Math" w:cs="Times New Roman"/>
                <w:szCs w:val="24"/>
                <w:lang w:val="en-US"/>
              </w:rPr>
              <m:t>i</m:t>
            </m:r>
            <m:r>
              <w:rPr>
                <w:rFonts w:ascii="Cambria Math" w:cs="Times New Roman"/>
                <w:szCs w:val="24"/>
                <w:lang w:val="en-US"/>
              </w:rPr>
              <m:t>,</m:t>
            </m:r>
            <m:r>
              <w:rPr>
                <w:rFonts w:ascii="Cambria Math" w:hAnsi="Cambria Math" w:cs="Times New Roman"/>
                <w:szCs w:val="24"/>
                <w:lang w:val="en-US"/>
              </w:rPr>
              <m:t>t</m:t>
            </m:r>
          </m:sub>
        </m:sSub>
        <m:r>
          <w:rPr>
            <w:rFonts w:ascii="Cambria Math" w:cs="Times New Roman"/>
            <w:szCs w:val="24"/>
            <w:lang w:val="en-US"/>
          </w:rPr>
          <m:t xml:space="preserve">= </m:t>
        </m:r>
        <m:nary>
          <m:naryPr>
            <m:chr m:val="∑"/>
            <m:limLoc m:val="subSup"/>
            <m:ctrlPr>
              <w:rPr>
                <w:rFonts w:ascii="Cambria Math" w:hAnsi="Cambria Math" w:cs="Times New Roman"/>
                <w:i/>
                <w:szCs w:val="24"/>
                <w:lang w:val="en-US"/>
              </w:rPr>
            </m:ctrlPr>
          </m:naryPr>
          <m:sub>
            <m:r>
              <w:rPr>
                <w:rFonts w:ascii="Cambria Math" w:cs="Times New Roman"/>
                <w:szCs w:val="24"/>
                <w:lang w:val="en-US"/>
              </w:rPr>
              <m:t>j=1</m:t>
            </m:r>
          </m:sub>
          <m:sup>
            <m:sSub>
              <m:sSubPr>
                <m:ctrlPr>
                  <w:rPr>
                    <w:rFonts w:ascii="Cambria Math" w:hAnsi="Cambria Math" w:cs="Times New Roman"/>
                    <w:i/>
                    <w:szCs w:val="24"/>
                    <w:lang w:val="en-US"/>
                  </w:rPr>
                </m:ctrlPr>
              </m:sSubPr>
              <m:e>
                <m:r>
                  <w:rPr>
                    <w:rFonts w:ascii="Cambria Math" w:cs="Times New Roman"/>
                    <w:szCs w:val="24"/>
                    <w:lang w:val="en-US"/>
                  </w:rPr>
                  <m:t>M</m:t>
                </m:r>
              </m:e>
              <m:sub>
                <m:r>
                  <w:rPr>
                    <w:rFonts w:ascii="Cambria Math" w:cs="Times New Roman"/>
                    <w:szCs w:val="24"/>
                    <w:lang w:val="en-US"/>
                  </w:rPr>
                  <m:t>i</m:t>
                </m:r>
              </m:sub>
            </m:sSub>
          </m:sup>
          <m:e>
            <m:r>
              <w:rPr>
                <w:rFonts w:ascii="Cambria Math" w:cs="Times New Roman"/>
                <w:szCs w:val="24"/>
                <w:lang w:val="en-US"/>
              </w:rPr>
              <m:t>(</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up>
                <m:r>
                  <w:rPr>
                    <w:rFonts w:ascii="Cambria Math" w:hAnsi="Cambria Math" w:cs="Times New Roman"/>
                    <w:szCs w:val="24"/>
                    <w:lang w:val="en-US"/>
                  </w:rPr>
                  <m:t>B</m:t>
                </m:r>
              </m:sup>
            </m:sSubSup>
            <m:r>
              <w:rPr>
                <w:rFonts w:ascii="Cambria Math" w:hAnsi="Cambria Math" w:cs="Times New Roman"/>
                <w:szCs w:val="24"/>
                <w:lang w:val="en-US"/>
              </w:rPr>
              <m:t>-</m:t>
            </m:r>
            <m:r>
              <w:rPr>
                <w:rFonts w:ascii="Cambria Math" w:cs="Times New Roman"/>
                <w:szCs w:val="24"/>
                <w:lang w:val="en-US"/>
              </w:rPr>
              <m:t xml:space="preserve"> </m:t>
            </m:r>
            <m:sSubSup>
              <m:sSubSupPr>
                <m:ctrlPr>
                  <w:rPr>
                    <w:rFonts w:ascii="Cambria Math" w:hAnsi="Cambria Math" w:cs="Times New Roman"/>
                    <w:i/>
                    <w:szCs w:val="24"/>
                    <w:lang w:val="en-US"/>
                  </w:rPr>
                </m:ctrlPr>
              </m:sSubSupPr>
              <m:e>
                <m:r>
                  <w:rPr>
                    <w:rFonts w:ascii="Cambria Math" w:hAnsi="Cambria Math" w:cs="Times New Roman"/>
                    <w:szCs w:val="24"/>
                    <w:lang w:val="en-US"/>
                  </w:rPr>
                  <m:t>T</m:t>
                </m:r>
              </m:e>
              <m:sub>
                <m:r>
                  <w:rPr>
                    <w:rFonts w:ascii="Cambria Math" w:hAnsi="Cambria Math" w:cs="Times New Roman"/>
                    <w:szCs w:val="24"/>
                    <w:lang w:val="en-US"/>
                  </w:rPr>
                  <m:t>j,i</m:t>
                </m:r>
                <m:r>
                  <w:rPr>
                    <w:rFonts w:ascii="Cambria Math" w:cs="Times New Roman"/>
                    <w:szCs w:val="24"/>
                    <w:lang w:val="en-US"/>
                  </w:rPr>
                  <m:t>,</m:t>
                </m:r>
                <m:r>
                  <w:rPr>
                    <w:rFonts w:ascii="Cambria Math" w:hAnsi="Cambria Math" w:cs="Times New Roman"/>
                    <w:szCs w:val="24"/>
                    <w:lang w:val="en-US"/>
                  </w:rPr>
                  <m:t>t</m:t>
                </m:r>
              </m:sub>
              <m:sup>
                <m:r>
                  <w:rPr>
                    <w:rFonts w:ascii="Cambria Math" w:hAnsi="Cambria Math" w:cs="Times New Roman"/>
                    <w:szCs w:val="24"/>
                    <w:lang w:val="en-US"/>
                  </w:rPr>
                  <m:t>S</m:t>
                </m:r>
              </m:sup>
            </m:sSubSup>
            <m:r>
              <w:rPr>
                <w:rFonts w:ascii="Cambria Math" w:cs="Times New Roman"/>
                <w:szCs w:val="24"/>
                <w:lang w:val="en-US"/>
              </w:rPr>
              <m:t>)</m:t>
            </m:r>
          </m:e>
        </m:nary>
      </m:oMath>
      <w:r w:rsidR="00886001">
        <w:rPr>
          <w:rFonts w:eastAsiaTheme="minorEastAsia" w:cs="Times New Roman"/>
          <w:szCs w:val="24"/>
          <w:lang w:val="en-US"/>
        </w:rPr>
        <w:t xml:space="preserve"> with M</w:t>
      </w:r>
      <w:r w:rsidR="00886001">
        <w:rPr>
          <w:rFonts w:eastAsiaTheme="minorEastAsia" w:cs="Times New Roman"/>
          <w:szCs w:val="24"/>
          <w:vertAlign w:val="subscript"/>
          <w:lang w:val="en-US"/>
        </w:rPr>
        <w:t>i</w:t>
      </w:r>
      <w:r w:rsidR="00886001">
        <w:rPr>
          <w:rFonts w:eastAsiaTheme="minorEastAsia" w:cs="Times New Roman"/>
          <w:szCs w:val="24"/>
          <w:lang w:val="en-US"/>
        </w:rPr>
        <w:t xml:space="preserve"> being the number of 5-minute periods in market </w:t>
      </w:r>
      <w:r w:rsidR="00886001" w:rsidRPr="005F0E13">
        <w:rPr>
          <w:rFonts w:eastAsiaTheme="minorEastAsia" w:cs="Times New Roman"/>
          <w:i/>
          <w:szCs w:val="24"/>
          <w:lang w:val="en-US"/>
        </w:rPr>
        <w:t>i</w:t>
      </w:r>
      <w:r w:rsidR="00886001">
        <w:rPr>
          <w:rFonts w:eastAsiaTheme="minorEastAsia" w:cs="Times New Roman"/>
          <w:szCs w:val="24"/>
          <w:lang w:val="en-US"/>
        </w:rPr>
        <w:t xml:space="preserve">. </w:t>
      </w:r>
    </w:p>
    <w:p w:rsidR="00144947" w:rsidRPr="00144947" w:rsidRDefault="00144947" w:rsidP="00144947">
      <w:pPr>
        <w:suppressAutoHyphens/>
        <w:ind w:firstLine="0"/>
        <w:rPr>
          <w:rFonts w:eastAsiaTheme="minorEastAsia" w:cs="Times New Roman"/>
          <w:b/>
          <w:i/>
          <w:szCs w:val="24"/>
          <w:lang w:val="en-US"/>
        </w:rPr>
      </w:pPr>
      <w:r w:rsidRPr="00144947">
        <w:rPr>
          <w:rFonts w:eastAsiaTheme="minorEastAsia" w:cs="Times New Roman"/>
          <w:b/>
          <w:i/>
          <w:szCs w:val="24"/>
          <w:lang w:val="en-US"/>
        </w:rPr>
        <w:t>Empirical Findings</w:t>
      </w:r>
    </w:p>
    <w:p w:rsidR="003554A2" w:rsidRDefault="007D4350" w:rsidP="00223514">
      <w:pPr>
        <w:suppressAutoHyphens/>
        <w:rPr>
          <w:rFonts w:eastAsia="Times New Roman" w:cs="Times New Roman"/>
          <w:szCs w:val="20"/>
          <w:lang w:val="en-US"/>
        </w:rPr>
      </w:pPr>
      <w:r>
        <w:rPr>
          <w:rFonts w:eastAsia="Times New Roman" w:cs="Times New Roman"/>
          <w:szCs w:val="20"/>
          <w:lang w:val="en-US"/>
        </w:rPr>
        <w:t xml:space="preserve">Table </w:t>
      </w:r>
      <w:r w:rsidR="00D31BBE">
        <w:rPr>
          <w:rFonts w:eastAsia="Times New Roman" w:cs="Times New Roman"/>
          <w:szCs w:val="20"/>
          <w:lang w:val="en-US"/>
        </w:rPr>
        <w:t>V report</w:t>
      </w:r>
      <w:r w:rsidR="007770FB">
        <w:rPr>
          <w:rFonts w:eastAsia="Times New Roman" w:cs="Times New Roman"/>
          <w:szCs w:val="20"/>
          <w:lang w:val="en-US"/>
        </w:rPr>
        <w:t>s</w:t>
      </w:r>
      <w:r w:rsidR="00D31BBE">
        <w:rPr>
          <w:rFonts w:eastAsia="Times New Roman" w:cs="Times New Roman"/>
          <w:szCs w:val="20"/>
          <w:lang w:val="en-US"/>
        </w:rPr>
        <w:t xml:space="preserve"> the estimat</w:t>
      </w:r>
      <w:r w:rsidR="00BE719D">
        <w:rPr>
          <w:rFonts w:eastAsia="Times New Roman" w:cs="Times New Roman"/>
          <w:szCs w:val="20"/>
          <w:lang w:val="en-US"/>
        </w:rPr>
        <w:t>ed coefficients of equation (5)</w:t>
      </w:r>
      <w:r w:rsidR="00D31BBE">
        <w:rPr>
          <w:rFonts w:eastAsia="Times New Roman" w:cs="Times New Roman"/>
          <w:szCs w:val="20"/>
          <w:lang w:val="en-US"/>
        </w:rPr>
        <w:t xml:space="preserve"> for Asia, Europe,</w:t>
      </w:r>
      <w:r w:rsidR="00A50016">
        <w:rPr>
          <w:rFonts w:eastAsia="Times New Roman" w:cs="Times New Roman"/>
          <w:szCs w:val="20"/>
          <w:lang w:val="en-US"/>
        </w:rPr>
        <w:t xml:space="preserve"> </w:t>
      </w:r>
      <w:r w:rsidR="00D05D57">
        <w:rPr>
          <w:rFonts w:eastAsia="Times New Roman" w:cs="Times New Roman"/>
          <w:szCs w:val="20"/>
          <w:lang w:val="en-US"/>
        </w:rPr>
        <w:t>London/N</w:t>
      </w:r>
      <w:r w:rsidR="00A45E24">
        <w:rPr>
          <w:rFonts w:eastAsia="Times New Roman" w:cs="Times New Roman"/>
          <w:szCs w:val="20"/>
          <w:lang w:val="en-US"/>
        </w:rPr>
        <w:t>ew York</w:t>
      </w:r>
      <w:r w:rsidR="00D05D57">
        <w:rPr>
          <w:rFonts w:eastAsia="Times New Roman" w:cs="Times New Roman"/>
          <w:szCs w:val="20"/>
          <w:lang w:val="en-US"/>
        </w:rPr>
        <w:t xml:space="preserve"> and</w:t>
      </w:r>
      <w:r w:rsidR="00D31BBE">
        <w:rPr>
          <w:rFonts w:eastAsia="Times New Roman" w:cs="Times New Roman"/>
          <w:szCs w:val="20"/>
          <w:lang w:val="en-US"/>
        </w:rPr>
        <w:t xml:space="preserve"> U</w:t>
      </w:r>
      <w:r w:rsidR="00C21C51">
        <w:rPr>
          <w:rFonts w:eastAsia="Times New Roman" w:cs="Times New Roman"/>
          <w:szCs w:val="20"/>
          <w:lang w:val="en-US"/>
        </w:rPr>
        <w:t>.</w:t>
      </w:r>
      <w:r w:rsidR="00D31BBE">
        <w:rPr>
          <w:rFonts w:eastAsia="Times New Roman" w:cs="Times New Roman"/>
          <w:szCs w:val="20"/>
          <w:lang w:val="en-US"/>
        </w:rPr>
        <w:t>S</w:t>
      </w:r>
      <w:r w:rsidR="00C21C51">
        <w:rPr>
          <w:rFonts w:eastAsia="Times New Roman" w:cs="Times New Roman"/>
          <w:szCs w:val="20"/>
          <w:lang w:val="en-US"/>
        </w:rPr>
        <w:t>.</w:t>
      </w:r>
      <w:r w:rsidR="00D31BBE">
        <w:rPr>
          <w:rFonts w:eastAsia="Times New Roman" w:cs="Times New Roman"/>
          <w:szCs w:val="20"/>
          <w:lang w:val="en-US"/>
        </w:rPr>
        <w:t xml:space="preserve"> respectively.</w:t>
      </w:r>
      <w:r w:rsidR="003554A2">
        <w:rPr>
          <w:rFonts w:eastAsia="Times New Roman" w:cs="Times New Roman"/>
          <w:szCs w:val="20"/>
          <w:lang w:val="en-US"/>
        </w:rPr>
        <w:t xml:space="preserve">  To explore any time variation over the sample period, we estimate the model for three sub-periods, 1996-1999, 2000-2007, 2008-2012, as well as the full sample.</w:t>
      </w:r>
      <w:r w:rsidR="00D31BBE">
        <w:rPr>
          <w:rFonts w:eastAsia="Times New Roman" w:cs="Times New Roman"/>
          <w:szCs w:val="20"/>
          <w:lang w:val="en-US"/>
        </w:rPr>
        <w:t xml:space="preserve"> </w:t>
      </w:r>
      <w:r w:rsidR="003554A2">
        <w:rPr>
          <w:rFonts w:eastAsia="Times New Roman" w:cs="Times New Roman"/>
          <w:szCs w:val="20"/>
          <w:lang w:val="en-US"/>
        </w:rPr>
        <w:t xml:space="preserve"> </w:t>
      </w:r>
      <w:r w:rsidR="00B63534">
        <w:rPr>
          <w:rFonts w:eastAsia="Times New Roman" w:cs="Times New Roman"/>
          <w:szCs w:val="20"/>
          <w:lang w:val="en-US"/>
        </w:rPr>
        <w:t xml:space="preserve">The long memory variables, i.e. the weekly and monthly lags, are </w:t>
      </w:r>
      <w:r w:rsidR="00BE719D">
        <w:rPr>
          <w:rFonts w:eastAsia="Times New Roman" w:cs="Times New Roman"/>
          <w:szCs w:val="20"/>
          <w:lang w:val="en-US"/>
        </w:rPr>
        <w:t xml:space="preserve">all </w:t>
      </w:r>
      <w:r w:rsidR="00B63534">
        <w:rPr>
          <w:rFonts w:eastAsia="Times New Roman" w:cs="Times New Roman"/>
          <w:szCs w:val="20"/>
          <w:lang w:val="en-US"/>
        </w:rPr>
        <w:t>highly significant</w:t>
      </w:r>
      <w:r w:rsidR="003554A2">
        <w:rPr>
          <w:rFonts w:eastAsia="Times New Roman" w:cs="Times New Roman"/>
          <w:szCs w:val="20"/>
          <w:lang w:val="en-US"/>
        </w:rPr>
        <w:t xml:space="preserve"> in all sub-periods and the full sample</w:t>
      </w:r>
      <w:r w:rsidR="00B63534">
        <w:rPr>
          <w:rFonts w:eastAsia="Times New Roman" w:cs="Times New Roman"/>
          <w:szCs w:val="20"/>
          <w:lang w:val="en-US"/>
        </w:rPr>
        <w:t xml:space="preserve">. </w:t>
      </w:r>
      <w:r w:rsidR="00223514">
        <w:rPr>
          <w:rFonts w:eastAsia="Times New Roman" w:cs="Times New Roman"/>
          <w:szCs w:val="20"/>
          <w:lang w:val="en-US"/>
        </w:rPr>
        <w:t xml:space="preserve">The self- and cross-market dependence in volatility reveals some interesting features in the global OTC gold market. </w:t>
      </w:r>
    </w:p>
    <w:p w:rsidR="00B060BA" w:rsidRPr="00D51C99" w:rsidRDefault="006D71B2" w:rsidP="003554A2">
      <w:pPr>
        <w:pStyle w:val="ListParagraph"/>
        <w:numPr>
          <w:ilvl w:val="0"/>
          <w:numId w:val="6"/>
        </w:numPr>
        <w:suppressAutoHyphens/>
        <w:rPr>
          <w:rFonts w:eastAsia="Times New Roman" w:cs="Times New Roman"/>
          <w:szCs w:val="20"/>
          <w:lang w:val="en-US"/>
        </w:rPr>
      </w:pPr>
      <w:r w:rsidRPr="00D51C99">
        <w:rPr>
          <w:rFonts w:eastAsia="Times New Roman" w:cs="Times New Roman"/>
          <w:szCs w:val="20"/>
          <w:lang w:val="en-US"/>
        </w:rPr>
        <w:t>V</w:t>
      </w:r>
      <w:r w:rsidR="00B060BA" w:rsidRPr="00D51C99">
        <w:rPr>
          <w:rFonts w:eastAsia="Times New Roman" w:cs="Times New Roman"/>
          <w:szCs w:val="20"/>
          <w:lang w:val="en-US"/>
        </w:rPr>
        <w:t>olatility in each market has a significant dependence on i</w:t>
      </w:r>
      <w:r w:rsidR="00223514" w:rsidRPr="00D51C99">
        <w:rPr>
          <w:rFonts w:eastAsia="Times New Roman" w:cs="Times New Roman"/>
          <w:szCs w:val="20"/>
          <w:lang w:val="en-US"/>
        </w:rPr>
        <w:t xml:space="preserve">ts own volatility 24 hours ago. </w:t>
      </w:r>
      <w:r w:rsidR="00B060BA" w:rsidRPr="00D51C99">
        <w:rPr>
          <w:rFonts w:eastAsia="Times New Roman" w:cs="Times New Roman"/>
          <w:szCs w:val="20"/>
          <w:lang w:val="en-US"/>
        </w:rPr>
        <w:t xml:space="preserve">This </w:t>
      </w:r>
      <w:r w:rsidR="00E06BBF" w:rsidRPr="00D51C99">
        <w:rPr>
          <w:rFonts w:eastAsia="Times New Roman" w:cs="Times New Roman"/>
          <w:szCs w:val="20"/>
          <w:lang w:val="en-US"/>
        </w:rPr>
        <w:t>self-dependence</w:t>
      </w:r>
      <w:r w:rsidR="00B060BA" w:rsidRPr="00D51C99">
        <w:rPr>
          <w:rFonts w:eastAsia="Times New Roman" w:cs="Times New Roman"/>
          <w:szCs w:val="20"/>
          <w:lang w:val="en-US"/>
        </w:rPr>
        <w:t xml:space="preserve"> </w:t>
      </w:r>
      <w:r w:rsidR="00E06BBF" w:rsidRPr="00D51C99">
        <w:rPr>
          <w:rFonts w:eastAsia="Times New Roman" w:cs="Times New Roman"/>
          <w:szCs w:val="20"/>
          <w:lang w:val="en-US"/>
        </w:rPr>
        <w:t xml:space="preserve">is unaffected by </w:t>
      </w:r>
      <w:r w:rsidR="00223514" w:rsidRPr="00D51C99">
        <w:rPr>
          <w:rFonts w:eastAsia="Times New Roman" w:cs="Times New Roman"/>
          <w:szCs w:val="20"/>
          <w:lang w:val="en-US"/>
        </w:rPr>
        <w:t xml:space="preserve">information flow captured by volatilities in previous markets </w:t>
      </w:r>
      <w:r w:rsidR="00CA6049" w:rsidRPr="00D51C99">
        <w:rPr>
          <w:rFonts w:eastAsia="Times New Roman" w:cs="Times New Roman"/>
          <w:szCs w:val="20"/>
          <w:lang w:val="en-US"/>
        </w:rPr>
        <w:t xml:space="preserve">in the 24-hour cycle </w:t>
      </w:r>
      <w:r w:rsidR="00223514" w:rsidRPr="00D51C99">
        <w:rPr>
          <w:rFonts w:eastAsia="Times New Roman" w:cs="Times New Roman"/>
          <w:szCs w:val="20"/>
          <w:lang w:val="en-US"/>
        </w:rPr>
        <w:t xml:space="preserve">or by the contemporaneous order flows in the local market.  </w:t>
      </w:r>
      <w:r w:rsidR="005F6794" w:rsidRPr="00D51C99">
        <w:rPr>
          <w:rFonts w:eastAsia="Times New Roman" w:cs="Times New Roman"/>
          <w:szCs w:val="20"/>
          <w:lang w:val="en-US"/>
        </w:rPr>
        <w:t>It may reflect long-lived private information</w:t>
      </w:r>
      <w:r w:rsidR="00D51C99" w:rsidRPr="00D51C99">
        <w:rPr>
          <w:rFonts w:eastAsia="Times New Roman" w:cs="Times New Roman"/>
          <w:szCs w:val="20"/>
          <w:lang w:val="en-US"/>
        </w:rPr>
        <w:t xml:space="preserve"> (more than 24 hours)</w:t>
      </w:r>
      <w:r w:rsidR="005F6794" w:rsidRPr="00D51C99">
        <w:rPr>
          <w:rFonts w:eastAsia="Times New Roman" w:cs="Times New Roman"/>
          <w:szCs w:val="20"/>
          <w:lang w:val="en-US"/>
        </w:rPr>
        <w:t xml:space="preserve"> held by local investors, e.g. Holden and Subrahmanyam (1992) and Foster and Viswanathan (1994).  However this self-dependence is strongest in Asia </w:t>
      </w:r>
      <w:r w:rsidR="00D51C99" w:rsidRPr="00D51C99">
        <w:rPr>
          <w:rFonts w:eastAsia="Times New Roman" w:cs="Times New Roman"/>
          <w:szCs w:val="20"/>
          <w:lang w:val="en-US"/>
        </w:rPr>
        <w:t xml:space="preserve">which has limited capacity for information collection and processing, </w:t>
      </w:r>
      <w:r w:rsidR="005F6794" w:rsidRPr="00D51C99">
        <w:rPr>
          <w:rFonts w:eastAsia="Times New Roman" w:cs="Times New Roman"/>
          <w:szCs w:val="20"/>
          <w:lang w:val="en-US"/>
        </w:rPr>
        <w:t xml:space="preserve">and </w:t>
      </w:r>
      <w:r w:rsidR="00D51C99" w:rsidRPr="00D51C99">
        <w:rPr>
          <w:rFonts w:eastAsia="Times New Roman" w:cs="Times New Roman"/>
          <w:szCs w:val="20"/>
          <w:lang w:val="en-US"/>
        </w:rPr>
        <w:t xml:space="preserve">is </w:t>
      </w:r>
      <w:r w:rsidR="005F6794" w:rsidRPr="00D51C99">
        <w:rPr>
          <w:rFonts w:eastAsia="Times New Roman" w:cs="Times New Roman"/>
          <w:szCs w:val="20"/>
          <w:lang w:val="en-US"/>
        </w:rPr>
        <w:t>weakest in London/New York</w:t>
      </w:r>
      <w:r w:rsidR="00D51C99" w:rsidRPr="00D51C99">
        <w:rPr>
          <w:rFonts w:eastAsia="Times New Roman" w:cs="Times New Roman"/>
          <w:szCs w:val="20"/>
          <w:lang w:val="en-US"/>
        </w:rPr>
        <w:t xml:space="preserve"> (still statistically highly significant) which are the global hubs for financial information.  Therefore long-lived private information is unlikely to be the key factor </w:t>
      </w:r>
      <w:r w:rsidR="00D51C99" w:rsidRPr="00D51C99">
        <w:rPr>
          <w:rFonts w:eastAsia="Times New Roman" w:cs="Times New Roman"/>
          <w:szCs w:val="20"/>
          <w:lang w:val="en-US"/>
        </w:rPr>
        <w:lastRenderedPageBreak/>
        <w:t xml:space="preserve">for volatility self-dependence.  </w:t>
      </w:r>
      <w:r w:rsidR="00D51C99">
        <w:rPr>
          <w:rFonts w:eastAsia="Times New Roman" w:cs="Times New Roman"/>
          <w:szCs w:val="20"/>
          <w:lang w:val="en-US"/>
        </w:rPr>
        <w:t xml:space="preserve">We believe that </w:t>
      </w:r>
      <w:r w:rsidR="00914AA7">
        <w:rPr>
          <w:rFonts w:eastAsia="Times New Roman" w:cs="Times New Roman"/>
          <w:szCs w:val="20"/>
          <w:lang w:val="en-US"/>
        </w:rPr>
        <w:t xml:space="preserve">under the structure of four sequential markets, </w:t>
      </w:r>
      <w:r w:rsidR="00D51C99">
        <w:rPr>
          <w:rFonts w:eastAsia="Times New Roman" w:cs="Times New Roman"/>
          <w:szCs w:val="20"/>
          <w:lang w:val="en-US"/>
        </w:rPr>
        <w:t>volatility self-dependence</w:t>
      </w:r>
      <w:r w:rsidR="008E065D" w:rsidRPr="00D51C99">
        <w:rPr>
          <w:rFonts w:eastAsia="Times New Roman" w:cs="Times New Roman"/>
          <w:szCs w:val="20"/>
          <w:lang w:val="en-US"/>
        </w:rPr>
        <w:t xml:space="preserve"> is</w:t>
      </w:r>
      <w:r w:rsidR="00FD1475">
        <w:rPr>
          <w:rFonts w:eastAsia="Times New Roman" w:cs="Times New Roman"/>
          <w:szCs w:val="20"/>
          <w:lang w:val="en-US"/>
        </w:rPr>
        <w:t xml:space="preserve"> </w:t>
      </w:r>
      <w:r w:rsidR="008E065D" w:rsidRPr="00D51C99">
        <w:rPr>
          <w:rFonts w:eastAsia="Times New Roman" w:cs="Times New Roman"/>
          <w:szCs w:val="20"/>
          <w:lang w:val="en-US"/>
        </w:rPr>
        <w:t xml:space="preserve">likely to </w:t>
      </w:r>
      <w:r w:rsidR="00FD1475">
        <w:rPr>
          <w:rFonts w:eastAsia="Times New Roman" w:cs="Times New Roman"/>
          <w:szCs w:val="20"/>
          <w:lang w:val="en-US"/>
        </w:rPr>
        <w:t>come from</w:t>
      </w:r>
      <w:r w:rsidR="008E065D" w:rsidRPr="00D51C99">
        <w:rPr>
          <w:rFonts w:eastAsia="Times New Roman" w:cs="Times New Roman"/>
          <w:szCs w:val="20"/>
          <w:lang w:val="en-US"/>
        </w:rPr>
        <w:t xml:space="preserve"> </w:t>
      </w:r>
      <w:r w:rsidR="00FD1475">
        <w:rPr>
          <w:rFonts w:cs="Times New Roman"/>
          <w:szCs w:val="24"/>
          <w:lang w:val="en-US"/>
        </w:rPr>
        <w:t xml:space="preserve">local market characteristics such as </w:t>
      </w:r>
      <w:r w:rsidR="00DE5D2E">
        <w:rPr>
          <w:rFonts w:cs="Times New Roman"/>
          <w:szCs w:val="24"/>
          <w:lang w:val="en-US"/>
        </w:rPr>
        <w:t xml:space="preserve">the mix of </w:t>
      </w:r>
      <w:r w:rsidR="00FD1475">
        <w:rPr>
          <w:rFonts w:cs="Times New Roman"/>
          <w:szCs w:val="24"/>
          <w:lang w:val="en-US"/>
        </w:rPr>
        <w:t xml:space="preserve">individual </w:t>
      </w:r>
      <w:r w:rsidR="00DE5D2E">
        <w:rPr>
          <w:rFonts w:cs="Times New Roman"/>
          <w:szCs w:val="24"/>
          <w:lang w:val="en-US"/>
        </w:rPr>
        <w:t>and</w:t>
      </w:r>
      <w:r w:rsidR="00FD1475">
        <w:rPr>
          <w:rFonts w:cs="Times New Roman"/>
          <w:szCs w:val="24"/>
          <w:lang w:val="en-US"/>
        </w:rPr>
        <w:t xml:space="preserve"> institutional investors, their size of financial endowments and risk tolerance, etc</w:t>
      </w:r>
      <w:r w:rsidR="00914AA7">
        <w:rPr>
          <w:rFonts w:eastAsia="Times New Roman" w:cs="Times New Roman"/>
          <w:szCs w:val="20"/>
          <w:lang w:val="en-US"/>
        </w:rPr>
        <w:t xml:space="preserve">. For example, Asia is dominated by individual investors speculating on gold price which London and New York are dominated by institutions using gold to hedge volatility in other assets. </w:t>
      </w:r>
    </w:p>
    <w:p w:rsidR="003554A2" w:rsidRDefault="006D71B2" w:rsidP="003554A2">
      <w:pPr>
        <w:pStyle w:val="ListParagraph"/>
        <w:numPr>
          <w:ilvl w:val="0"/>
          <w:numId w:val="6"/>
        </w:numPr>
        <w:suppressAutoHyphens/>
        <w:rPr>
          <w:rFonts w:eastAsia="Times New Roman" w:cs="Times New Roman"/>
          <w:szCs w:val="20"/>
          <w:lang w:val="en-US"/>
        </w:rPr>
      </w:pPr>
      <w:r>
        <w:rPr>
          <w:rFonts w:eastAsia="Times New Roman" w:cs="Times New Roman"/>
          <w:szCs w:val="20"/>
          <w:lang w:val="en-US"/>
        </w:rPr>
        <w:t>W</w:t>
      </w:r>
      <w:r w:rsidR="003554A2">
        <w:rPr>
          <w:rFonts w:eastAsia="Times New Roman" w:cs="Times New Roman"/>
          <w:szCs w:val="20"/>
          <w:lang w:val="en-US"/>
        </w:rPr>
        <w:t xml:space="preserve">ith the exception of Asia, </w:t>
      </w:r>
      <w:r w:rsidR="000177AE">
        <w:rPr>
          <w:rFonts w:eastAsia="Times New Roman" w:cs="Times New Roman"/>
          <w:szCs w:val="20"/>
          <w:lang w:val="en-US"/>
        </w:rPr>
        <w:t xml:space="preserve">other markets have the greatest volatility spillover from the market immediately precedes its trading.  </w:t>
      </w:r>
      <w:r w:rsidR="00A366D3">
        <w:rPr>
          <w:rFonts w:eastAsia="Times New Roman" w:cs="Times New Roman"/>
          <w:szCs w:val="20"/>
          <w:lang w:val="en-US"/>
        </w:rPr>
        <w:t xml:space="preserve">In Panel B of Table V, </w:t>
      </w:r>
      <w:r w:rsidR="000177AE">
        <w:rPr>
          <w:rFonts w:eastAsia="Times New Roman" w:cs="Times New Roman"/>
          <w:szCs w:val="20"/>
          <w:lang w:val="en-US"/>
        </w:rPr>
        <w:t>Europe has greater dependence on Asia than on its own lag.</w:t>
      </w:r>
      <w:r w:rsidR="00394407">
        <w:rPr>
          <w:rStyle w:val="FootnoteReference"/>
          <w:rFonts w:eastAsia="Times New Roman" w:cs="Times New Roman"/>
          <w:szCs w:val="20"/>
          <w:lang w:val="en-US"/>
        </w:rPr>
        <w:footnoteReference w:id="9"/>
      </w:r>
      <w:r w:rsidR="00394407">
        <w:rPr>
          <w:rFonts w:eastAsia="Times New Roman" w:cs="Times New Roman"/>
          <w:szCs w:val="20"/>
          <w:lang w:val="en-US"/>
        </w:rPr>
        <w:t xml:space="preserve">  </w:t>
      </w:r>
      <w:r w:rsidR="00A366D3">
        <w:rPr>
          <w:rFonts w:eastAsia="Times New Roman" w:cs="Times New Roman"/>
          <w:szCs w:val="20"/>
          <w:lang w:val="en-US"/>
        </w:rPr>
        <w:t xml:space="preserve">Similarly </w:t>
      </w:r>
      <w:r w:rsidR="000177AE">
        <w:rPr>
          <w:rFonts w:eastAsia="Times New Roman" w:cs="Times New Roman"/>
          <w:szCs w:val="20"/>
          <w:lang w:val="en-US"/>
        </w:rPr>
        <w:t xml:space="preserve">London/New York has </w:t>
      </w:r>
      <w:r w:rsidR="00A366D3">
        <w:rPr>
          <w:rFonts w:eastAsia="Times New Roman" w:cs="Times New Roman"/>
          <w:szCs w:val="20"/>
          <w:lang w:val="en-US"/>
        </w:rPr>
        <w:t xml:space="preserve">the </w:t>
      </w:r>
      <w:r w:rsidR="000177AE">
        <w:rPr>
          <w:rFonts w:eastAsia="Times New Roman" w:cs="Times New Roman"/>
          <w:szCs w:val="20"/>
          <w:lang w:val="en-US"/>
        </w:rPr>
        <w:t>greate</w:t>
      </w:r>
      <w:r w:rsidR="00A366D3">
        <w:rPr>
          <w:rFonts w:eastAsia="Times New Roman" w:cs="Times New Roman"/>
          <w:szCs w:val="20"/>
          <w:lang w:val="en-US"/>
        </w:rPr>
        <w:t>st</w:t>
      </w:r>
      <w:r w:rsidR="000177AE">
        <w:rPr>
          <w:rFonts w:eastAsia="Times New Roman" w:cs="Times New Roman"/>
          <w:szCs w:val="20"/>
          <w:lang w:val="en-US"/>
        </w:rPr>
        <w:t xml:space="preserve"> dependence </w:t>
      </w:r>
      <w:r w:rsidR="00A366D3">
        <w:rPr>
          <w:rFonts w:eastAsia="Times New Roman" w:cs="Times New Roman"/>
          <w:szCs w:val="20"/>
          <w:lang w:val="en-US"/>
        </w:rPr>
        <w:t>on lagged Europe</w:t>
      </w:r>
      <w:r w:rsidR="00742D39">
        <w:rPr>
          <w:rFonts w:eastAsia="Times New Roman" w:cs="Times New Roman"/>
          <w:szCs w:val="20"/>
          <w:lang w:val="en-US"/>
        </w:rPr>
        <w:t>;</w:t>
      </w:r>
      <w:r w:rsidR="00A366D3">
        <w:rPr>
          <w:rFonts w:eastAsia="Times New Roman" w:cs="Times New Roman"/>
          <w:szCs w:val="20"/>
          <w:lang w:val="en-US"/>
        </w:rPr>
        <w:t xml:space="preserve"> </w:t>
      </w:r>
      <w:r w:rsidR="006B16F8">
        <w:rPr>
          <w:rFonts w:eastAsia="Times New Roman" w:cs="Times New Roman"/>
          <w:szCs w:val="20"/>
          <w:lang w:val="en-US"/>
        </w:rPr>
        <w:t>and</w:t>
      </w:r>
      <w:r w:rsidR="00A366D3">
        <w:rPr>
          <w:rFonts w:eastAsia="Times New Roman" w:cs="Times New Roman"/>
          <w:szCs w:val="20"/>
          <w:lang w:val="en-US"/>
        </w:rPr>
        <w:t xml:space="preserve"> U.S.  has the greatest dependence on lagged London/New York. </w:t>
      </w:r>
      <w:r w:rsidR="00394407">
        <w:rPr>
          <w:rFonts w:eastAsia="Times New Roman" w:cs="Times New Roman"/>
          <w:szCs w:val="20"/>
          <w:lang w:val="en-US"/>
        </w:rPr>
        <w:t xml:space="preserve"> </w:t>
      </w:r>
      <w:r w:rsidR="006B16F8">
        <w:rPr>
          <w:rFonts w:eastAsia="Times New Roman" w:cs="Times New Roman"/>
          <w:szCs w:val="20"/>
          <w:lang w:val="en-US"/>
        </w:rPr>
        <w:t>F</w:t>
      </w:r>
      <w:r w:rsidR="001D77B9">
        <w:rPr>
          <w:rFonts w:eastAsia="Times New Roman" w:cs="Times New Roman"/>
          <w:szCs w:val="20"/>
          <w:lang w:val="en-US"/>
        </w:rPr>
        <w:t>or</w:t>
      </w:r>
      <w:r w:rsidR="006B16F8">
        <w:rPr>
          <w:rFonts w:eastAsia="Times New Roman" w:cs="Times New Roman"/>
          <w:szCs w:val="20"/>
          <w:lang w:val="en-US"/>
        </w:rPr>
        <w:t xml:space="preserve"> these </w:t>
      </w:r>
      <w:r w:rsidR="001D77B9">
        <w:rPr>
          <w:rFonts w:eastAsia="Times New Roman" w:cs="Times New Roman"/>
          <w:szCs w:val="20"/>
          <w:lang w:val="en-US"/>
        </w:rPr>
        <w:t xml:space="preserve">markets, short-run volatility persistence is mostly driven by information spillover </w:t>
      </w:r>
      <w:r w:rsidR="00491A60">
        <w:rPr>
          <w:rFonts w:eastAsia="Times New Roman" w:cs="Times New Roman"/>
          <w:szCs w:val="20"/>
          <w:lang w:val="en-US"/>
        </w:rPr>
        <w:t>from the previous market, with a small</w:t>
      </w:r>
      <w:r w:rsidR="00CA6049">
        <w:rPr>
          <w:rFonts w:eastAsia="Times New Roman" w:cs="Times New Roman"/>
          <w:szCs w:val="20"/>
          <w:lang w:val="en-US"/>
        </w:rPr>
        <w:t>er</w:t>
      </w:r>
      <w:r w:rsidR="00491A60">
        <w:rPr>
          <w:rFonts w:eastAsia="Times New Roman" w:cs="Times New Roman"/>
          <w:szCs w:val="20"/>
          <w:lang w:val="en-US"/>
        </w:rPr>
        <w:t xml:space="preserve"> portion driven by their own </w:t>
      </w:r>
      <w:r w:rsidR="006B16F8">
        <w:rPr>
          <w:rFonts w:eastAsia="Times New Roman" w:cs="Times New Roman"/>
          <w:szCs w:val="20"/>
          <w:lang w:val="en-US"/>
        </w:rPr>
        <w:t>lags</w:t>
      </w:r>
      <w:r w:rsidR="00491A60">
        <w:rPr>
          <w:rFonts w:eastAsia="Times New Roman" w:cs="Times New Roman"/>
          <w:szCs w:val="20"/>
          <w:lang w:val="en-US"/>
        </w:rPr>
        <w:t xml:space="preserve"> 24 hours ago. </w:t>
      </w:r>
    </w:p>
    <w:p w:rsidR="006D71B2" w:rsidRPr="006D71B2" w:rsidRDefault="006D71B2" w:rsidP="006D71B2">
      <w:pPr>
        <w:pStyle w:val="ListParagraph"/>
        <w:numPr>
          <w:ilvl w:val="0"/>
          <w:numId w:val="6"/>
        </w:numPr>
        <w:suppressAutoHyphens/>
        <w:rPr>
          <w:rFonts w:eastAsia="Times New Roman" w:cs="Times New Roman"/>
          <w:szCs w:val="20"/>
          <w:lang w:val="en-US"/>
        </w:rPr>
      </w:pPr>
      <w:r w:rsidRPr="006D71B2">
        <w:rPr>
          <w:rFonts w:eastAsia="Times New Roman" w:cs="Times New Roman"/>
          <w:szCs w:val="20"/>
          <w:lang w:val="en-US"/>
        </w:rPr>
        <w:t xml:space="preserve">The effects of order flows vary across markets and time periods.  The expected components either have no effect or smaller effect than the unexpected components.  This is consistent with market efficiency as past information (upon which expectation is formed) is largely reflected in market prices.  The unexpected number of trades is always highly significant, as documented in several previous studies.  The unexpected order imbalance is highly significant in recent years and for the whole sample. The negative coefficients indicate that more buyer-initiated trades are associated with lower volatility, and vice versa for seller-initiated trades. </w:t>
      </w:r>
    </w:p>
    <w:p w:rsidR="001F0D5F" w:rsidRDefault="00D05BD0" w:rsidP="00FD3FB7">
      <w:pPr>
        <w:suppressAutoHyphens/>
        <w:ind w:firstLine="0"/>
        <w:jc w:val="center"/>
        <w:rPr>
          <w:rFonts w:eastAsia="Times New Roman" w:cs="Times New Roman"/>
          <w:szCs w:val="20"/>
          <w:lang w:val="en-US"/>
        </w:rPr>
      </w:pPr>
      <w:r>
        <w:rPr>
          <w:rFonts w:eastAsia="Times New Roman" w:cs="Times New Roman"/>
          <w:szCs w:val="20"/>
          <w:lang w:val="en-US"/>
        </w:rPr>
        <w:t xml:space="preserve"> </w:t>
      </w:r>
      <w:r w:rsidR="00D958E6">
        <w:rPr>
          <w:rFonts w:eastAsia="Times New Roman" w:cs="Times New Roman"/>
          <w:szCs w:val="20"/>
          <w:lang w:val="en-US"/>
        </w:rPr>
        <w:t xml:space="preserve">[INSERT TABLE </w:t>
      </w:r>
      <w:r w:rsidR="001F0D5F">
        <w:rPr>
          <w:rFonts w:eastAsia="Times New Roman" w:cs="Times New Roman"/>
          <w:szCs w:val="20"/>
          <w:lang w:val="en-US"/>
        </w:rPr>
        <w:t>V HERE]</w:t>
      </w:r>
    </w:p>
    <w:p w:rsidR="00D85FC1" w:rsidRDefault="005F0E13" w:rsidP="007A2917">
      <w:pPr>
        <w:rPr>
          <w:lang w:val="en-US"/>
        </w:rPr>
      </w:pPr>
      <w:r>
        <w:rPr>
          <w:lang w:val="en-US"/>
        </w:rPr>
        <w:t>In Table</w:t>
      </w:r>
      <w:r w:rsidR="00571C10">
        <w:rPr>
          <w:lang w:val="en-US"/>
        </w:rPr>
        <w:t xml:space="preserve"> VI</w:t>
      </w:r>
      <w:r w:rsidR="00040019">
        <w:rPr>
          <w:lang w:val="en-US"/>
        </w:rPr>
        <w:t>, we report the estimated private information</w:t>
      </w:r>
      <w:r w:rsidR="00571C10">
        <w:rPr>
          <w:lang w:val="en-US"/>
        </w:rPr>
        <w:t xml:space="preserve"> flow</w:t>
      </w:r>
      <w:r w:rsidR="00040019">
        <w:rPr>
          <w:lang w:val="en-US"/>
        </w:rPr>
        <w:t xml:space="preserve"> in each market. </w:t>
      </w:r>
      <w:r w:rsidR="00571C10">
        <w:rPr>
          <w:lang w:val="en-US"/>
        </w:rPr>
        <w:t xml:space="preserve"> From Table V, p</w:t>
      </w:r>
      <w:r w:rsidR="00B5227C">
        <w:rPr>
          <w:lang w:val="en-US"/>
        </w:rPr>
        <w:t xml:space="preserve">rivate information flow </w:t>
      </w:r>
      <w:r w:rsidR="00D85FC1">
        <w:rPr>
          <w:lang w:val="en-US"/>
        </w:rPr>
        <w:t xml:space="preserve">in market </w:t>
      </w:r>
      <w:r w:rsidR="00D85FC1" w:rsidRPr="00742D39">
        <w:rPr>
          <w:i/>
          <w:lang w:val="en-US"/>
        </w:rPr>
        <w:t>i</w:t>
      </w:r>
      <w:r w:rsidR="00D85FC1">
        <w:rPr>
          <w:lang w:val="en-US"/>
        </w:rPr>
        <w:t xml:space="preserve"> on day </w:t>
      </w:r>
      <w:r w:rsidR="00D85FC1" w:rsidRPr="00742D39">
        <w:rPr>
          <w:i/>
          <w:lang w:val="en-US"/>
        </w:rPr>
        <w:t>t</w:t>
      </w:r>
      <w:r w:rsidR="00D85FC1">
        <w:rPr>
          <w:lang w:val="en-US"/>
        </w:rPr>
        <w:t xml:space="preserve"> is </w:t>
      </w:r>
      <w:r w:rsidR="00571C10">
        <w:rPr>
          <w:lang w:val="en-US"/>
        </w:rPr>
        <w:t>calculated</w:t>
      </w:r>
      <w:r w:rsidR="00D85FC1">
        <w:rPr>
          <w:lang w:val="en-US"/>
        </w:rPr>
        <w:t xml:space="preserve"> as Priv</w:t>
      </w:r>
      <w:r w:rsidR="00D85FC1">
        <w:rPr>
          <w:vertAlign w:val="subscript"/>
          <w:lang w:val="en-US"/>
        </w:rPr>
        <w:t>i,t</w:t>
      </w:r>
      <w:r w:rsidR="00D85FC1">
        <w:rPr>
          <w:lang w:val="en-US"/>
        </w:rPr>
        <w:t xml:space="preserve"> =</w:t>
      </w:r>
      <w:r w:rsidR="00B5227C">
        <w:rPr>
          <w:lang w:val="en-US"/>
        </w:rPr>
        <w:t xml:space="preserve"> exp(</w:t>
      </w:r>
      <m:oMath>
        <m:sSubSup>
          <m:sSubSupPr>
            <m:ctrlPr>
              <w:rPr>
                <w:rFonts w:ascii="Cambria Math" w:hAnsi="Cambria Math"/>
                <w:lang w:val="en-US"/>
              </w:rPr>
            </m:ctrlPr>
          </m:sSubSupPr>
          <m:e>
            <m:acc>
              <m:accPr>
                <m:ctrlPr>
                  <w:rPr>
                    <w:rFonts w:ascii="Cambria Math" w:hAnsi="Cambria Math"/>
                    <w:lang w:val="en-US"/>
                  </w:rPr>
                </m:ctrlPr>
              </m:accPr>
              <m:e>
                <m:r>
                  <m:rPr>
                    <m:sty m:val="p"/>
                  </m:rPr>
                  <w:rPr>
                    <w:rFonts w:ascii="Cambria Math" w:hAnsi="Cambria Math"/>
                    <w:lang w:val="en-US"/>
                  </w:rPr>
                  <m:t>β</m:t>
                </m:r>
              </m:e>
            </m:acc>
          </m:e>
          <m:sub>
            <m:r>
              <m:rPr>
                <m:sty m:val="p"/>
              </m:rPr>
              <w:rPr>
                <w:rFonts w:ascii="Cambria Math" w:hAnsi="Cambria Math"/>
                <w:lang w:val="en-US"/>
              </w:rPr>
              <m:t>i,T</m:t>
            </m:r>
          </m:sub>
          <m:sup>
            <m:r>
              <w:rPr>
                <w:rFonts w:ascii="Cambria Math" w:hAnsi="Cambria Math"/>
                <w:lang w:val="en-US"/>
              </w:rPr>
              <m:t>u</m:t>
            </m:r>
          </m:sup>
        </m:sSubSup>
        <m:sSubSup>
          <m:sSubSupPr>
            <m:ctrlPr>
              <w:rPr>
                <w:rFonts w:ascii="Cambria Math" w:hAnsi="Cambria Math"/>
                <w:lang w:val="en-US"/>
              </w:rPr>
            </m:ctrlPr>
          </m:sSubSupPr>
          <m:e>
            <m:r>
              <m:rPr>
                <m:sty m:val="p"/>
              </m:rPr>
              <w:rPr>
                <w:rFonts w:ascii="Cambria Math" w:hAnsi="Cambria Math"/>
                <w:lang w:val="en-US"/>
              </w:rPr>
              <m:t>T</m:t>
            </m:r>
          </m:e>
          <m:sub>
            <m:r>
              <m:rPr>
                <m:sty m:val="p"/>
              </m:rPr>
              <w:rPr>
                <w:rFonts w:ascii="Cambria Math" w:hAnsi="Cambria Math"/>
                <w:lang w:val="en-US"/>
              </w:rPr>
              <m:t>i,t</m:t>
            </m:r>
          </m:sub>
          <m:sup>
            <m:r>
              <w:rPr>
                <w:rFonts w:ascii="Cambria Math" w:hAnsi="Cambria Math"/>
                <w:lang w:val="en-US"/>
              </w:rPr>
              <m:t>u</m:t>
            </m:r>
            <m:r>
              <m:rPr>
                <m:sty m:val="p"/>
              </m:rPr>
              <w:rPr>
                <w:rFonts w:ascii="Cambria Math" w:hAnsi="Cambria Math"/>
                <w:lang w:val="en-US"/>
              </w:rPr>
              <m:t xml:space="preserve"> </m:t>
            </m:r>
          </m:sup>
        </m:sSubSup>
      </m:oMath>
      <w:r w:rsidR="00B5227C" w:rsidRPr="00B5227C">
        <w:rPr>
          <w:lang w:val="en-US"/>
        </w:rPr>
        <w:t>+</w:t>
      </w:r>
      <m:oMath>
        <m:r>
          <w:rPr>
            <w:rFonts w:ascii="Cambria Math" w:hAnsi="Cambria Math"/>
            <w:szCs w:val="24"/>
            <w:lang w:val="en-US"/>
          </w:rPr>
          <m:t xml:space="preserve"> </m:t>
        </m:r>
        <m:sSubSup>
          <m:sSubSupPr>
            <m:ctrlPr>
              <w:rPr>
                <w:rFonts w:ascii="Cambria Math" w:hAnsi="Cambria Math"/>
                <w:lang w:val="en-US"/>
              </w:rPr>
            </m:ctrlPr>
          </m:sSubSupPr>
          <m:e>
            <m:acc>
              <m:accPr>
                <m:ctrlPr>
                  <w:rPr>
                    <w:rFonts w:ascii="Cambria Math" w:hAnsi="Cambria Math"/>
                    <w:lang w:val="en-US"/>
                  </w:rPr>
                </m:ctrlPr>
              </m:accPr>
              <m:e>
                <m:r>
                  <m:rPr>
                    <m:sty m:val="p"/>
                  </m:rPr>
                  <w:rPr>
                    <w:rFonts w:ascii="Cambria Math" w:hAnsi="Cambria Math"/>
                    <w:lang w:val="en-US"/>
                  </w:rPr>
                  <m:t>β</m:t>
                </m:r>
              </m:e>
            </m:acc>
          </m:e>
          <m:sub>
            <m:r>
              <m:rPr>
                <m:sty m:val="p"/>
              </m:rPr>
              <w:rPr>
                <w:rFonts w:ascii="Cambria Math" w:hAnsi="Cambria Math"/>
                <w:lang w:val="en-US"/>
              </w:rPr>
              <m:t>i,Z</m:t>
            </m:r>
          </m:sub>
          <m:sup>
            <m:r>
              <w:rPr>
                <w:rFonts w:ascii="Cambria Math" w:hAnsi="Cambria Math"/>
                <w:lang w:val="en-US"/>
              </w:rPr>
              <m:t>u</m:t>
            </m:r>
          </m:sup>
        </m:sSubSup>
        <m:sSubSup>
          <m:sSubSupPr>
            <m:ctrlPr>
              <w:rPr>
                <w:rFonts w:ascii="Cambria Math" w:hAnsi="Cambria Math"/>
                <w:lang w:val="en-US"/>
              </w:rPr>
            </m:ctrlPr>
          </m:sSubSupPr>
          <m:e>
            <m:r>
              <m:rPr>
                <m:sty m:val="p"/>
              </m:rPr>
              <w:rPr>
                <w:rFonts w:ascii="Cambria Math" w:hAnsi="Cambria Math"/>
                <w:lang w:val="en-US"/>
              </w:rPr>
              <m:t>Z</m:t>
            </m:r>
          </m:e>
          <m:sub>
            <m:r>
              <m:rPr>
                <m:sty m:val="p"/>
              </m:rPr>
              <w:rPr>
                <w:rFonts w:ascii="Cambria Math" w:hAnsi="Cambria Math"/>
                <w:lang w:val="en-US"/>
              </w:rPr>
              <m:t>i,t</m:t>
            </m:r>
          </m:sub>
          <m:sup>
            <m:r>
              <w:rPr>
                <w:rFonts w:ascii="Cambria Math" w:hAnsi="Cambria Math"/>
                <w:lang w:val="en-US"/>
              </w:rPr>
              <m:t>u</m:t>
            </m:r>
          </m:sup>
        </m:sSubSup>
      </m:oMath>
      <w:r w:rsidR="00B5227C">
        <w:rPr>
          <w:lang w:val="en-US"/>
        </w:rPr>
        <w:t>)</w:t>
      </w:r>
      <w:r w:rsidR="00D85FC1">
        <w:rPr>
          <w:lang w:val="en-US"/>
        </w:rPr>
        <w:t xml:space="preserve">, </w:t>
      </w:r>
      <w:r w:rsidR="00D85FC1" w:rsidRPr="00742D39">
        <w:rPr>
          <w:rFonts w:eastAsia="Times New Roman" w:cs="Times New Roman"/>
          <w:i/>
          <w:szCs w:val="20"/>
          <w:lang w:val="en-US"/>
        </w:rPr>
        <w:t>i</w:t>
      </w:r>
      <w:r w:rsidR="00D85FC1">
        <w:rPr>
          <w:rFonts w:eastAsia="Times New Roman" w:cs="Times New Roman"/>
          <w:szCs w:val="20"/>
          <w:lang w:val="en-US"/>
        </w:rPr>
        <w:t xml:space="preserve"> = A, E, L and U.</w:t>
      </w:r>
      <w:r w:rsidR="00B5227C">
        <w:rPr>
          <w:lang w:val="en-US"/>
        </w:rPr>
        <w:t xml:space="preserve"> </w:t>
      </w:r>
      <w:r w:rsidR="00944C4F">
        <w:rPr>
          <w:lang w:val="en-US"/>
        </w:rPr>
        <w:t xml:space="preserve"> </w:t>
      </w:r>
      <w:r w:rsidR="00D85FC1">
        <w:rPr>
          <w:lang w:val="en-US"/>
        </w:rPr>
        <w:t xml:space="preserve">Since </w:t>
      </w:r>
      <w:r w:rsidR="00491E4C">
        <w:rPr>
          <w:lang w:val="en-US"/>
        </w:rPr>
        <w:t>Priv</w:t>
      </w:r>
      <w:r w:rsidR="00491E4C">
        <w:rPr>
          <w:vertAlign w:val="subscript"/>
          <w:lang w:val="en-US"/>
        </w:rPr>
        <w:t>i,t</w:t>
      </w:r>
      <w:r w:rsidR="00491E4C">
        <w:rPr>
          <w:lang w:val="en-US"/>
        </w:rPr>
        <w:t xml:space="preserve"> </w:t>
      </w:r>
      <w:r w:rsidR="00D85FC1">
        <w:rPr>
          <w:lang w:val="en-US"/>
        </w:rPr>
        <w:t xml:space="preserve">are </w:t>
      </w:r>
      <w:r w:rsidR="006D411E">
        <w:rPr>
          <w:lang w:val="en-US"/>
        </w:rPr>
        <w:t xml:space="preserve">the </w:t>
      </w:r>
      <w:r w:rsidR="00D85FC1">
        <w:rPr>
          <w:lang w:val="en-US"/>
        </w:rPr>
        <w:t>estimate</w:t>
      </w:r>
      <w:r w:rsidR="006D411E">
        <w:rPr>
          <w:lang w:val="en-US"/>
        </w:rPr>
        <w:t>d</w:t>
      </w:r>
      <w:r w:rsidR="00D85FC1">
        <w:rPr>
          <w:lang w:val="en-US"/>
        </w:rPr>
        <w:t xml:space="preserve"> variances</w:t>
      </w:r>
      <w:r w:rsidR="006D411E">
        <w:rPr>
          <w:lang w:val="en-US"/>
        </w:rPr>
        <w:t xml:space="preserve"> of changes of the efficient price</w:t>
      </w:r>
      <w:r w:rsidR="00491E4C">
        <w:rPr>
          <w:lang w:val="en-US"/>
        </w:rPr>
        <w:t xml:space="preserve"> due to private information</w:t>
      </w:r>
      <w:r w:rsidR="00D85FC1">
        <w:rPr>
          <w:lang w:val="en-US"/>
        </w:rPr>
        <w:t xml:space="preserve">, </w:t>
      </w:r>
      <w:r w:rsidR="00491E4C">
        <w:rPr>
          <w:lang w:val="en-US"/>
        </w:rPr>
        <w:t xml:space="preserve">the total </w:t>
      </w:r>
      <w:r w:rsidR="00D85FC1">
        <w:rPr>
          <w:lang w:val="en-US"/>
        </w:rPr>
        <w:t xml:space="preserve">private information on day </w:t>
      </w:r>
      <w:r w:rsidR="00D85FC1" w:rsidRPr="00742D39">
        <w:rPr>
          <w:i/>
          <w:lang w:val="en-US"/>
        </w:rPr>
        <w:t>t</w:t>
      </w:r>
      <w:r w:rsidR="00D85FC1">
        <w:rPr>
          <w:lang w:val="en-US"/>
        </w:rPr>
        <w:t xml:space="preserve"> is </w:t>
      </w:r>
      <w:r w:rsidR="00D85FC1" w:rsidRPr="00D85FC1">
        <w:rPr>
          <w:rFonts w:cs="Times New Roman"/>
          <w:lang w:val="en-US"/>
        </w:rPr>
        <w:t xml:space="preserve">given by </w:t>
      </w:r>
      <w:r w:rsidR="00D85FC1" w:rsidRPr="00D85FC1">
        <w:rPr>
          <w:rFonts w:eastAsiaTheme="minorEastAsia" w:cs="Times New Roman"/>
          <w:lang w:val="en-US"/>
        </w:rPr>
        <w:t>Priv</w:t>
      </w:r>
      <w:r w:rsidR="00D85FC1" w:rsidRPr="00D85FC1">
        <w:rPr>
          <w:rFonts w:eastAsiaTheme="minorEastAsia" w:cs="Times New Roman"/>
          <w:vertAlign w:val="subscript"/>
          <w:lang w:val="en-US"/>
        </w:rPr>
        <w:t>t</w:t>
      </w:r>
      <w:r w:rsidR="00D85FC1" w:rsidRPr="00D85FC1">
        <w:rPr>
          <w:rFonts w:eastAsiaTheme="minorEastAsia" w:cs="Times New Roman"/>
          <w:lang w:val="en-US"/>
        </w:rPr>
        <w:t xml:space="preserve"> = </w:t>
      </w:r>
      <m:oMath>
        <m:nary>
          <m:naryPr>
            <m:chr m:val="∑"/>
            <m:limLoc m:val="subSup"/>
            <m:ctrlPr>
              <w:rPr>
                <w:rFonts w:ascii="Cambria Math" w:hAnsi="Cambria Math" w:cs="Times New Roman"/>
                <w:lang w:val="en-US"/>
              </w:rPr>
            </m:ctrlPr>
          </m:naryPr>
          <m:sub>
            <m:r>
              <m:rPr>
                <m:sty m:val="p"/>
              </m:rPr>
              <w:rPr>
                <w:rFonts w:ascii="Cambria Math" w:hAnsi="Cambria Math" w:cs="Times New Roman"/>
                <w:lang w:val="en-US"/>
              </w:rPr>
              <m:t>i=A</m:t>
            </m:r>
          </m:sub>
          <m:sup>
            <m:r>
              <m:rPr>
                <m:sty m:val="p"/>
              </m:rPr>
              <w:rPr>
                <w:rFonts w:ascii="Cambria Math" w:hAnsi="Cambria Math" w:cs="Times New Roman"/>
                <w:lang w:val="en-US"/>
              </w:rPr>
              <m:t>U</m:t>
            </m:r>
          </m:sup>
          <m:e>
            <m:sSub>
              <m:sSubPr>
                <m:ctrlPr>
                  <w:rPr>
                    <w:rFonts w:ascii="Cambria Math" w:hAnsi="Cambria Math" w:cs="Times New Roman"/>
                    <w:lang w:val="en-US"/>
                  </w:rPr>
                </m:ctrlPr>
              </m:sSubPr>
              <m:e>
                <m:r>
                  <m:rPr>
                    <m:sty m:val="p"/>
                  </m:rPr>
                  <w:rPr>
                    <w:rFonts w:ascii="Cambria Math" w:hAnsi="Cambria Math" w:cs="Times New Roman"/>
                    <w:lang w:val="en-US"/>
                  </w:rPr>
                  <m:t>Priv</m:t>
                </m:r>
              </m:e>
              <m:sub>
                <m:r>
                  <m:rPr>
                    <m:sty m:val="p"/>
                  </m:rPr>
                  <w:rPr>
                    <w:rFonts w:ascii="Cambria Math" w:hAnsi="Cambria Math" w:cs="Times New Roman"/>
                    <w:lang w:val="en-US"/>
                  </w:rPr>
                  <m:t>i,t</m:t>
                </m:r>
              </m:sub>
            </m:sSub>
          </m:e>
        </m:nary>
      </m:oMath>
      <w:r w:rsidR="00642590">
        <w:rPr>
          <w:rFonts w:eastAsiaTheme="minorEastAsia" w:cs="Times New Roman"/>
          <w:lang w:val="en-US"/>
        </w:rPr>
        <w:t xml:space="preserve">.  </w:t>
      </w:r>
      <w:r w:rsidR="00571C10">
        <w:rPr>
          <w:rFonts w:eastAsiaTheme="minorEastAsia" w:cs="Times New Roman"/>
          <w:lang w:val="en-US"/>
        </w:rPr>
        <w:t xml:space="preserve">The share of private information of market </w:t>
      </w:r>
      <w:r w:rsidR="00571C10" w:rsidRPr="00742D39">
        <w:rPr>
          <w:rFonts w:eastAsiaTheme="minorEastAsia" w:cs="Times New Roman"/>
          <w:i/>
          <w:lang w:val="en-US"/>
        </w:rPr>
        <w:t>i</w:t>
      </w:r>
      <w:r w:rsidR="00571C10">
        <w:rPr>
          <w:rFonts w:eastAsiaTheme="minorEastAsia" w:cs="Times New Roman"/>
          <w:lang w:val="en-US"/>
        </w:rPr>
        <w:t xml:space="preserve"> on day </w:t>
      </w:r>
      <w:r w:rsidR="00571C10" w:rsidRPr="00742D39">
        <w:rPr>
          <w:rFonts w:eastAsiaTheme="minorEastAsia" w:cs="Times New Roman"/>
          <w:i/>
          <w:lang w:val="en-US"/>
        </w:rPr>
        <w:t>t</w:t>
      </w:r>
      <w:r w:rsidR="00571C10">
        <w:rPr>
          <w:rFonts w:eastAsiaTheme="minorEastAsia" w:cs="Times New Roman"/>
          <w:lang w:val="en-US"/>
        </w:rPr>
        <w:t xml:space="preserve"> is </w:t>
      </w:r>
      <w:r w:rsidR="00571C10">
        <w:rPr>
          <w:lang w:val="en-US"/>
        </w:rPr>
        <w:t>Priv</w:t>
      </w:r>
      <w:r w:rsidR="00571C10">
        <w:rPr>
          <w:vertAlign w:val="subscript"/>
          <w:lang w:val="en-US"/>
        </w:rPr>
        <w:t>i,t</w:t>
      </w:r>
      <w:r w:rsidR="00571C10">
        <w:rPr>
          <w:lang w:val="en-US"/>
        </w:rPr>
        <w:t>/Priv</w:t>
      </w:r>
      <w:r w:rsidR="00571C10">
        <w:rPr>
          <w:vertAlign w:val="subscript"/>
          <w:lang w:val="en-US"/>
        </w:rPr>
        <w:t>t</w:t>
      </w:r>
      <w:r w:rsidR="00571C10">
        <w:rPr>
          <w:lang w:val="en-US"/>
        </w:rPr>
        <w:t xml:space="preserve">.  </w:t>
      </w:r>
    </w:p>
    <w:p w:rsidR="00D90EA3" w:rsidRDefault="00571C10" w:rsidP="007A2917">
      <w:pPr>
        <w:rPr>
          <w:lang w:val="en-US"/>
        </w:rPr>
      </w:pPr>
      <w:r>
        <w:rPr>
          <w:lang w:val="en-US"/>
        </w:rPr>
        <w:lastRenderedPageBreak/>
        <w:t xml:space="preserve">Table VI reports </w:t>
      </w:r>
      <w:r w:rsidR="00D90EA3">
        <w:rPr>
          <w:lang w:val="en-US"/>
        </w:rPr>
        <w:t xml:space="preserve">the estimated private information flows, private information shares, and per-hour private information shares across markets and over time.  </w:t>
      </w:r>
    </w:p>
    <w:p w:rsidR="00D90EA3" w:rsidRPr="00D90EA3" w:rsidRDefault="00D90EA3" w:rsidP="00D90EA3">
      <w:pPr>
        <w:pStyle w:val="ListParagraph"/>
        <w:numPr>
          <w:ilvl w:val="0"/>
          <w:numId w:val="7"/>
        </w:numPr>
        <w:rPr>
          <w:rFonts w:cs="Times New Roman"/>
          <w:lang w:val="en-US"/>
        </w:rPr>
      </w:pPr>
      <w:r>
        <w:rPr>
          <w:lang w:val="en-US"/>
        </w:rPr>
        <w:t>Panel A shows that t</w:t>
      </w:r>
      <w:r w:rsidR="00571C10" w:rsidRPr="00D90EA3">
        <w:rPr>
          <w:lang w:val="en-US"/>
        </w:rPr>
        <w:t xml:space="preserve">he </w:t>
      </w:r>
      <w:r w:rsidR="00A0213D" w:rsidRPr="00D90EA3">
        <w:rPr>
          <w:lang w:val="en-US"/>
        </w:rPr>
        <w:t xml:space="preserve">order flow-based private information flows are remarkably stable, especially during 1996 – 2007.  This is different from the volatility-based </w:t>
      </w:r>
      <w:r w:rsidR="00E30B3E">
        <w:rPr>
          <w:lang w:val="en-US"/>
        </w:rPr>
        <w:t>overall information</w:t>
      </w:r>
      <w:r w:rsidR="00A0213D" w:rsidRPr="00D90EA3">
        <w:rPr>
          <w:lang w:val="en-US"/>
        </w:rPr>
        <w:t xml:space="preserve"> shares depicted in Figure 3a.  </w:t>
      </w:r>
      <w:r w:rsidR="0066662B" w:rsidRPr="00D90EA3">
        <w:rPr>
          <w:lang w:val="en-US"/>
        </w:rPr>
        <w:t xml:space="preserve">It is consistent with the relatively flat total OTC volume from 1996 to 2007 period.  The surge in trading in 2008 – 2012 is associated with a significant drop in Asia’s share of private information and increases in Europe and U.S.  </w:t>
      </w:r>
      <w:r>
        <w:rPr>
          <w:lang w:val="en-US"/>
        </w:rPr>
        <w:t xml:space="preserve">The severe financial crisis in 2008 – 2009 had its origin in the U.S. market.  It was followed by crises in southern European countries in 2010 – 2011. These crises pushed the demand for gold as the safe-haven asset and greater information-motivated trading in Europe and U.S.  </w:t>
      </w:r>
    </w:p>
    <w:p w:rsidR="00571C10" w:rsidRPr="002E6C82" w:rsidRDefault="002E6C82" w:rsidP="00D90EA3">
      <w:pPr>
        <w:pStyle w:val="ListParagraph"/>
        <w:numPr>
          <w:ilvl w:val="0"/>
          <w:numId w:val="7"/>
        </w:numPr>
        <w:rPr>
          <w:rFonts w:cs="Times New Roman"/>
          <w:lang w:val="en-US"/>
        </w:rPr>
      </w:pPr>
      <w:r>
        <w:rPr>
          <w:lang w:val="en-US"/>
        </w:rPr>
        <w:t>Panel B shows that c</w:t>
      </w:r>
      <w:r w:rsidR="00D90EA3">
        <w:rPr>
          <w:lang w:val="en-US"/>
        </w:rPr>
        <w:t xml:space="preserve">ompared to the </w:t>
      </w:r>
      <w:r w:rsidR="00E30B3E">
        <w:rPr>
          <w:lang w:val="en-US"/>
        </w:rPr>
        <w:t>overall information</w:t>
      </w:r>
      <w:r w:rsidR="00D90EA3">
        <w:rPr>
          <w:lang w:val="en-US"/>
        </w:rPr>
        <w:t xml:space="preserve"> distribution in Table III, </w:t>
      </w:r>
      <w:r w:rsidR="002644E3">
        <w:rPr>
          <w:lang w:val="en-US"/>
        </w:rPr>
        <w:t xml:space="preserve">London/New York has a slightly higher share of private information.  Again this is not surprising since London and New York are the global hubs for the trading of gold and gold-relevant assets. </w:t>
      </w:r>
      <w:r w:rsidR="000F15A6">
        <w:rPr>
          <w:lang w:val="en-US"/>
        </w:rPr>
        <w:t xml:space="preserve">The distribution of private information across Asia, Europe, and U.S. is flatter relative to the distribution of the </w:t>
      </w:r>
      <w:r w:rsidR="00E30B3E">
        <w:rPr>
          <w:lang w:val="en-US"/>
        </w:rPr>
        <w:t>overall information</w:t>
      </w:r>
      <w:r w:rsidR="000F15A6">
        <w:rPr>
          <w:lang w:val="en-US"/>
        </w:rPr>
        <w:t xml:space="preserve">.  Asia’s share of private information is 21.6% for the full sample, significantly higher than its 17% share of the </w:t>
      </w:r>
      <w:r w:rsidR="00E30B3E">
        <w:rPr>
          <w:lang w:val="en-US"/>
        </w:rPr>
        <w:t>overall information</w:t>
      </w:r>
      <w:r w:rsidR="000F15A6">
        <w:rPr>
          <w:lang w:val="en-US"/>
        </w:rPr>
        <w:t xml:space="preserve">.  Europe and U.S. have 27.6% and 26.8% shares of private information respectively, lower than their shares of general information.  </w:t>
      </w:r>
      <w:r w:rsidR="00A4397C">
        <w:rPr>
          <w:lang w:val="en-US"/>
        </w:rPr>
        <w:t xml:space="preserve">The flatter distribution of private information may reflect the presence of the same global dealers, mostly investment banks, in different markets.  In addition, gold is widely held as an investment asset in Asia while it is widely used by institutional investors in Europe and U.S. as a hedge against volatilities in other assets.  </w:t>
      </w:r>
    </w:p>
    <w:p w:rsidR="002E6C82" w:rsidRPr="00D90EA3" w:rsidRDefault="002E6C82" w:rsidP="00D90EA3">
      <w:pPr>
        <w:pStyle w:val="ListParagraph"/>
        <w:numPr>
          <w:ilvl w:val="0"/>
          <w:numId w:val="7"/>
        </w:numPr>
        <w:rPr>
          <w:rFonts w:cs="Times New Roman"/>
          <w:lang w:val="en-US"/>
        </w:rPr>
      </w:pPr>
      <w:r>
        <w:rPr>
          <w:lang w:val="en-US"/>
        </w:rPr>
        <w:t>The per-hour private information share (Panel C) of Asia is still very low relative to other markets and has decreased over time.  For the full sample, it is about 70% of the per-hour shares of Europe and U.S. and</w:t>
      </w:r>
      <w:r w:rsidR="005858D4">
        <w:rPr>
          <w:lang w:val="en-US"/>
        </w:rPr>
        <w:t xml:space="preserve"> only</w:t>
      </w:r>
      <w:r>
        <w:rPr>
          <w:lang w:val="en-US"/>
        </w:rPr>
        <w:t xml:space="preserve"> 23% of the per-hour share of London/New York.  </w:t>
      </w:r>
      <w:r w:rsidR="00484155">
        <w:rPr>
          <w:lang w:val="en-US"/>
        </w:rPr>
        <w:t xml:space="preserve">Gold trading in Asia is dominated by </w:t>
      </w:r>
      <w:r w:rsidR="00A84216">
        <w:rPr>
          <w:lang w:val="en-US"/>
        </w:rPr>
        <w:t xml:space="preserve">individual speculators and it is dominated in other markets by large </w:t>
      </w:r>
      <w:r w:rsidR="00A84216">
        <w:rPr>
          <w:lang w:val="en-US"/>
        </w:rPr>
        <w:lastRenderedPageBreak/>
        <w:t xml:space="preserve">financial institutions. </w:t>
      </w:r>
      <w:r w:rsidR="00BB200B">
        <w:rPr>
          <w:lang w:val="en-US"/>
        </w:rPr>
        <w:t xml:space="preserve"> T</w:t>
      </w:r>
      <w:r w:rsidR="00BB200B">
        <w:rPr>
          <w:rFonts w:cs="Times New Roman"/>
          <w:szCs w:val="24"/>
          <w:lang w:val="en-US"/>
        </w:rPr>
        <w:t>he institutional capacity for information collection and processing is much stronger in Europe and U.S. than it is in Asia.</w:t>
      </w:r>
    </w:p>
    <w:p w:rsidR="00D31BBE" w:rsidRPr="00AD1235" w:rsidRDefault="00080EA1" w:rsidP="00133D23">
      <w:pPr>
        <w:spacing w:line="240" w:lineRule="auto"/>
        <w:ind w:firstLine="0"/>
        <w:jc w:val="center"/>
        <w:rPr>
          <w:vertAlign w:val="superscript"/>
          <w:lang w:val="en-US"/>
        </w:rPr>
      </w:pPr>
      <w:r>
        <w:rPr>
          <w:szCs w:val="24"/>
          <w:lang w:val="en-US"/>
        </w:rPr>
        <w:t xml:space="preserve"> </w:t>
      </w:r>
      <w:r w:rsidR="00AD1235">
        <w:rPr>
          <w:szCs w:val="24"/>
          <w:lang w:val="en-US"/>
        </w:rPr>
        <w:t>[INSERT TABLE V</w:t>
      </w:r>
      <w:r w:rsidR="00C96270">
        <w:rPr>
          <w:szCs w:val="24"/>
          <w:lang w:val="en-US"/>
        </w:rPr>
        <w:t>I</w:t>
      </w:r>
      <w:r w:rsidR="006A506C">
        <w:rPr>
          <w:szCs w:val="24"/>
          <w:lang w:val="en-US"/>
        </w:rPr>
        <w:t xml:space="preserve"> HERE</w:t>
      </w:r>
      <w:r w:rsidR="00AD1235">
        <w:rPr>
          <w:szCs w:val="24"/>
          <w:lang w:val="en-US"/>
        </w:rPr>
        <w:t>]</w:t>
      </w:r>
    </w:p>
    <w:p w:rsidR="00F97DA8" w:rsidRPr="00382CCC" w:rsidRDefault="00F97DA8" w:rsidP="00F97DA8">
      <w:pPr>
        <w:pStyle w:val="TitlesCentred"/>
        <w:numPr>
          <w:ilvl w:val="0"/>
          <w:numId w:val="2"/>
        </w:numPr>
        <w:spacing w:before="240"/>
        <w:jc w:val="both"/>
      </w:pPr>
      <w:r>
        <w:t>Conclusion</w:t>
      </w:r>
    </w:p>
    <w:p w:rsidR="00D05325" w:rsidRDefault="00886201">
      <w:pPr>
        <w:contextualSpacing/>
        <w:rPr>
          <w:rFonts w:cs="Times New Roman"/>
          <w:szCs w:val="24"/>
          <w:lang w:val="en-US"/>
        </w:rPr>
      </w:pPr>
      <w:r>
        <w:rPr>
          <w:rFonts w:cs="Times New Roman"/>
          <w:szCs w:val="24"/>
          <w:lang w:val="en-US"/>
        </w:rPr>
        <w:t xml:space="preserve">Asia has been the largest producer and consumer of gold for many years.  Demand for gold in China, as a portion of the total global demand, has a strong positive correlation with gold price.  </w:t>
      </w:r>
      <w:r w:rsidR="00F773FF">
        <w:rPr>
          <w:rFonts w:cs="Times New Roman"/>
          <w:szCs w:val="24"/>
          <w:lang w:val="en-US"/>
        </w:rPr>
        <w:t xml:space="preserve">Financial trading of gold-related spot and futures contracts has surged in Asia, particularly Shanghai.  </w:t>
      </w:r>
      <w:r>
        <w:rPr>
          <w:rFonts w:cs="Times New Roman"/>
          <w:szCs w:val="24"/>
          <w:lang w:val="en-US"/>
        </w:rPr>
        <w:t xml:space="preserve">These observations led us to </w:t>
      </w:r>
      <w:r w:rsidR="00F773FF">
        <w:rPr>
          <w:rFonts w:cs="Times New Roman"/>
          <w:szCs w:val="24"/>
          <w:lang w:val="en-US"/>
        </w:rPr>
        <w:t>the hypothesis that</w:t>
      </w:r>
      <w:r w:rsidR="00D05325">
        <w:rPr>
          <w:rFonts w:cs="Times New Roman"/>
          <w:szCs w:val="24"/>
          <w:lang w:val="en-US"/>
        </w:rPr>
        <w:t xml:space="preserve"> </w:t>
      </w:r>
      <w:r w:rsidR="00F773FF">
        <w:rPr>
          <w:rFonts w:cs="Times New Roman"/>
          <w:szCs w:val="24"/>
          <w:lang w:val="en-US"/>
        </w:rPr>
        <w:t xml:space="preserve">Asia is playing a greater role in the </w:t>
      </w:r>
      <w:r w:rsidR="00A7113A">
        <w:rPr>
          <w:rFonts w:cs="Times New Roman"/>
          <w:szCs w:val="24"/>
          <w:lang w:val="en-US"/>
        </w:rPr>
        <w:t xml:space="preserve">global gold market and trading in Asia has greater </w:t>
      </w:r>
      <w:r w:rsidR="00F773FF">
        <w:rPr>
          <w:rFonts w:cs="Times New Roman"/>
          <w:szCs w:val="24"/>
          <w:lang w:val="en-US"/>
        </w:rPr>
        <w:t xml:space="preserve">information </w:t>
      </w:r>
      <w:r w:rsidR="00A7113A">
        <w:rPr>
          <w:rFonts w:cs="Times New Roman"/>
          <w:szCs w:val="24"/>
          <w:lang w:val="en-US"/>
        </w:rPr>
        <w:t>content for the pricing of gold</w:t>
      </w:r>
      <w:r w:rsidR="00D05325">
        <w:rPr>
          <w:rFonts w:cs="Times New Roman"/>
          <w:szCs w:val="24"/>
          <w:lang w:val="en-US"/>
        </w:rPr>
        <w:t xml:space="preserve">. </w:t>
      </w:r>
    </w:p>
    <w:p w:rsidR="0008109C" w:rsidRDefault="00D05325">
      <w:pPr>
        <w:contextualSpacing/>
        <w:rPr>
          <w:rFonts w:cs="Times New Roman"/>
          <w:szCs w:val="24"/>
          <w:lang w:val="en-US"/>
        </w:rPr>
      </w:pPr>
      <w:r>
        <w:rPr>
          <w:rFonts w:cs="Times New Roman"/>
          <w:szCs w:val="24"/>
          <w:lang w:val="en-US"/>
        </w:rPr>
        <w:t xml:space="preserve">Using the </w:t>
      </w:r>
      <w:r w:rsidR="00BE63FB">
        <w:rPr>
          <w:rFonts w:cs="Times New Roman"/>
          <w:szCs w:val="24"/>
          <w:lang w:val="en-US"/>
        </w:rPr>
        <w:t>two-scale</w:t>
      </w:r>
      <w:r>
        <w:rPr>
          <w:rFonts w:cs="Times New Roman"/>
          <w:szCs w:val="24"/>
          <w:lang w:val="en-US"/>
        </w:rPr>
        <w:t xml:space="preserve"> estimator of realized varian</w:t>
      </w:r>
      <w:r w:rsidR="00260233">
        <w:rPr>
          <w:rFonts w:cs="Times New Roman"/>
          <w:szCs w:val="24"/>
          <w:lang w:val="en-US"/>
        </w:rPr>
        <w:t xml:space="preserve">ce </w:t>
      </w:r>
      <w:r w:rsidR="00A7113A">
        <w:rPr>
          <w:rFonts w:cs="Times New Roman"/>
          <w:szCs w:val="24"/>
          <w:lang w:val="en-US"/>
        </w:rPr>
        <w:t xml:space="preserve">as a proxy for information flow, </w:t>
      </w:r>
      <w:r>
        <w:rPr>
          <w:rFonts w:cs="Times New Roman"/>
          <w:szCs w:val="24"/>
          <w:lang w:val="en-US"/>
        </w:rPr>
        <w:t xml:space="preserve">we reject </w:t>
      </w:r>
      <w:r w:rsidR="00A7113A">
        <w:rPr>
          <w:rFonts w:cs="Times New Roman"/>
          <w:szCs w:val="24"/>
          <w:lang w:val="en-US"/>
        </w:rPr>
        <w:t>the</w:t>
      </w:r>
      <w:r w:rsidR="00711A82" w:rsidRPr="0099458E">
        <w:rPr>
          <w:rFonts w:cs="Times New Roman"/>
          <w:szCs w:val="24"/>
          <w:lang w:val="en-US"/>
        </w:rPr>
        <w:t xml:space="preserve"> hypothesis as Asia’s information share </w:t>
      </w:r>
      <w:r w:rsidR="00A7113A">
        <w:rPr>
          <w:rFonts w:cs="Times New Roman"/>
          <w:szCs w:val="24"/>
          <w:lang w:val="en-US"/>
        </w:rPr>
        <w:t>has increased in</w:t>
      </w:r>
      <w:r w:rsidR="00711A82" w:rsidRPr="0099458E">
        <w:rPr>
          <w:rFonts w:cs="Times New Roman"/>
          <w:szCs w:val="24"/>
          <w:lang w:val="en-US"/>
        </w:rPr>
        <w:t xml:space="preserve"> proportion</w:t>
      </w:r>
      <w:r>
        <w:rPr>
          <w:rFonts w:cs="Times New Roman"/>
          <w:szCs w:val="24"/>
          <w:lang w:val="en-US"/>
        </w:rPr>
        <w:t xml:space="preserve"> to its demand and trade share</w:t>
      </w:r>
      <w:r w:rsidR="00A7113A">
        <w:rPr>
          <w:rFonts w:cs="Times New Roman"/>
          <w:szCs w:val="24"/>
          <w:lang w:val="en-US"/>
        </w:rPr>
        <w:t xml:space="preserve"> during 1996 – 2012</w:t>
      </w:r>
      <w:r>
        <w:rPr>
          <w:rFonts w:cs="Times New Roman"/>
          <w:szCs w:val="24"/>
          <w:lang w:val="en-US"/>
        </w:rPr>
        <w:t>.</w:t>
      </w:r>
      <w:r w:rsidR="0008109C">
        <w:rPr>
          <w:rFonts w:cs="Times New Roman"/>
          <w:szCs w:val="24"/>
          <w:lang w:val="en-US"/>
        </w:rPr>
        <w:t xml:space="preserve"> </w:t>
      </w:r>
      <w:r w:rsidR="00A7113A">
        <w:rPr>
          <w:rFonts w:cs="Times New Roman"/>
          <w:szCs w:val="24"/>
          <w:lang w:val="en-US"/>
        </w:rPr>
        <w:t>W</w:t>
      </w:r>
      <w:r w:rsidR="0008109C">
        <w:rPr>
          <w:rFonts w:cs="Times New Roman"/>
          <w:szCs w:val="24"/>
          <w:lang w:val="en-US"/>
        </w:rPr>
        <w:t>e find t</w:t>
      </w:r>
      <w:r w:rsidR="00813944">
        <w:rPr>
          <w:rFonts w:cs="Times New Roman"/>
          <w:szCs w:val="24"/>
          <w:lang w:val="en-US"/>
        </w:rPr>
        <w:t>he eight-</w:t>
      </w:r>
      <w:r w:rsidR="0008109C">
        <w:rPr>
          <w:rFonts w:cs="Times New Roman"/>
          <w:szCs w:val="24"/>
          <w:lang w:val="en-US"/>
        </w:rPr>
        <w:t xml:space="preserve">hour Asian </w:t>
      </w:r>
      <w:r w:rsidR="00A7113A">
        <w:rPr>
          <w:rFonts w:cs="Times New Roman"/>
          <w:szCs w:val="24"/>
          <w:lang w:val="en-US"/>
        </w:rPr>
        <w:t>trading</w:t>
      </w:r>
      <w:r w:rsidR="0008109C">
        <w:rPr>
          <w:rFonts w:cs="Times New Roman"/>
          <w:szCs w:val="24"/>
          <w:lang w:val="en-US"/>
        </w:rPr>
        <w:t xml:space="preserve"> only contributes on average 17% towards </w:t>
      </w:r>
      <w:r w:rsidR="00A7113A">
        <w:rPr>
          <w:rFonts w:cs="Times New Roman"/>
          <w:szCs w:val="24"/>
          <w:lang w:val="en-US"/>
        </w:rPr>
        <w:t xml:space="preserve">daily </w:t>
      </w:r>
      <w:r w:rsidR="0008109C">
        <w:rPr>
          <w:rFonts w:cs="Times New Roman"/>
          <w:szCs w:val="24"/>
          <w:lang w:val="en-US"/>
        </w:rPr>
        <w:t>information</w:t>
      </w:r>
      <w:r w:rsidR="00813944">
        <w:rPr>
          <w:rFonts w:cs="Times New Roman"/>
          <w:szCs w:val="24"/>
          <w:lang w:val="en-US"/>
        </w:rPr>
        <w:t xml:space="preserve"> </w:t>
      </w:r>
      <w:r w:rsidR="00A7113A">
        <w:rPr>
          <w:rFonts w:cs="Times New Roman"/>
          <w:szCs w:val="24"/>
          <w:lang w:val="en-US"/>
        </w:rPr>
        <w:t>flows</w:t>
      </w:r>
      <w:r w:rsidR="007F29CA">
        <w:rPr>
          <w:rFonts w:cs="Times New Roman"/>
          <w:szCs w:val="24"/>
          <w:lang w:val="en-US"/>
        </w:rPr>
        <w:t xml:space="preserve">, while </w:t>
      </w:r>
      <w:r w:rsidR="0008109C">
        <w:rPr>
          <w:rFonts w:cs="Times New Roman"/>
          <w:szCs w:val="24"/>
          <w:lang w:val="en-US"/>
        </w:rPr>
        <w:t xml:space="preserve">the two-hour London/New York </w:t>
      </w:r>
      <w:r w:rsidR="002C5626">
        <w:rPr>
          <w:rFonts w:cs="Times New Roman"/>
          <w:szCs w:val="24"/>
          <w:lang w:val="en-US"/>
        </w:rPr>
        <w:t>market</w:t>
      </w:r>
      <w:r w:rsidR="0008109C">
        <w:rPr>
          <w:rFonts w:cs="Times New Roman"/>
          <w:szCs w:val="24"/>
          <w:lang w:val="en-US"/>
        </w:rPr>
        <w:t xml:space="preserve"> contributes 22%</w:t>
      </w:r>
      <w:r w:rsidR="007F29CA">
        <w:rPr>
          <w:rFonts w:cs="Times New Roman"/>
          <w:szCs w:val="24"/>
          <w:lang w:val="en-US"/>
        </w:rPr>
        <w:t>.  On a per-hour basis, the rate of information flow in London/New York is</w:t>
      </w:r>
      <w:r w:rsidR="0008109C">
        <w:rPr>
          <w:rFonts w:cs="Times New Roman"/>
          <w:szCs w:val="24"/>
          <w:lang w:val="en-US"/>
        </w:rPr>
        <w:t xml:space="preserve"> over five times </w:t>
      </w:r>
      <w:r w:rsidR="007F29CA">
        <w:rPr>
          <w:rFonts w:cs="Times New Roman"/>
          <w:szCs w:val="24"/>
          <w:lang w:val="en-US"/>
        </w:rPr>
        <w:t>of the rate of information flow in</w:t>
      </w:r>
      <w:r w:rsidR="0008109C">
        <w:rPr>
          <w:rFonts w:cs="Times New Roman"/>
          <w:szCs w:val="24"/>
          <w:lang w:val="en-US"/>
        </w:rPr>
        <w:t xml:space="preserve"> Asia. </w:t>
      </w:r>
      <w:r w:rsidR="007F29CA">
        <w:rPr>
          <w:rFonts w:cs="Times New Roman"/>
          <w:szCs w:val="24"/>
          <w:lang w:val="en-US"/>
        </w:rPr>
        <w:t>Contrary to its rising shares in trading volume, Asia’s information share has steadily decline</w:t>
      </w:r>
      <w:r w:rsidR="005F0E13">
        <w:rPr>
          <w:rFonts w:cs="Times New Roman"/>
          <w:szCs w:val="24"/>
          <w:lang w:val="en-US"/>
        </w:rPr>
        <w:t>d</w:t>
      </w:r>
      <w:r w:rsidR="007F29CA">
        <w:rPr>
          <w:rFonts w:cs="Times New Roman"/>
          <w:szCs w:val="24"/>
          <w:lang w:val="en-US"/>
        </w:rPr>
        <w:t xml:space="preserve"> from around 20% in the late 1990s to around 15% in 2009-2012.  W</w:t>
      </w:r>
      <w:r w:rsidR="0008109C">
        <w:rPr>
          <w:rFonts w:cs="Times New Roman"/>
          <w:szCs w:val="24"/>
          <w:lang w:val="en-US"/>
        </w:rPr>
        <w:t xml:space="preserve">hile </w:t>
      </w:r>
      <w:r w:rsidR="007F29CA">
        <w:rPr>
          <w:rFonts w:cs="Times New Roman"/>
          <w:szCs w:val="24"/>
          <w:lang w:val="en-US"/>
        </w:rPr>
        <w:t xml:space="preserve">gold is produced and consumed in Asia, its pricing is mostly determined </w:t>
      </w:r>
      <w:r w:rsidR="0008109C">
        <w:rPr>
          <w:rFonts w:cs="Times New Roman"/>
          <w:szCs w:val="24"/>
          <w:lang w:val="en-US"/>
        </w:rPr>
        <w:t>in Europe and the U.S.</w:t>
      </w:r>
      <w:r w:rsidR="005F0E13">
        <w:rPr>
          <w:rFonts w:cs="Times New Roman"/>
          <w:szCs w:val="24"/>
          <w:lang w:val="en-US"/>
        </w:rPr>
        <w:t>.</w:t>
      </w:r>
      <w:r w:rsidR="0008109C">
        <w:rPr>
          <w:rFonts w:cs="Times New Roman"/>
          <w:szCs w:val="24"/>
          <w:lang w:val="en-US"/>
        </w:rPr>
        <w:t xml:space="preserve"> </w:t>
      </w:r>
    </w:p>
    <w:p w:rsidR="000F6DF5" w:rsidRDefault="006345CA">
      <w:pPr>
        <w:contextualSpacing/>
        <w:rPr>
          <w:rFonts w:cs="Times New Roman"/>
          <w:szCs w:val="24"/>
          <w:lang w:val="en-US"/>
        </w:rPr>
      </w:pPr>
      <w:r>
        <w:rPr>
          <w:rFonts w:cs="Times New Roman"/>
          <w:szCs w:val="24"/>
          <w:lang w:val="en-US"/>
        </w:rPr>
        <w:t>W</w:t>
      </w:r>
      <w:r w:rsidR="00BA4475">
        <w:rPr>
          <w:rFonts w:cs="Times New Roman"/>
          <w:szCs w:val="24"/>
          <w:lang w:val="en-US"/>
        </w:rPr>
        <w:t xml:space="preserve">hen analyzing </w:t>
      </w:r>
      <w:r>
        <w:rPr>
          <w:rFonts w:cs="Times New Roman"/>
          <w:szCs w:val="24"/>
          <w:lang w:val="en-US"/>
        </w:rPr>
        <w:t>volatility dynamics</w:t>
      </w:r>
      <w:r w:rsidR="00BA4475">
        <w:rPr>
          <w:rFonts w:cs="Times New Roman"/>
          <w:szCs w:val="24"/>
          <w:lang w:val="en-US"/>
        </w:rPr>
        <w:t xml:space="preserve"> across markets, we find </w:t>
      </w:r>
      <w:r>
        <w:rPr>
          <w:rFonts w:cs="Times New Roman"/>
          <w:szCs w:val="24"/>
          <w:lang w:val="en-US"/>
        </w:rPr>
        <w:t>evidence of self-</w:t>
      </w:r>
      <w:r w:rsidR="00BA4475">
        <w:rPr>
          <w:rFonts w:cs="Times New Roman"/>
          <w:szCs w:val="24"/>
          <w:lang w:val="en-US"/>
        </w:rPr>
        <w:t xml:space="preserve">dependence </w:t>
      </w:r>
      <w:r>
        <w:rPr>
          <w:rFonts w:cs="Times New Roman"/>
          <w:szCs w:val="24"/>
          <w:lang w:val="en-US"/>
        </w:rPr>
        <w:t xml:space="preserve">where volatility in one market has a significant autocorrelation with its own lag 24 hours ago.  This self-dependence is strongest in Asia but also present in other markets.  </w:t>
      </w:r>
      <w:r w:rsidR="0023124F">
        <w:rPr>
          <w:rFonts w:cs="Times New Roman"/>
          <w:szCs w:val="24"/>
          <w:lang w:val="en-US"/>
        </w:rPr>
        <w:t xml:space="preserve">We </w:t>
      </w:r>
      <w:r w:rsidR="000F6DF5">
        <w:rPr>
          <w:rFonts w:cs="Times New Roman"/>
          <w:szCs w:val="24"/>
          <w:lang w:val="en-US"/>
        </w:rPr>
        <w:t xml:space="preserve">argue that it is </w:t>
      </w:r>
      <w:r w:rsidR="00FD1475">
        <w:rPr>
          <w:rFonts w:cs="Times New Roman"/>
          <w:szCs w:val="24"/>
          <w:lang w:val="en-US"/>
        </w:rPr>
        <w:t>unlikely to come from</w:t>
      </w:r>
      <w:r w:rsidR="000F6DF5">
        <w:rPr>
          <w:rFonts w:cs="Times New Roman"/>
          <w:szCs w:val="24"/>
          <w:lang w:val="en-US"/>
        </w:rPr>
        <w:t xml:space="preserve"> long-lived private information (more than 24 hours), but rather</w:t>
      </w:r>
      <w:r w:rsidR="00FD1475">
        <w:rPr>
          <w:rFonts w:cs="Times New Roman"/>
          <w:szCs w:val="24"/>
          <w:lang w:val="en-US"/>
        </w:rPr>
        <w:t xml:space="preserve"> </w:t>
      </w:r>
      <w:r w:rsidR="00FD1475">
        <w:rPr>
          <w:rFonts w:eastAsia="Times New Roman" w:cs="Times New Roman"/>
          <w:szCs w:val="20"/>
          <w:lang w:val="en-US"/>
        </w:rPr>
        <w:t>from</w:t>
      </w:r>
      <w:r w:rsidR="00FD1475" w:rsidRPr="00D51C99">
        <w:rPr>
          <w:rFonts w:eastAsia="Times New Roman" w:cs="Times New Roman"/>
          <w:szCs w:val="20"/>
          <w:lang w:val="en-US"/>
        </w:rPr>
        <w:t xml:space="preserve"> </w:t>
      </w:r>
      <w:r w:rsidR="00FD1475">
        <w:rPr>
          <w:rFonts w:cs="Times New Roman"/>
          <w:szCs w:val="24"/>
          <w:lang w:val="en-US"/>
        </w:rPr>
        <w:t>local market characteristics such as individual versus institutional investors, their size of financial endowments and risk tolerance, etc</w:t>
      </w:r>
      <w:r w:rsidR="00FD1475">
        <w:rPr>
          <w:rFonts w:eastAsia="Times New Roman" w:cs="Times New Roman"/>
          <w:szCs w:val="20"/>
          <w:lang w:val="en-US"/>
        </w:rPr>
        <w:t>.</w:t>
      </w:r>
    </w:p>
    <w:p w:rsidR="00BA4475" w:rsidRDefault="00BA4475">
      <w:pPr>
        <w:contextualSpacing/>
        <w:rPr>
          <w:rFonts w:cs="Times New Roman"/>
          <w:szCs w:val="24"/>
          <w:lang w:val="en-US"/>
        </w:rPr>
      </w:pPr>
      <w:r>
        <w:rPr>
          <w:rFonts w:cs="Times New Roman"/>
          <w:szCs w:val="24"/>
          <w:lang w:val="en-US"/>
        </w:rPr>
        <w:t>Finally we show that Asia's private information flow remains low at 2.7% per hour compared with 4% for Europe and U.S. and 12% for London/ New York.</w:t>
      </w:r>
      <w:r w:rsidR="005D607A">
        <w:rPr>
          <w:rFonts w:cs="Times New Roman"/>
          <w:szCs w:val="24"/>
          <w:lang w:val="en-US"/>
        </w:rPr>
        <w:t xml:space="preserve"> This </w:t>
      </w:r>
      <w:r w:rsidR="000F6DF5">
        <w:rPr>
          <w:rFonts w:cs="Times New Roman"/>
          <w:szCs w:val="24"/>
          <w:lang w:val="en-US"/>
        </w:rPr>
        <w:t xml:space="preserve">is consistent with </w:t>
      </w:r>
      <w:r w:rsidR="000F6DF5">
        <w:rPr>
          <w:rFonts w:cs="Times New Roman"/>
          <w:szCs w:val="24"/>
          <w:lang w:val="en-US"/>
        </w:rPr>
        <w:lastRenderedPageBreak/>
        <w:t xml:space="preserve">investors in </w:t>
      </w:r>
      <w:r w:rsidR="005D607A">
        <w:rPr>
          <w:rFonts w:cs="Times New Roman"/>
          <w:szCs w:val="24"/>
          <w:lang w:val="en-US"/>
        </w:rPr>
        <w:t>Asia</w:t>
      </w:r>
      <w:r w:rsidR="000F6DF5">
        <w:rPr>
          <w:rFonts w:cs="Times New Roman"/>
          <w:szCs w:val="24"/>
          <w:lang w:val="en-US"/>
        </w:rPr>
        <w:t xml:space="preserve"> having limited capacity for information collection and processing relative to their counterparts in</w:t>
      </w:r>
      <w:r w:rsidR="004C7430">
        <w:rPr>
          <w:rFonts w:cs="Times New Roman"/>
          <w:szCs w:val="24"/>
          <w:lang w:val="en-US"/>
        </w:rPr>
        <w:t xml:space="preserve"> Europe and U.S.</w:t>
      </w:r>
    </w:p>
    <w:p w:rsidR="00CF1BDA" w:rsidRDefault="00832837" w:rsidP="00D05325">
      <w:pPr>
        <w:contextualSpacing/>
        <w:rPr>
          <w:rFonts w:cs="Times New Roman"/>
          <w:szCs w:val="24"/>
          <w:lang w:val="en-US"/>
        </w:rPr>
      </w:pPr>
      <w:r>
        <w:rPr>
          <w:rFonts w:cs="Times New Roman"/>
          <w:szCs w:val="24"/>
          <w:lang w:val="en-US"/>
        </w:rPr>
        <w:t xml:space="preserve">To our best knowledge, this study provides the first empirical evidence on information distribution across the global gold markets and how such distribution has shifted over a 17-year period from 1996 to 2012. </w:t>
      </w:r>
      <w:r w:rsidR="00CC1849">
        <w:rPr>
          <w:rFonts w:cs="Times New Roman"/>
          <w:szCs w:val="24"/>
          <w:lang w:val="en-US"/>
        </w:rPr>
        <w:t xml:space="preserve"> </w:t>
      </w:r>
      <w:r w:rsidR="007E62D2">
        <w:rPr>
          <w:rFonts w:cs="Times New Roman"/>
          <w:szCs w:val="24"/>
          <w:lang w:val="en-US"/>
        </w:rPr>
        <w:t xml:space="preserve">The evidence </w:t>
      </w:r>
      <w:r w:rsidR="00CC1849">
        <w:rPr>
          <w:rFonts w:cs="Times New Roman"/>
          <w:szCs w:val="24"/>
          <w:lang w:val="en-US"/>
        </w:rPr>
        <w:t xml:space="preserve">we present </w:t>
      </w:r>
      <w:r w:rsidR="007E62D2">
        <w:rPr>
          <w:rFonts w:cs="Times New Roman"/>
          <w:szCs w:val="24"/>
          <w:lang w:val="en-US"/>
        </w:rPr>
        <w:t>should raise concerns to officials and policymakers on gold market development in Asia.  Despite being the largest producer and consumer of gold and the rising trading volume</w:t>
      </w:r>
      <w:r w:rsidR="00C36BE9">
        <w:rPr>
          <w:rFonts w:cs="Times New Roman"/>
          <w:szCs w:val="24"/>
          <w:lang w:val="en-US"/>
        </w:rPr>
        <w:t xml:space="preserve"> in</w:t>
      </w:r>
      <w:r w:rsidR="007E62D2">
        <w:rPr>
          <w:rFonts w:cs="Times New Roman"/>
          <w:szCs w:val="24"/>
          <w:lang w:val="en-US"/>
        </w:rPr>
        <w:t xml:space="preserve"> gold-related financial contracts, Asia’s contribution to the pricing of gold, i.e. its price discovery p</w:t>
      </w:r>
      <w:r w:rsidR="00BA02F8">
        <w:rPr>
          <w:rFonts w:cs="Times New Roman"/>
          <w:szCs w:val="24"/>
          <w:lang w:val="en-US"/>
        </w:rPr>
        <w:t xml:space="preserve">rocess, has steadily declined.  </w:t>
      </w:r>
      <w:r w:rsidR="00CC1849">
        <w:rPr>
          <w:rFonts w:cs="Times New Roman"/>
          <w:szCs w:val="24"/>
          <w:lang w:val="en-US"/>
        </w:rPr>
        <w:t xml:space="preserve">Since the Asian financial crisis in the late 1990s, governments in Asia have made a strong </w:t>
      </w:r>
      <w:r w:rsidR="0079287F">
        <w:rPr>
          <w:rFonts w:cs="Times New Roman"/>
          <w:szCs w:val="24"/>
          <w:lang w:val="en-US"/>
        </w:rPr>
        <w:t>effort</w:t>
      </w:r>
      <w:r w:rsidR="00CC1849">
        <w:rPr>
          <w:rFonts w:cs="Times New Roman"/>
          <w:szCs w:val="24"/>
          <w:lang w:val="en-US"/>
        </w:rPr>
        <w:t xml:space="preserve"> to develop a regional bond market to prevent the flow of local savings to U.S. Treasury bonds as a safe-haven asset.  </w:t>
      </w:r>
      <w:r w:rsidR="00A91A59">
        <w:rPr>
          <w:rFonts w:cs="Times New Roman"/>
          <w:szCs w:val="24"/>
          <w:lang w:val="en-US"/>
        </w:rPr>
        <w:t xml:space="preserve">Gold is another safe-haven asset whose prices and volatility have a significant impact on portfolio performance and investor welfare in Asia.  </w:t>
      </w:r>
      <w:r w:rsidR="00BA02F8">
        <w:rPr>
          <w:rFonts w:cs="Times New Roman"/>
          <w:szCs w:val="24"/>
          <w:lang w:val="en-US"/>
        </w:rPr>
        <w:t xml:space="preserve">Officials and policymakers in Asia should not feel contented with its rising share of trading volume, but rather make a strong commitment to reverse its declining information share </w:t>
      </w:r>
      <w:r w:rsidR="00331D74">
        <w:rPr>
          <w:rFonts w:cs="Times New Roman"/>
          <w:szCs w:val="24"/>
          <w:lang w:val="en-US"/>
        </w:rPr>
        <w:t xml:space="preserve">by enhancing the local </w:t>
      </w:r>
      <w:r w:rsidR="00BA02F8">
        <w:rPr>
          <w:rFonts w:cs="Times New Roman"/>
          <w:szCs w:val="24"/>
          <w:lang w:val="en-US"/>
        </w:rPr>
        <w:t>market infrastructure</w:t>
      </w:r>
      <w:r w:rsidR="00114909">
        <w:rPr>
          <w:rFonts w:cs="Times New Roman"/>
          <w:szCs w:val="24"/>
          <w:lang w:val="en-US"/>
        </w:rPr>
        <w:t xml:space="preserve"> (e.g. local clearing and settlement)</w:t>
      </w:r>
      <w:r w:rsidR="00754C76">
        <w:rPr>
          <w:rFonts w:cs="Times New Roman"/>
          <w:szCs w:val="24"/>
          <w:lang w:val="en-US"/>
        </w:rPr>
        <w:t xml:space="preserve"> and</w:t>
      </w:r>
      <w:r w:rsidR="00114909">
        <w:rPr>
          <w:rFonts w:cs="Times New Roman"/>
          <w:szCs w:val="24"/>
          <w:lang w:val="en-US"/>
        </w:rPr>
        <w:t xml:space="preserve"> </w:t>
      </w:r>
      <w:r w:rsidR="00331D74">
        <w:rPr>
          <w:rFonts w:cs="Times New Roman"/>
          <w:szCs w:val="24"/>
          <w:lang w:val="en-US"/>
        </w:rPr>
        <w:t>building research infrastructure</w:t>
      </w:r>
      <w:r w:rsidR="00754C76">
        <w:rPr>
          <w:rFonts w:cs="Times New Roman"/>
          <w:szCs w:val="24"/>
          <w:lang w:val="en-US"/>
        </w:rPr>
        <w:t xml:space="preserve"> and</w:t>
      </w:r>
      <w:r w:rsidR="00114909">
        <w:rPr>
          <w:rFonts w:cs="Times New Roman"/>
          <w:szCs w:val="24"/>
          <w:lang w:val="en-US"/>
        </w:rPr>
        <w:t xml:space="preserve"> capacity</w:t>
      </w:r>
      <w:r w:rsidR="00754C76">
        <w:rPr>
          <w:rFonts w:cs="Times New Roman"/>
          <w:szCs w:val="24"/>
          <w:lang w:val="en-US"/>
        </w:rPr>
        <w:t xml:space="preserve">. </w:t>
      </w:r>
    </w:p>
    <w:p w:rsidR="00866DDC" w:rsidRDefault="00620392">
      <w:pPr>
        <w:contextualSpacing/>
        <w:rPr>
          <w:rFonts w:cs="Times New Roman"/>
          <w:szCs w:val="24"/>
          <w:lang w:val="en-US"/>
        </w:rPr>
      </w:pPr>
      <w:r>
        <w:rPr>
          <w:rFonts w:cs="Times New Roman"/>
          <w:szCs w:val="24"/>
          <w:lang w:val="en-US"/>
        </w:rPr>
        <w:t xml:space="preserve">The rising information share of the 2-hour London/New York market together with its declining share of trading volume should also </w:t>
      </w:r>
      <w:r w:rsidR="0010365F">
        <w:rPr>
          <w:rFonts w:cs="Times New Roman"/>
          <w:szCs w:val="24"/>
          <w:lang w:val="en-US"/>
        </w:rPr>
        <w:t>raise</w:t>
      </w:r>
      <w:r>
        <w:rPr>
          <w:rFonts w:cs="Times New Roman"/>
          <w:szCs w:val="24"/>
          <w:lang w:val="en-US"/>
        </w:rPr>
        <w:t xml:space="preserve"> concerns to global investors and market regulators. </w:t>
      </w:r>
      <w:r w:rsidR="0010365F">
        <w:rPr>
          <w:rFonts w:cs="Times New Roman"/>
          <w:szCs w:val="24"/>
          <w:lang w:val="en-US"/>
        </w:rPr>
        <w:t xml:space="preserve">The gold market seems to follow the same trend of consolidation in the foreign exchange markets where </w:t>
      </w:r>
      <w:r w:rsidR="00754C76">
        <w:rPr>
          <w:rFonts w:cs="Times New Roman"/>
          <w:szCs w:val="24"/>
          <w:lang w:val="en-US"/>
        </w:rPr>
        <w:t>a handful of dealers accounts for 80% of interbank trading.  Such concentration reduces the opaque nature of the OTC market and enhances information flows to the large dealers</w:t>
      </w:r>
      <w:r w:rsidR="00E144C8">
        <w:rPr>
          <w:rFonts w:cs="Times New Roman"/>
          <w:szCs w:val="24"/>
          <w:lang w:val="en-US"/>
        </w:rPr>
        <w:t xml:space="preserve">.  It should </w:t>
      </w:r>
      <w:r w:rsidR="00754C76">
        <w:rPr>
          <w:rFonts w:cs="Times New Roman"/>
          <w:szCs w:val="24"/>
          <w:lang w:val="en-US"/>
        </w:rPr>
        <w:t>improv</w:t>
      </w:r>
      <w:r w:rsidR="00E144C8">
        <w:rPr>
          <w:rFonts w:cs="Times New Roman"/>
          <w:szCs w:val="24"/>
          <w:lang w:val="en-US"/>
        </w:rPr>
        <w:t>e</w:t>
      </w:r>
      <w:r w:rsidR="00754C76">
        <w:rPr>
          <w:rFonts w:cs="Times New Roman"/>
          <w:szCs w:val="24"/>
          <w:lang w:val="en-US"/>
        </w:rPr>
        <w:t xml:space="preserve"> their pricing accuracy and increas</w:t>
      </w:r>
      <w:r w:rsidR="00E144C8">
        <w:rPr>
          <w:rFonts w:cs="Times New Roman"/>
          <w:szCs w:val="24"/>
          <w:lang w:val="en-US"/>
        </w:rPr>
        <w:t>e</w:t>
      </w:r>
      <w:r w:rsidR="00754C76">
        <w:rPr>
          <w:rFonts w:cs="Times New Roman"/>
          <w:szCs w:val="24"/>
          <w:lang w:val="en-US"/>
        </w:rPr>
        <w:t xml:space="preserve"> the information content of </w:t>
      </w:r>
      <w:r w:rsidR="00E144C8">
        <w:rPr>
          <w:rFonts w:cs="Times New Roman"/>
          <w:szCs w:val="24"/>
          <w:lang w:val="en-US"/>
        </w:rPr>
        <w:t xml:space="preserve">the posted prices.  However </w:t>
      </w:r>
      <w:r w:rsidR="00AE581E">
        <w:rPr>
          <w:rFonts w:cs="Times New Roman"/>
          <w:szCs w:val="24"/>
          <w:lang w:val="en-US"/>
        </w:rPr>
        <w:t xml:space="preserve">the market may become more fragile </w:t>
      </w:r>
      <w:r w:rsidR="00A55911">
        <w:rPr>
          <w:rFonts w:cs="Times New Roman"/>
          <w:szCs w:val="24"/>
          <w:lang w:val="en-US"/>
        </w:rPr>
        <w:t xml:space="preserve">if one or two of the handful dealers withdraw from supplying liquidity.  </w:t>
      </w:r>
      <w:r w:rsidR="002235B1">
        <w:rPr>
          <w:rFonts w:cs="Times New Roman"/>
          <w:szCs w:val="24"/>
          <w:lang w:val="en-US"/>
        </w:rPr>
        <w:t xml:space="preserve">It may also become more susceptible to price manipulation as occurred in the foreign exchange markets.  </w:t>
      </w:r>
    </w:p>
    <w:p w:rsidR="00407628" w:rsidRDefault="00866DDC">
      <w:pPr>
        <w:contextualSpacing/>
        <w:rPr>
          <w:rFonts w:cs="Times New Roman"/>
          <w:szCs w:val="24"/>
          <w:lang w:val="en-US"/>
        </w:rPr>
      </w:pPr>
      <w:r>
        <w:rPr>
          <w:rFonts w:cs="Times New Roman"/>
          <w:szCs w:val="24"/>
          <w:lang w:val="en-US"/>
        </w:rPr>
        <w:t xml:space="preserve">This is the first attempt to measure the global information distribution </w:t>
      </w:r>
      <w:r w:rsidR="00A81F2F">
        <w:rPr>
          <w:rFonts w:cs="Times New Roman"/>
          <w:szCs w:val="24"/>
          <w:lang w:val="en-US"/>
        </w:rPr>
        <w:t xml:space="preserve">in the gold market. Future research should explore factors affecting the information share of a particular market, e.g. </w:t>
      </w:r>
      <w:r w:rsidR="00A81F2F">
        <w:rPr>
          <w:rFonts w:cs="Times New Roman"/>
          <w:szCs w:val="24"/>
          <w:lang w:val="en-US"/>
        </w:rPr>
        <w:lastRenderedPageBreak/>
        <w:t xml:space="preserve">market infrastructure, liquidity, investor characteristics, and possible cross-product information spillovers.  The methodology of this study can be applied to any product traded in non-overlapping markets.  New methodologies are needed to measure information shares of partially overlapping markets while taking into account the common information flow during the overlapping period.   </w:t>
      </w:r>
    </w:p>
    <w:p w:rsidR="00521301" w:rsidRPr="00521301" w:rsidRDefault="00521301" w:rsidP="00521301">
      <w:pPr>
        <w:contextualSpacing/>
        <w:rPr>
          <w:rFonts w:cs="Times New Roman"/>
          <w:szCs w:val="24"/>
          <w:lang w:val="en-US"/>
        </w:rPr>
      </w:pPr>
    </w:p>
    <w:p w:rsidR="00C40A39" w:rsidRPr="00407628" w:rsidRDefault="00C40A39" w:rsidP="00407628">
      <w:pPr>
        <w:ind w:firstLine="0"/>
        <w:contextualSpacing/>
        <w:jc w:val="left"/>
        <w:rPr>
          <w:szCs w:val="24"/>
          <w:lang w:val="en-US"/>
        </w:rPr>
      </w:pPr>
      <w:r w:rsidRPr="00407628">
        <w:rPr>
          <w:rFonts w:cs="Times New Roman"/>
          <w:b/>
          <w:szCs w:val="24"/>
        </w:rPr>
        <w:t>References</w:t>
      </w:r>
    </w:p>
    <w:p w:rsidR="00C419D5" w:rsidRPr="00335D67" w:rsidRDefault="00ED311F" w:rsidP="00C419D5">
      <w:pPr>
        <w:spacing w:line="240" w:lineRule="auto"/>
        <w:ind w:left="720" w:hanging="720"/>
        <w:rPr>
          <w:rFonts w:cs="Times New Roman"/>
          <w:noProof/>
          <w:szCs w:val="24"/>
        </w:rPr>
      </w:pPr>
      <w:r w:rsidRPr="00335D67">
        <w:rPr>
          <w:rFonts w:cs="Times New Roman"/>
          <w:szCs w:val="24"/>
        </w:rPr>
        <w:fldChar w:fldCharType="begin"/>
      </w:r>
      <w:r w:rsidR="00780F1E" w:rsidRPr="00335D67">
        <w:rPr>
          <w:rFonts w:cs="Times New Roman"/>
          <w:szCs w:val="24"/>
        </w:rPr>
        <w:instrText xml:space="preserve"> ADDIN EN.REFLIST </w:instrText>
      </w:r>
      <w:r w:rsidRPr="00335D67">
        <w:rPr>
          <w:rFonts w:cs="Times New Roman"/>
          <w:szCs w:val="24"/>
        </w:rPr>
        <w:fldChar w:fldCharType="separate"/>
      </w:r>
      <w:bookmarkStart w:id="1" w:name="_ENREF_1"/>
      <w:r w:rsidR="00C419D5" w:rsidRPr="00335D67">
        <w:rPr>
          <w:rFonts w:cs="Times New Roman"/>
          <w:noProof/>
          <w:szCs w:val="24"/>
        </w:rPr>
        <w:t xml:space="preserve">Andersen, T. G., T. Bollerslev, and F. X. Diebold, 2007, Roughing it up: Including jump components in the measurement, modeling, and forecasting of return volatility, </w:t>
      </w:r>
      <w:r w:rsidR="00C419D5" w:rsidRPr="00335D67">
        <w:rPr>
          <w:rFonts w:cs="Times New Roman"/>
          <w:i/>
          <w:noProof/>
          <w:szCs w:val="24"/>
        </w:rPr>
        <w:t>Review of Economics and Statistics</w:t>
      </w:r>
      <w:r w:rsidR="00C419D5" w:rsidRPr="00335D67">
        <w:rPr>
          <w:rFonts w:cs="Times New Roman"/>
          <w:noProof/>
          <w:szCs w:val="24"/>
        </w:rPr>
        <w:t xml:space="preserve"> 89, 701-720.</w:t>
      </w:r>
      <w:bookmarkEnd w:id="1"/>
    </w:p>
    <w:p w:rsidR="00C419D5" w:rsidRPr="00335D67" w:rsidRDefault="00C419D5" w:rsidP="00C419D5">
      <w:pPr>
        <w:spacing w:line="240" w:lineRule="auto"/>
        <w:ind w:left="720" w:hanging="720"/>
        <w:rPr>
          <w:rFonts w:cs="Times New Roman"/>
          <w:noProof/>
          <w:szCs w:val="24"/>
        </w:rPr>
      </w:pPr>
      <w:bookmarkStart w:id="2" w:name="_ENREF_2"/>
      <w:r w:rsidRPr="00335D67">
        <w:rPr>
          <w:rFonts w:cs="Times New Roman"/>
          <w:noProof/>
          <w:szCs w:val="24"/>
        </w:rPr>
        <w:t xml:space="preserve">Andersen, T. G., T. Bollerslev, and X. Huang, 2006, A semiparametric framework for modelling and forecasting jumps and volatility in speculative prices, </w:t>
      </w:r>
      <w:r w:rsidRPr="00335D67">
        <w:rPr>
          <w:rFonts w:cs="Times New Roman"/>
          <w:i/>
          <w:noProof/>
          <w:szCs w:val="24"/>
        </w:rPr>
        <w:t>Working Paper, Duke University</w:t>
      </w:r>
      <w:r w:rsidRPr="00335D67">
        <w:rPr>
          <w:rFonts w:cs="Times New Roman"/>
          <w:noProof/>
          <w:szCs w:val="24"/>
        </w:rPr>
        <w:t>.</w:t>
      </w:r>
      <w:bookmarkEnd w:id="2"/>
    </w:p>
    <w:p w:rsidR="00C419D5" w:rsidRPr="00335D67" w:rsidRDefault="00C419D5" w:rsidP="00C419D5">
      <w:pPr>
        <w:spacing w:line="240" w:lineRule="auto"/>
        <w:ind w:left="720" w:hanging="720"/>
        <w:rPr>
          <w:rFonts w:cs="Times New Roman"/>
          <w:noProof/>
          <w:szCs w:val="24"/>
        </w:rPr>
      </w:pPr>
      <w:bookmarkStart w:id="3" w:name="_ENREF_3"/>
      <w:r w:rsidRPr="00335D67">
        <w:rPr>
          <w:rFonts w:cs="Times New Roman"/>
          <w:noProof/>
          <w:szCs w:val="24"/>
        </w:rPr>
        <w:t xml:space="preserve">Barclay, M. J., and J. B. Warner, 1993, Stealth trading and volatility : Which trades move prices?, </w:t>
      </w:r>
      <w:r w:rsidRPr="00335D67">
        <w:rPr>
          <w:rFonts w:cs="Times New Roman"/>
          <w:i/>
          <w:noProof/>
          <w:szCs w:val="24"/>
        </w:rPr>
        <w:t>Journal of Financial Economics</w:t>
      </w:r>
      <w:r w:rsidRPr="00335D67">
        <w:rPr>
          <w:rFonts w:cs="Times New Roman"/>
          <w:noProof/>
          <w:szCs w:val="24"/>
        </w:rPr>
        <w:t xml:space="preserve"> 34, 281-305.</w:t>
      </w:r>
      <w:bookmarkEnd w:id="3"/>
    </w:p>
    <w:p w:rsidR="00C419D5" w:rsidRPr="00335D67" w:rsidRDefault="00C419D5" w:rsidP="00C419D5">
      <w:pPr>
        <w:spacing w:line="240" w:lineRule="auto"/>
        <w:ind w:left="720" w:hanging="720"/>
        <w:rPr>
          <w:rFonts w:cs="Times New Roman"/>
          <w:noProof/>
          <w:szCs w:val="24"/>
        </w:rPr>
      </w:pPr>
      <w:bookmarkStart w:id="4" w:name="_ENREF_4"/>
      <w:r w:rsidRPr="00335D67">
        <w:rPr>
          <w:rFonts w:cs="Times New Roman"/>
          <w:noProof/>
          <w:szCs w:val="24"/>
        </w:rPr>
        <w:t xml:space="preserve">Barndorff-Nielsen, O. E., P. R. Hansen, A. Lunde, and N. Shephard, 2008, Designing realized kernels to measure the ex post variation of equity prices in the presence of noise, </w:t>
      </w:r>
      <w:r w:rsidRPr="00335D67">
        <w:rPr>
          <w:rFonts w:cs="Times New Roman"/>
          <w:i/>
          <w:noProof/>
          <w:szCs w:val="24"/>
        </w:rPr>
        <w:t>Econometrica</w:t>
      </w:r>
      <w:r w:rsidRPr="00335D67">
        <w:rPr>
          <w:rFonts w:cs="Times New Roman"/>
          <w:noProof/>
          <w:szCs w:val="24"/>
        </w:rPr>
        <w:t xml:space="preserve"> 76, 1481-1536.</w:t>
      </w:r>
      <w:bookmarkEnd w:id="4"/>
    </w:p>
    <w:p w:rsidR="00C419D5" w:rsidRPr="00335D67" w:rsidRDefault="00C419D5" w:rsidP="00C419D5">
      <w:pPr>
        <w:spacing w:line="240" w:lineRule="auto"/>
        <w:ind w:left="720" w:hanging="720"/>
        <w:rPr>
          <w:rFonts w:cs="Times New Roman"/>
          <w:i/>
          <w:noProof/>
          <w:szCs w:val="24"/>
        </w:rPr>
      </w:pPr>
      <w:bookmarkStart w:id="5" w:name="_ENREF_5"/>
      <w:r w:rsidRPr="00335D67">
        <w:rPr>
          <w:rFonts w:cs="Times New Roman"/>
          <w:noProof/>
          <w:szCs w:val="24"/>
        </w:rPr>
        <w:t xml:space="preserve">Baur, D. G., 2013, Exchange-traded funds on gold-a free lunch?, </w:t>
      </w:r>
      <w:r w:rsidRPr="00335D67">
        <w:rPr>
          <w:rFonts w:cs="Times New Roman"/>
          <w:i/>
          <w:noProof/>
          <w:szCs w:val="24"/>
        </w:rPr>
        <w:t xml:space="preserve">Working Paper, Kuehne Logistics University </w:t>
      </w:r>
      <w:bookmarkEnd w:id="5"/>
    </w:p>
    <w:p w:rsidR="00C419D5" w:rsidRPr="00335D67" w:rsidRDefault="00C419D5" w:rsidP="00C419D5">
      <w:pPr>
        <w:spacing w:line="240" w:lineRule="auto"/>
        <w:ind w:left="720" w:hanging="720"/>
        <w:rPr>
          <w:rFonts w:cs="Times New Roman"/>
          <w:noProof/>
          <w:szCs w:val="24"/>
        </w:rPr>
      </w:pPr>
      <w:bookmarkStart w:id="6" w:name="_ENREF_6"/>
      <w:r w:rsidRPr="00335D67">
        <w:rPr>
          <w:rFonts w:cs="Times New Roman"/>
          <w:noProof/>
          <w:szCs w:val="24"/>
        </w:rPr>
        <w:t xml:space="preserve">Bessembinder, H., and P. J. Seguin, 1993, Price volatility, trading volume, and market depth: Evidence from futures markets, </w:t>
      </w:r>
      <w:r w:rsidRPr="00335D67">
        <w:rPr>
          <w:rFonts w:cs="Times New Roman"/>
          <w:i/>
          <w:noProof/>
          <w:szCs w:val="24"/>
        </w:rPr>
        <w:t>Journal of Financial and Quantitative Analysis</w:t>
      </w:r>
      <w:r w:rsidRPr="00335D67">
        <w:rPr>
          <w:rFonts w:cs="Times New Roman"/>
          <w:noProof/>
          <w:szCs w:val="24"/>
        </w:rPr>
        <w:t xml:space="preserve"> 28, 21-39.</w:t>
      </w:r>
      <w:bookmarkEnd w:id="6"/>
    </w:p>
    <w:p w:rsidR="00C419D5" w:rsidRPr="00335D67" w:rsidRDefault="00C419D5" w:rsidP="00C419D5">
      <w:pPr>
        <w:spacing w:line="240" w:lineRule="auto"/>
        <w:ind w:left="720" w:hanging="720"/>
        <w:rPr>
          <w:rFonts w:cs="Times New Roman"/>
          <w:noProof/>
          <w:szCs w:val="24"/>
        </w:rPr>
      </w:pPr>
      <w:bookmarkStart w:id="7" w:name="_ENREF_7"/>
      <w:r w:rsidRPr="00335D67">
        <w:rPr>
          <w:rFonts w:cs="Times New Roman"/>
          <w:noProof/>
          <w:szCs w:val="24"/>
        </w:rPr>
        <w:t xml:space="preserve">Bollerslev, T., U. Kretschmer, C. Pigorsch, and G. Tauchen, 2009, A discrete-time model for daily s&amp;p 500 returns and realized variations: Jumps and leverage effects, </w:t>
      </w:r>
      <w:r w:rsidRPr="00335D67">
        <w:rPr>
          <w:rFonts w:cs="Times New Roman"/>
          <w:i/>
          <w:noProof/>
          <w:szCs w:val="24"/>
        </w:rPr>
        <w:t>Journal of Econometrics</w:t>
      </w:r>
      <w:r w:rsidRPr="00335D67">
        <w:rPr>
          <w:rFonts w:cs="Times New Roman"/>
          <w:noProof/>
          <w:szCs w:val="24"/>
        </w:rPr>
        <w:t xml:space="preserve"> 150, 151-166.</w:t>
      </w:r>
      <w:bookmarkEnd w:id="7"/>
    </w:p>
    <w:p w:rsidR="00C419D5" w:rsidRPr="00335D67" w:rsidRDefault="00C419D5" w:rsidP="00C419D5">
      <w:pPr>
        <w:spacing w:line="240" w:lineRule="auto"/>
        <w:ind w:left="720" w:hanging="720"/>
        <w:rPr>
          <w:rFonts w:cs="Times New Roman"/>
          <w:noProof/>
          <w:szCs w:val="24"/>
        </w:rPr>
      </w:pPr>
      <w:bookmarkStart w:id="8" w:name="_ENREF_8"/>
      <w:r w:rsidRPr="00335D67">
        <w:rPr>
          <w:rFonts w:cs="Times New Roman"/>
          <w:noProof/>
          <w:szCs w:val="24"/>
        </w:rPr>
        <w:t xml:space="preserve">Caminschi, A., and R. Heaney, 2014, Fixing a leaky fixing: Short-term market reactions to the london pm gold price fixing, </w:t>
      </w:r>
      <w:r w:rsidRPr="00335D67">
        <w:rPr>
          <w:rFonts w:cs="Times New Roman"/>
          <w:i/>
          <w:noProof/>
          <w:szCs w:val="24"/>
        </w:rPr>
        <w:t>Journal of Futures Markets</w:t>
      </w:r>
      <w:r w:rsidRPr="00335D67">
        <w:rPr>
          <w:rFonts w:cs="Times New Roman"/>
          <w:noProof/>
          <w:szCs w:val="24"/>
        </w:rPr>
        <w:t xml:space="preserve"> 34, 1003-1039.</w:t>
      </w:r>
      <w:bookmarkEnd w:id="8"/>
    </w:p>
    <w:p w:rsidR="00C419D5" w:rsidRPr="00335D67" w:rsidRDefault="00C419D5" w:rsidP="00C419D5">
      <w:pPr>
        <w:spacing w:line="240" w:lineRule="auto"/>
        <w:ind w:left="720" w:hanging="720"/>
        <w:rPr>
          <w:rFonts w:cs="Times New Roman"/>
          <w:noProof/>
          <w:szCs w:val="24"/>
        </w:rPr>
      </w:pPr>
      <w:bookmarkStart w:id="9" w:name="_ENREF_9"/>
      <w:r w:rsidRPr="00335D67">
        <w:rPr>
          <w:rFonts w:cs="Times New Roman"/>
          <w:noProof/>
          <w:szCs w:val="24"/>
        </w:rPr>
        <w:t xml:space="preserve">Cao, C., E. Ghysels, and F. Hatheway, 2000, Price discovery without trading: Evidence from the nasdaq preopening, </w:t>
      </w:r>
      <w:r w:rsidRPr="00335D67">
        <w:rPr>
          <w:rFonts w:cs="Times New Roman"/>
          <w:i/>
          <w:noProof/>
          <w:szCs w:val="24"/>
        </w:rPr>
        <w:t>Journal of Finance</w:t>
      </w:r>
      <w:r w:rsidRPr="00335D67">
        <w:rPr>
          <w:rFonts w:cs="Times New Roman"/>
          <w:noProof/>
          <w:szCs w:val="24"/>
        </w:rPr>
        <w:t xml:space="preserve"> 55, 1339-1365.</w:t>
      </w:r>
      <w:bookmarkEnd w:id="9"/>
    </w:p>
    <w:p w:rsidR="00C419D5" w:rsidRPr="00335D67" w:rsidRDefault="00C419D5" w:rsidP="00C419D5">
      <w:pPr>
        <w:spacing w:line="240" w:lineRule="auto"/>
        <w:ind w:left="720" w:hanging="720"/>
        <w:rPr>
          <w:rFonts w:cs="Times New Roman"/>
          <w:noProof/>
          <w:szCs w:val="24"/>
        </w:rPr>
      </w:pPr>
      <w:bookmarkStart w:id="10" w:name="_ENREF_10"/>
      <w:r w:rsidRPr="00335D67">
        <w:rPr>
          <w:rFonts w:cs="Times New Roman"/>
          <w:noProof/>
          <w:szCs w:val="24"/>
        </w:rPr>
        <w:t xml:space="preserve">Chan, K., and W.-M. Fong, 2000, Trade size, order imbalance, and the volatility–volume relation, </w:t>
      </w:r>
      <w:r w:rsidRPr="00335D67">
        <w:rPr>
          <w:rFonts w:cs="Times New Roman"/>
          <w:i/>
          <w:noProof/>
          <w:szCs w:val="24"/>
        </w:rPr>
        <w:t>Journal of Financial Economics</w:t>
      </w:r>
      <w:r w:rsidRPr="00335D67">
        <w:rPr>
          <w:rFonts w:cs="Times New Roman"/>
          <w:noProof/>
          <w:szCs w:val="24"/>
        </w:rPr>
        <w:t xml:space="preserve"> 57, 247-273.</w:t>
      </w:r>
      <w:bookmarkEnd w:id="10"/>
    </w:p>
    <w:p w:rsidR="00C419D5" w:rsidRPr="00335D67" w:rsidRDefault="00C419D5" w:rsidP="00C419D5">
      <w:pPr>
        <w:spacing w:line="240" w:lineRule="auto"/>
        <w:ind w:left="720" w:hanging="720"/>
        <w:rPr>
          <w:rFonts w:cs="Times New Roman"/>
          <w:noProof/>
          <w:szCs w:val="24"/>
        </w:rPr>
      </w:pPr>
      <w:bookmarkStart w:id="11" w:name="_ENREF_11"/>
      <w:r w:rsidRPr="00335D67">
        <w:rPr>
          <w:rFonts w:cs="Times New Roman"/>
          <w:noProof/>
          <w:szCs w:val="24"/>
        </w:rPr>
        <w:t xml:space="preserve">Chordia, T., R. Roll, and A. Subrahmanyam, 2005, Evidence on the speed of convergence to market efficiency, </w:t>
      </w:r>
      <w:r w:rsidRPr="00335D67">
        <w:rPr>
          <w:rFonts w:cs="Times New Roman"/>
          <w:i/>
          <w:noProof/>
          <w:szCs w:val="24"/>
        </w:rPr>
        <w:t>Journal of Financial Economics</w:t>
      </w:r>
      <w:r w:rsidRPr="00335D67">
        <w:rPr>
          <w:rFonts w:cs="Times New Roman"/>
          <w:noProof/>
          <w:szCs w:val="24"/>
        </w:rPr>
        <w:t xml:space="preserve"> 76, 271-292.</w:t>
      </w:r>
      <w:bookmarkEnd w:id="11"/>
    </w:p>
    <w:p w:rsidR="00C419D5" w:rsidRPr="00335D67" w:rsidRDefault="00C419D5" w:rsidP="00C419D5">
      <w:pPr>
        <w:spacing w:line="240" w:lineRule="auto"/>
        <w:ind w:left="720" w:hanging="720"/>
        <w:rPr>
          <w:rFonts w:cs="Times New Roman"/>
          <w:noProof/>
          <w:szCs w:val="24"/>
        </w:rPr>
      </w:pPr>
      <w:bookmarkStart w:id="12" w:name="_ENREF_12"/>
      <w:r w:rsidRPr="00335D67">
        <w:rPr>
          <w:rFonts w:cs="Times New Roman"/>
          <w:noProof/>
          <w:szCs w:val="24"/>
        </w:rPr>
        <w:t xml:space="preserve">Corsi, F., 2009, A simple approximate long-memory model of realized volatility, </w:t>
      </w:r>
      <w:r w:rsidRPr="00335D67">
        <w:rPr>
          <w:rFonts w:cs="Times New Roman"/>
          <w:i/>
          <w:noProof/>
          <w:szCs w:val="24"/>
        </w:rPr>
        <w:t>Journal of Financial Econometrics</w:t>
      </w:r>
      <w:r w:rsidRPr="00335D67">
        <w:rPr>
          <w:rFonts w:cs="Times New Roman"/>
          <w:noProof/>
          <w:szCs w:val="24"/>
        </w:rPr>
        <w:t xml:space="preserve"> 7, 174-196.</w:t>
      </w:r>
      <w:bookmarkEnd w:id="12"/>
    </w:p>
    <w:p w:rsidR="00C419D5" w:rsidRPr="00335D67" w:rsidRDefault="00C419D5" w:rsidP="00C419D5">
      <w:pPr>
        <w:spacing w:line="240" w:lineRule="auto"/>
        <w:ind w:left="720" w:hanging="720"/>
        <w:rPr>
          <w:rFonts w:cs="Times New Roman"/>
          <w:noProof/>
          <w:szCs w:val="24"/>
        </w:rPr>
      </w:pPr>
      <w:bookmarkStart w:id="13" w:name="_ENREF_13"/>
      <w:r w:rsidRPr="00335D67">
        <w:rPr>
          <w:rFonts w:cs="Times New Roman"/>
          <w:noProof/>
          <w:szCs w:val="24"/>
        </w:rPr>
        <w:t xml:space="preserve">Corsi, F., S. Mittnik, C. Pigorsch, and U. Pigorsch, 2008, The volatility of realized volatility, </w:t>
      </w:r>
      <w:r w:rsidRPr="00335D67">
        <w:rPr>
          <w:rFonts w:cs="Times New Roman"/>
          <w:i/>
          <w:noProof/>
          <w:szCs w:val="24"/>
        </w:rPr>
        <w:t>Econometric Reviews</w:t>
      </w:r>
      <w:r w:rsidRPr="00335D67">
        <w:rPr>
          <w:rFonts w:cs="Times New Roman"/>
          <w:noProof/>
          <w:szCs w:val="24"/>
        </w:rPr>
        <w:t xml:space="preserve"> 27, 46-78.</w:t>
      </w:r>
      <w:bookmarkEnd w:id="13"/>
    </w:p>
    <w:p w:rsidR="00C419D5" w:rsidRPr="00335D67" w:rsidRDefault="00C419D5" w:rsidP="00C419D5">
      <w:pPr>
        <w:spacing w:line="240" w:lineRule="auto"/>
        <w:ind w:left="720" w:hanging="720"/>
        <w:rPr>
          <w:rFonts w:cs="Times New Roman"/>
          <w:noProof/>
          <w:szCs w:val="24"/>
        </w:rPr>
      </w:pPr>
      <w:bookmarkStart w:id="14" w:name="_ENREF_14"/>
      <w:r w:rsidRPr="00335D67">
        <w:rPr>
          <w:rFonts w:cs="Times New Roman"/>
          <w:noProof/>
          <w:szCs w:val="24"/>
        </w:rPr>
        <w:t xml:space="preserve">Easley, D., M. M. L. de Prado, and M. O'Hara, 2012, Flow toxicity and liquidity in a high-frequency world, </w:t>
      </w:r>
      <w:r w:rsidRPr="00335D67">
        <w:rPr>
          <w:rFonts w:cs="Times New Roman"/>
          <w:i/>
          <w:noProof/>
          <w:szCs w:val="24"/>
        </w:rPr>
        <w:t>Review of Financial Studies</w:t>
      </w:r>
      <w:r w:rsidRPr="00335D67">
        <w:rPr>
          <w:rFonts w:cs="Times New Roman"/>
          <w:noProof/>
          <w:szCs w:val="24"/>
        </w:rPr>
        <w:t xml:space="preserve"> 25, 1457-1493.</w:t>
      </w:r>
      <w:bookmarkEnd w:id="14"/>
    </w:p>
    <w:p w:rsidR="00C419D5" w:rsidRPr="00335D67" w:rsidRDefault="00C419D5" w:rsidP="00C419D5">
      <w:pPr>
        <w:spacing w:line="240" w:lineRule="auto"/>
        <w:ind w:left="720" w:hanging="720"/>
        <w:rPr>
          <w:rFonts w:cs="Times New Roman"/>
          <w:noProof/>
          <w:szCs w:val="24"/>
        </w:rPr>
      </w:pPr>
      <w:bookmarkStart w:id="15" w:name="_ENREF_15"/>
      <w:r w:rsidRPr="00335D67">
        <w:rPr>
          <w:rFonts w:cs="Times New Roman"/>
          <w:noProof/>
          <w:szCs w:val="24"/>
        </w:rPr>
        <w:t xml:space="preserve">Easley, D., R. F. Engle, M. O'Hara, and L. Wu, 2008, Time-varying arrival rates of informed and uninformed trades, </w:t>
      </w:r>
      <w:r w:rsidRPr="00335D67">
        <w:rPr>
          <w:rFonts w:cs="Times New Roman"/>
          <w:i/>
          <w:noProof/>
          <w:szCs w:val="24"/>
        </w:rPr>
        <w:t>Journal of Financial Econometrics</w:t>
      </w:r>
      <w:r w:rsidRPr="00335D67">
        <w:rPr>
          <w:rFonts w:cs="Times New Roman"/>
          <w:noProof/>
          <w:szCs w:val="24"/>
        </w:rPr>
        <w:t xml:space="preserve"> 6, 171-207.</w:t>
      </w:r>
      <w:bookmarkEnd w:id="15"/>
    </w:p>
    <w:p w:rsidR="00C419D5" w:rsidRPr="00335D67" w:rsidRDefault="00C419D5" w:rsidP="00C419D5">
      <w:pPr>
        <w:spacing w:line="240" w:lineRule="auto"/>
        <w:ind w:left="720" w:hanging="720"/>
        <w:rPr>
          <w:rFonts w:cs="Times New Roman"/>
          <w:noProof/>
          <w:szCs w:val="24"/>
        </w:rPr>
      </w:pPr>
      <w:bookmarkStart w:id="16" w:name="_ENREF_16"/>
      <w:r w:rsidRPr="00335D67">
        <w:rPr>
          <w:rFonts w:cs="Times New Roman"/>
          <w:noProof/>
          <w:szCs w:val="24"/>
        </w:rPr>
        <w:t xml:space="preserve">Easley, D., N. M. Kiefer, and M. O'Hara, 1997, One day in the life of a very common stock, </w:t>
      </w:r>
      <w:r w:rsidRPr="00335D67">
        <w:rPr>
          <w:rFonts w:cs="Times New Roman"/>
          <w:i/>
          <w:noProof/>
          <w:szCs w:val="24"/>
        </w:rPr>
        <w:t>Review of Financial Studies</w:t>
      </w:r>
      <w:r w:rsidRPr="00335D67">
        <w:rPr>
          <w:rFonts w:cs="Times New Roman"/>
          <w:noProof/>
          <w:szCs w:val="24"/>
        </w:rPr>
        <w:t xml:space="preserve"> 10, 805-835.</w:t>
      </w:r>
      <w:bookmarkEnd w:id="16"/>
    </w:p>
    <w:p w:rsidR="00C419D5" w:rsidRPr="00335D67" w:rsidRDefault="00C419D5" w:rsidP="00C419D5">
      <w:pPr>
        <w:spacing w:line="240" w:lineRule="auto"/>
        <w:ind w:left="720" w:hanging="720"/>
        <w:rPr>
          <w:rFonts w:cs="Times New Roman"/>
          <w:noProof/>
          <w:szCs w:val="24"/>
        </w:rPr>
      </w:pPr>
      <w:bookmarkStart w:id="17" w:name="_ENREF_17"/>
      <w:r w:rsidRPr="00335D67">
        <w:rPr>
          <w:rFonts w:cs="Times New Roman"/>
          <w:noProof/>
          <w:szCs w:val="24"/>
        </w:rPr>
        <w:t xml:space="preserve">Engle, R. F., T. Ito, and W.-L. Lin, 1990, Meteor showers or heat waves? Heteroskedastic intra-daily volatility in the foreign exchange market, </w:t>
      </w:r>
      <w:r w:rsidRPr="00335D67">
        <w:rPr>
          <w:rFonts w:cs="Times New Roman"/>
          <w:i/>
          <w:noProof/>
          <w:szCs w:val="24"/>
        </w:rPr>
        <w:t>Econometrica</w:t>
      </w:r>
      <w:r w:rsidRPr="00335D67">
        <w:rPr>
          <w:rFonts w:cs="Times New Roman"/>
          <w:noProof/>
          <w:szCs w:val="24"/>
        </w:rPr>
        <w:t xml:space="preserve"> 58, 525-542.</w:t>
      </w:r>
      <w:bookmarkEnd w:id="17"/>
    </w:p>
    <w:p w:rsidR="00C419D5" w:rsidRPr="00335D67" w:rsidRDefault="00C419D5" w:rsidP="00C419D5">
      <w:pPr>
        <w:spacing w:line="240" w:lineRule="auto"/>
        <w:ind w:left="720" w:hanging="720"/>
        <w:rPr>
          <w:rFonts w:cs="Times New Roman"/>
          <w:noProof/>
          <w:szCs w:val="24"/>
        </w:rPr>
      </w:pPr>
      <w:bookmarkStart w:id="18" w:name="_ENREF_18"/>
      <w:r w:rsidRPr="00335D67">
        <w:rPr>
          <w:rFonts w:cs="Times New Roman"/>
          <w:noProof/>
          <w:szCs w:val="24"/>
        </w:rPr>
        <w:t xml:space="preserve">Forsberg, L., and E. Ghysels, 2007, Why do absolute returns predict volatility so well?, </w:t>
      </w:r>
      <w:r w:rsidRPr="00335D67">
        <w:rPr>
          <w:rFonts w:cs="Times New Roman"/>
          <w:i/>
          <w:noProof/>
          <w:szCs w:val="24"/>
        </w:rPr>
        <w:t>Journal of Financial Econometrics</w:t>
      </w:r>
      <w:r w:rsidRPr="00335D67">
        <w:rPr>
          <w:rFonts w:cs="Times New Roman"/>
          <w:noProof/>
          <w:szCs w:val="24"/>
        </w:rPr>
        <w:t xml:space="preserve"> 5, 31-67.</w:t>
      </w:r>
      <w:bookmarkEnd w:id="18"/>
    </w:p>
    <w:p w:rsidR="00C419D5" w:rsidRPr="00335D67" w:rsidRDefault="00C419D5" w:rsidP="00C419D5">
      <w:pPr>
        <w:spacing w:line="240" w:lineRule="auto"/>
        <w:ind w:left="720" w:hanging="720"/>
        <w:rPr>
          <w:rFonts w:cs="Times New Roman"/>
          <w:noProof/>
          <w:szCs w:val="24"/>
        </w:rPr>
      </w:pPr>
      <w:bookmarkStart w:id="19" w:name="_ENREF_19"/>
      <w:r w:rsidRPr="00335D67">
        <w:rPr>
          <w:rFonts w:cs="Times New Roman"/>
          <w:noProof/>
          <w:szCs w:val="24"/>
        </w:rPr>
        <w:lastRenderedPageBreak/>
        <w:t xml:space="preserve">Fuangkasem, R., P. Chunhachinda, and S. Nathaphan, 2012, Information transmission among world major gold futures markets: Evidence from high frequency synchronous trading data, </w:t>
      </w:r>
      <w:r w:rsidRPr="00335D67">
        <w:rPr>
          <w:rFonts w:cs="Times New Roman"/>
          <w:i/>
          <w:noProof/>
          <w:szCs w:val="24"/>
        </w:rPr>
        <w:t xml:space="preserve">Working Paper, Thammasat University. </w:t>
      </w:r>
      <w:r w:rsidRPr="00335D67">
        <w:rPr>
          <w:rFonts w:cs="Times New Roman"/>
          <w:noProof/>
          <w:szCs w:val="24"/>
        </w:rPr>
        <w:t>.</w:t>
      </w:r>
      <w:bookmarkEnd w:id="19"/>
    </w:p>
    <w:p w:rsidR="00C419D5" w:rsidRPr="00335D67" w:rsidRDefault="00C419D5" w:rsidP="00C419D5">
      <w:pPr>
        <w:spacing w:line="240" w:lineRule="auto"/>
        <w:ind w:left="720" w:hanging="720"/>
        <w:rPr>
          <w:rFonts w:cs="Times New Roman"/>
          <w:noProof/>
          <w:szCs w:val="24"/>
        </w:rPr>
      </w:pPr>
      <w:bookmarkStart w:id="20" w:name="_ENREF_20"/>
      <w:r w:rsidRPr="00335D67">
        <w:rPr>
          <w:rFonts w:cs="Times New Roman"/>
          <w:noProof/>
          <w:szCs w:val="24"/>
        </w:rPr>
        <w:t xml:space="preserve">Harris, F. H., T. M. McInish, and R. Wood, 2002, Security price adjustment across exchanges: An investigation of common factor components for dow stocks, </w:t>
      </w:r>
      <w:r w:rsidRPr="00335D67">
        <w:rPr>
          <w:rFonts w:cs="Times New Roman"/>
          <w:i/>
          <w:noProof/>
          <w:szCs w:val="24"/>
        </w:rPr>
        <w:t>Journal of Financial Markets</w:t>
      </w:r>
      <w:r w:rsidRPr="00335D67">
        <w:rPr>
          <w:rFonts w:cs="Times New Roman"/>
          <w:noProof/>
          <w:szCs w:val="24"/>
        </w:rPr>
        <w:t xml:space="preserve"> 5, 277-308.</w:t>
      </w:r>
      <w:bookmarkEnd w:id="20"/>
    </w:p>
    <w:p w:rsidR="00C419D5" w:rsidRPr="00335D67" w:rsidRDefault="00C419D5" w:rsidP="00C419D5">
      <w:pPr>
        <w:spacing w:line="240" w:lineRule="auto"/>
        <w:ind w:left="720" w:hanging="720"/>
        <w:rPr>
          <w:rFonts w:cs="Times New Roman"/>
          <w:noProof/>
          <w:szCs w:val="24"/>
        </w:rPr>
      </w:pPr>
      <w:bookmarkStart w:id="21" w:name="_ENREF_21"/>
      <w:r w:rsidRPr="00335D67">
        <w:rPr>
          <w:rFonts w:cs="Times New Roman"/>
          <w:noProof/>
          <w:szCs w:val="24"/>
        </w:rPr>
        <w:t xml:space="preserve">Hasbrouck, J., 1995, One security, many markets: Determining the contributions to price discovery, </w:t>
      </w:r>
      <w:r w:rsidRPr="00335D67">
        <w:rPr>
          <w:rFonts w:cs="Times New Roman"/>
          <w:i/>
          <w:noProof/>
          <w:szCs w:val="24"/>
        </w:rPr>
        <w:t>Journal of Finance</w:t>
      </w:r>
      <w:r w:rsidRPr="00335D67">
        <w:rPr>
          <w:rFonts w:cs="Times New Roman"/>
          <w:noProof/>
          <w:szCs w:val="24"/>
        </w:rPr>
        <w:t xml:space="preserve"> 50, 1175-1199.</w:t>
      </w:r>
      <w:bookmarkEnd w:id="21"/>
    </w:p>
    <w:p w:rsidR="00C419D5" w:rsidRPr="00335D67" w:rsidRDefault="00C419D5" w:rsidP="00C419D5">
      <w:pPr>
        <w:spacing w:line="240" w:lineRule="auto"/>
        <w:ind w:left="720" w:hanging="720"/>
        <w:rPr>
          <w:rFonts w:cs="Times New Roman"/>
          <w:noProof/>
          <w:szCs w:val="24"/>
        </w:rPr>
      </w:pPr>
      <w:bookmarkStart w:id="22" w:name="_ENREF_22"/>
      <w:r w:rsidRPr="00335D67">
        <w:rPr>
          <w:rFonts w:cs="Times New Roman"/>
          <w:noProof/>
          <w:szCs w:val="24"/>
        </w:rPr>
        <w:t xml:space="preserve">Huang, R., and H. Stoll, 1997, The components of the bid-ask spread: A general approach, </w:t>
      </w:r>
      <w:r w:rsidRPr="00335D67">
        <w:rPr>
          <w:rFonts w:cs="Times New Roman"/>
          <w:i/>
          <w:noProof/>
          <w:szCs w:val="24"/>
        </w:rPr>
        <w:t>Review of Financial Studies</w:t>
      </w:r>
      <w:r w:rsidRPr="00335D67">
        <w:rPr>
          <w:rFonts w:cs="Times New Roman"/>
          <w:noProof/>
          <w:szCs w:val="24"/>
        </w:rPr>
        <w:t xml:space="preserve"> 10, 995-1034.</w:t>
      </w:r>
      <w:bookmarkEnd w:id="22"/>
    </w:p>
    <w:p w:rsidR="00C419D5" w:rsidRPr="00335D67" w:rsidRDefault="00C419D5" w:rsidP="00C419D5">
      <w:pPr>
        <w:spacing w:line="240" w:lineRule="auto"/>
        <w:ind w:left="720" w:hanging="720"/>
        <w:rPr>
          <w:rFonts w:cs="Times New Roman"/>
          <w:noProof/>
          <w:szCs w:val="24"/>
        </w:rPr>
      </w:pPr>
      <w:bookmarkStart w:id="23" w:name="_ENREF_23"/>
      <w:r w:rsidRPr="00335D67">
        <w:rPr>
          <w:rFonts w:cs="Times New Roman"/>
          <w:noProof/>
          <w:szCs w:val="24"/>
        </w:rPr>
        <w:t xml:space="preserve">Ivanov, S. I., 2011, The influence of etfs on the price discovery of gold, silver and oil, </w:t>
      </w:r>
      <w:r w:rsidRPr="00335D67">
        <w:rPr>
          <w:rFonts w:cs="Times New Roman"/>
          <w:i/>
          <w:noProof/>
          <w:szCs w:val="24"/>
        </w:rPr>
        <w:t>Journal of Economics and Finance</w:t>
      </w:r>
      <w:r w:rsidRPr="00335D67">
        <w:rPr>
          <w:rFonts w:cs="Times New Roman"/>
          <w:noProof/>
          <w:szCs w:val="24"/>
        </w:rPr>
        <w:t xml:space="preserve"> 37, 453-462.</w:t>
      </w:r>
      <w:bookmarkEnd w:id="23"/>
    </w:p>
    <w:p w:rsidR="00C419D5" w:rsidRPr="00335D67" w:rsidRDefault="00C419D5" w:rsidP="00C419D5">
      <w:pPr>
        <w:spacing w:line="240" w:lineRule="auto"/>
        <w:ind w:left="720" w:hanging="720"/>
        <w:rPr>
          <w:rFonts w:cs="Times New Roman"/>
          <w:noProof/>
          <w:szCs w:val="24"/>
        </w:rPr>
      </w:pPr>
      <w:bookmarkStart w:id="24" w:name="_ENREF_24"/>
      <w:r w:rsidRPr="00335D67">
        <w:rPr>
          <w:rFonts w:cs="Times New Roman"/>
          <w:noProof/>
          <w:szCs w:val="24"/>
        </w:rPr>
        <w:t xml:space="preserve">Kyle, A. S., 1985, Continuous auctions and insider trading, </w:t>
      </w:r>
      <w:r w:rsidRPr="00335D67">
        <w:rPr>
          <w:rFonts w:cs="Times New Roman"/>
          <w:i/>
          <w:noProof/>
          <w:szCs w:val="24"/>
        </w:rPr>
        <w:t>Econometrica</w:t>
      </w:r>
      <w:r w:rsidRPr="00335D67">
        <w:rPr>
          <w:rFonts w:cs="Times New Roman"/>
          <w:noProof/>
          <w:szCs w:val="24"/>
        </w:rPr>
        <w:t xml:space="preserve"> 53, 1315-1336.</w:t>
      </w:r>
      <w:bookmarkEnd w:id="24"/>
    </w:p>
    <w:p w:rsidR="00C419D5" w:rsidRPr="00335D67" w:rsidRDefault="00C419D5" w:rsidP="00C419D5">
      <w:pPr>
        <w:spacing w:line="240" w:lineRule="auto"/>
        <w:ind w:left="720" w:hanging="720"/>
        <w:rPr>
          <w:rFonts w:cs="Times New Roman"/>
          <w:noProof/>
          <w:szCs w:val="24"/>
        </w:rPr>
      </w:pPr>
      <w:bookmarkStart w:id="25" w:name="_ENREF_25"/>
      <w:r w:rsidRPr="00335D67">
        <w:rPr>
          <w:rFonts w:cs="Times New Roman"/>
          <w:noProof/>
          <w:szCs w:val="24"/>
        </w:rPr>
        <w:t xml:space="preserve">Laulajainen, R., 1990, Gold price round the clock: Technical and fundamental issues, </w:t>
      </w:r>
      <w:r w:rsidRPr="00335D67">
        <w:rPr>
          <w:rFonts w:cs="Times New Roman"/>
          <w:i/>
          <w:noProof/>
          <w:szCs w:val="24"/>
        </w:rPr>
        <w:t>Resources Policy</w:t>
      </w:r>
      <w:r w:rsidRPr="00335D67">
        <w:rPr>
          <w:rFonts w:cs="Times New Roman"/>
          <w:noProof/>
          <w:szCs w:val="24"/>
        </w:rPr>
        <w:t xml:space="preserve"> 16, 143-152.</w:t>
      </w:r>
      <w:bookmarkEnd w:id="25"/>
    </w:p>
    <w:p w:rsidR="00C419D5" w:rsidRPr="00335D67" w:rsidRDefault="00C419D5" w:rsidP="00C419D5">
      <w:pPr>
        <w:spacing w:line="240" w:lineRule="auto"/>
        <w:ind w:left="720" w:hanging="720"/>
        <w:rPr>
          <w:rFonts w:cs="Times New Roman"/>
          <w:noProof/>
          <w:szCs w:val="24"/>
        </w:rPr>
      </w:pPr>
      <w:bookmarkStart w:id="26" w:name="_ENREF_26"/>
      <w:r w:rsidRPr="00335D67">
        <w:rPr>
          <w:rFonts w:cs="Times New Roman"/>
          <w:noProof/>
          <w:szCs w:val="24"/>
        </w:rPr>
        <w:t xml:space="preserve">Lehmann, B. N., 2002, Some desiderata for the measurement of price discovery across markets, </w:t>
      </w:r>
      <w:r w:rsidRPr="00335D67">
        <w:rPr>
          <w:rFonts w:cs="Times New Roman"/>
          <w:i/>
          <w:noProof/>
          <w:szCs w:val="24"/>
        </w:rPr>
        <w:t>Journal of Financial Markets</w:t>
      </w:r>
      <w:r w:rsidRPr="00335D67">
        <w:rPr>
          <w:rFonts w:cs="Times New Roman"/>
          <w:noProof/>
          <w:szCs w:val="24"/>
        </w:rPr>
        <w:t xml:space="preserve"> 5, 259-276.</w:t>
      </w:r>
      <w:bookmarkEnd w:id="26"/>
    </w:p>
    <w:p w:rsidR="00C419D5" w:rsidRPr="00335D67" w:rsidRDefault="00C419D5" w:rsidP="00C419D5">
      <w:pPr>
        <w:spacing w:line="240" w:lineRule="auto"/>
        <w:ind w:left="720" w:hanging="720"/>
        <w:rPr>
          <w:rFonts w:cs="Times New Roman"/>
          <w:noProof/>
          <w:szCs w:val="24"/>
        </w:rPr>
      </w:pPr>
      <w:bookmarkStart w:id="27" w:name="_ENREF_27"/>
      <w:r w:rsidRPr="00335D67">
        <w:rPr>
          <w:rFonts w:cs="Times New Roman"/>
          <w:noProof/>
          <w:szCs w:val="24"/>
        </w:rPr>
        <w:t xml:space="preserve">Lin, J., G. Sanger, and G. Booth, 1995, Trade size and components of the bid-ask spread, </w:t>
      </w:r>
      <w:r w:rsidRPr="00335D67">
        <w:rPr>
          <w:rFonts w:cs="Times New Roman"/>
          <w:i/>
          <w:noProof/>
          <w:szCs w:val="24"/>
        </w:rPr>
        <w:t>Review of Financial Studies</w:t>
      </w:r>
      <w:r w:rsidRPr="00335D67">
        <w:rPr>
          <w:rFonts w:cs="Times New Roman"/>
          <w:noProof/>
          <w:szCs w:val="24"/>
        </w:rPr>
        <w:t xml:space="preserve"> 8, 1153-1183.</w:t>
      </w:r>
      <w:bookmarkEnd w:id="27"/>
    </w:p>
    <w:p w:rsidR="00C419D5" w:rsidRPr="00335D67" w:rsidRDefault="00C419D5" w:rsidP="00C419D5">
      <w:pPr>
        <w:spacing w:line="240" w:lineRule="auto"/>
        <w:ind w:left="720" w:hanging="720"/>
        <w:rPr>
          <w:rFonts w:cs="Times New Roman"/>
          <w:noProof/>
          <w:szCs w:val="24"/>
        </w:rPr>
      </w:pPr>
      <w:bookmarkStart w:id="28" w:name="_ENREF_28"/>
      <w:r w:rsidRPr="00335D67">
        <w:rPr>
          <w:rFonts w:cs="Times New Roman"/>
          <w:noProof/>
          <w:szCs w:val="24"/>
        </w:rPr>
        <w:t xml:space="preserve">Lucey, B. M., C. Larkin, and F. A. O'Connor, 2013, London or new york: Where and when does the gold price originate?, </w:t>
      </w:r>
      <w:r w:rsidRPr="00335D67">
        <w:rPr>
          <w:rFonts w:cs="Times New Roman"/>
          <w:i/>
          <w:noProof/>
          <w:szCs w:val="24"/>
        </w:rPr>
        <w:t>Applied Economics Letters</w:t>
      </w:r>
      <w:r w:rsidRPr="00335D67">
        <w:rPr>
          <w:rFonts w:cs="Times New Roman"/>
          <w:noProof/>
          <w:szCs w:val="24"/>
        </w:rPr>
        <w:t xml:space="preserve"> 20, 813-817.</w:t>
      </w:r>
      <w:bookmarkEnd w:id="28"/>
    </w:p>
    <w:p w:rsidR="00C419D5" w:rsidRPr="00335D67" w:rsidRDefault="00C419D5" w:rsidP="00C419D5">
      <w:pPr>
        <w:spacing w:line="240" w:lineRule="auto"/>
        <w:ind w:left="720" w:hanging="720"/>
        <w:rPr>
          <w:rFonts w:cs="Times New Roman"/>
          <w:noProof/>
          <w:szCs w:val="24"/>
        </w:rPr>
      </w:pPr>
      <w:bookmarkStart w:id="29" w:name="_ENREF_29"/>
      <w:r w:rsidRPr="00335D67">
        <w:rPr>
          <w:rFonts w:cs="Times New Roman"/>
          <w:noProof/>
          <w:szCs w:val="24"/>
        </w:rPr>
        <w:t xml:space="preserve">Lucey, B. M., C. Larkin, and F. O’Connor, 2014, Gold markets around the world–who spills over what, to whom, when?, </w:t>
      </w:r>
      <w:r w:rsidRPr="00335D67">
        <w:rPr>
          <w:rFonts w:cs="Times New Roman"/>
          <w:i/>
          <w:noProof/>
          <w:szCs w:val="24"/>
        </w:rPr>
        <w:t>Applied Economics Letters</w:t>
      </w:r>
      <w:r w:rsidRPr="00335D67">
        <w:rPr>
          <w:rFonts w:cs="Times New Roman"/>
          <w:noProof/>
          <w:szCs w:val="24"/>
        </w:rPr>
        <w:t xml:space="preserve"> 21, 887-892.</w:t>
      </w:r>
      <w:bookmarkEnd w:id="29"/>
    </w:p>
    <w:p w:rsidR="00C419D5" w:rsidRPr="00335D67" w:rsidRDefault="00C419D5" w:rsidP="00C419D5">
      <w:pPr>
        <w:spacing w:line="240" w:lineRule="auto"/>
        <w:ind w:left="720" w:hanging="720"/>
        <w:rPr>
          <w:rFonts w:cs="Times New Roman"/>
          <w:noProof/>
          <w:szCs w:val="24"/>
        </w:rPr>
      </w:pPr>
      <w:bookmarkStart w:id="30" w:name="_ENREF_30"/>
      <w:r w:rsidRPr="00335D67">
        <w:rPr>
          <w:rFonts w:cs="Times New Roman"/>
          <w:noProof/>
          <w:szCs w:val="24"/>
        </w:rPr>
        <w:t xml:space="preserve">Madhavan, A., M. Richardson, and M. Roomans, 1997, Why do security prices change? A transaction-level analysis of NYSE stocks, </w:t>
      </w:r>
      <w:r w:rsidRPr="00335D67">
        <w:rPr>
          <w:rFonts w:cs="Times New Roman"/>
          <w:i/>
          <w:noProof/>
          <w:szCs w:val="24"/>
        </w:rPr>
        <w:t>Review of Financial Studies</w:t>
      </w:r>
      <w:r w:rsidRPr="00335D67">
        <w:rPr>
          <w:rFonts w:cs="Times New Roman"/>
          <w:noProof/>
          <w:szCs w:val="24"/>
        </w:rPr>
        <w:t xml:space="preserve"> 10, 1035-1064.</w:t>
      </w:r>
      <w:bookmarkEnd w:id="30"/>
    </w:p>
    <w:p w:rsidR="00C419D5" w:rsidRPr="00335D67" w:rsidRDefault="00C419D5" w:rsidP="00C419D5">
      <w:pPr>
        <w:spacing w:line="240" w:lineRule="auto"/>
        <w:ind w:left="720" w:hanging="720"/>
        <w:rPr>
          <w:rFonts w:cs="Times New Roman"/>
          <w:noProof/>
          <w:szCs w:val="24"/>
        </w:rPr>
      </w:pPr>
      <w:bookmarkStart w:id="31" w:name="_ENREF_31"/>
      <w:r w:rsidRPr="00335D67">
        <w:rPr>
          <w:rFonts w:cs="Times New Roman"/>
          <w:noProof/>
          <w:szCs w:val="24"/>
        </w:rPr>
        <w:t xml:space="preserve">Maheu, J. M., and T. H. McCurdy, 2011, Do high-frequency measures of volatility improve forecasts of return distributions?, </w:t>
      </w:r>
      <w:r w:rsidRPr="00335D67">
        <w:rPr>
          <w:rFonts w:cs="Times New Roman"/>
          <w:i/>
          <w:noProof/>
          <w:szCs w:val="24"/>
        </w:rPr>
        <w:t>Journal of Econometrics</w:t>
      </w:r>
      <w:r w:rsidRPr="00335D67">
        <w:rPr>
          <w:rFonts w:cs="Times New Roman"/>
          <w:noProof/>
          <w:szCs w:val="24"/>
        </w:rPr>
        <w:t xml:space="preserve"> 160, 69-76.</w:t>
      </w:r>
      <w:bookmarkEnd w:id="31"/>
    </w:p>
    <w:p w:rsidR="00C419D5" w:rsidRPr="00335D67" w:rsidRDefault="00C419D5" w:rsidP="00C419D5">
      <w:pPr>
        <w:spacing w:line="240" w:lineRule="auto"/>
        <w:ind w:left="720" w:hanging="720"/>
        <w:rPr>
          <w:rFonts w:cs="Times New Roman"/>
          <w:noProof/>
          <w:szCs w:val="24"/>
        </w:rPr>
      </w:pPr>
      <w:bookmarkStart w:id="32" w:name="_ENREF_32"/>
      <w:r w:rsidRPr="00335D67">
        <w:rPr>
          <w:rFonts w:cs="Times New Roman"/>
          <w:noProof/>
          <w:szCs w:val="24"/>
        </w:rPr>
        <w:t xml:space="preserve">Newey, W. K., and K. D. West, 1987, Hypothesis testing with efficient method of moments estimation, </w:t>
      </w:r>
      <w:r w:rsidRPr="00335D67">
        <w:rPr>
          <w:rFonts w:cs="Times New Roman"/>
          <w:i/>
          <w:noProof/>
          <w:szCs w:val="24"/>
        </w:rPr>
        <w:t>International Economic Review</w:t>
      </w:r>
      <w:r w:rsidRPr="00335D67">
        <w:rPr>
          <w:rFonts w:cs="Times New Roman"/>
          <w:noProof/>
          <w:szCs w:val="24"/>
        </w:rPr>
        <w:t xml:space="preserve"> 28, 777-787.</w:t>
      </w:r>
      <w:bookmarkEnd w:id="32"/>
    </w:p>
    <w:p w:rsidR="00C419D5" w:rsidRPr="00335D67" w:rsidRDefault="00C419D5" w:rsidP="00C419D5">
      <w:pPr>
        <w:spacing w:line="240" w:lineRule="auto"/>
        <w:ind w:left="720" w:hanging="720"/>
        <w:rPr>
          <w:rFonts w:cs="Times New Roman"/>
          <w:noProof/>
          <w:szCs w:val="24"/>
        </w:rPr>
      </w:pPr>
      <w:bookmarkStart w:id="33" w:name="_ENREF_33"/>
      <w:r w:rsidRPr="00335D67">
        <w:rPr>
          <w:rFonts w:cs="Times New Roman"/>
          <w:noProof/>
          <w:szCs w:val="24"/>
        </w:rPr>
        <w:t xml:space="preserve">Patell, J. M., and M. A. Wolfson, 1984, The intraday speed of adjustment of stock prices to earnings and dividend announcements, </w:t>
      </w:r>
      <w:r w:rsidRPr="00335D67">
        <w:rPr>
          <w:rFonts w:cs="Times New Roman"/>
          <w:i/>
          <w:noProof/>
          <w:szCs w:val="24"/>
        </w:rPr>
        <w:t>Journal of Financial Economics</w:t>
      </w:r>
      <w:r w:rsidRPr="00335D67">
        <w:rPr>
          <w:rFonts w:cs="Times New Roman"/>
          <w:noProof/>
          <w:szCs w:val="24"/>
        </w:rPr>
        <w:t xml:space="preserve"> 13, 223-252.</w:t>
      </w:r>
      <w:bookmarkEnd w:id="33"/>
    </w:p>
    <w:p w:rsidR="00C419D5" w:rsidRPr="00335D67" w:rsidRDefault="00C419D5" w:rsidP="00C419D5">
      <w:pPr>
        <w:spacing w:line="240" w:lineRule="auto"/>
        <w:ind w:left="720" w:hanging="720"/>
        <w:rPr>
          <w:rFonts w:cs="Times New Roman"/>
          <w:noProof/>
          <w:szCs w:val="24"/>
        </w:rPr>
      </w:pPr>
      <w:bookmarkStart w:id="34" w:name="_ENREF_34"/>
      <w:r w:rsidRPr="00335D67">
        <w:rPr>
          <w:rFonts w:cs="Times New Roman"/>
          <w:noProof/>
          <w:szCs w:val="24"/>
        </w:rPr>
        <w:t xml:space="preserve">Pukthuanthong, K., and R. Roll, 2011, Gold and the dollar (and the euro, pound, and yen), </w:t>
      </w:r>
      <w:r w:rsidRPr="00335D67">
        <w:rPr>
          <w:rFonts w:cs="Times New Roman"/>
          <w:i/>
          <w:noProof/>
          <w:szCs w:val="24"/>
        </w:rPr>
        <w:t>Journal of Banking &amp; Finance</w:t>
      </w:r>
      <w:r w:rsidRPr="00335D67">
        <w:rPr>
          <w:rFonts w:cs="Times New Roman"/>
          <w:noProof/>
          <w:szCs w:val="24"/>
        </w:rPr>
        <w:t xml:space="preserve"> 35, 2070-2083.</w:t>
      </w:r>
      <w:bookmarkEnd w:id="34"/>
    </w:p>
    <w:p w:rsidR="00C419D5" w:rsidRPr="00335D67" w:rsidRDefault="00C419D5" w:rsidP="00C419D5">
      <w:pPr>
        <w:spacing w:line="240" w:lineRule="auto"/>
        <w:ind w:left="720" w:hanging="720"/>
        <w:rPr>
          <w:rFonts w:cs="Times New Roman"/>
          <w:noProof/>
          <w:szCs w:val="24"/>
        </w:rPr>
      </w:pPr>
      <w:bookmarkStart w:id="35" w:name="_ENREF_35"/>
      <w:r w:rsidRPr="00335D67">
        <w:rPr>
          <w:rFonts w:cs="Times New Roman"/>
          <w:noProof/>
          <w:szCs w:val="24"/>
        </w:rPr>
        <w:t xml:space="preserve">Reboredo, J. C., 2013a, Is gold a hedge or safe haven against oil price movements?, </w:t>
      </w:r>
      <w:r w:rsidRPr="00335D67">
        <w:rPr>
          <w:rFonts w:cs="Times New Roman"/>
          <w:i/>
          <w:noProof/>
          <w:szCs w:val="24"/>
        </w:rPr>
        <w:t>Resources Policy</w:t>
      </w:r>
      <w:r w:rsidRPr="00335D67">
        <w:rPr>
          <w:rFonts w:cs="Times New Roman"/>
          <w:noProof/>
          <w:szCs w:val="24"/>
        </w:rPr>
        <w:t xml:space="preserve"> 38, 130-137.</w:t>
      </w:r>
      <w:bookmarkEnd w:id="35"/>
    </w:p>
    <w:p w:rsidR="00C419D5" w:rsidRPr="00335D67" w:rsidRDefault="00C419D5" w:rsidP="00C419D5">
      <w:pPr>
        <w:spacing w:line="240" w:lineRule="auto"/>
        <w:ind w:left="720" w:hanging="720"/>
        <w:rPr>
          <w:rFonts w:cs="Times New Roman"/>
          <w:noProof/>
          <w:szCs w:val="24"/>
        </w:rPr>
      </w:pPr>
      <w:bookmarkStart w:id="36" w:name="_ENREF_36"/>
      <w:r w:rsidRPr="00335D67">
        <w:rPr>
          <w:rFonts w:cs="Times New Roman"/>
          <w:noProof/>
          <w:szCs w:val="24"/>
        </w:rPr>
        <w:t xml:space="preserve">Reboredo, J. C., 2013b, Is gold a safe haven or a hedge for the us dollar? Implications for risk management, </w:t>
      </w:r>
      <w:r w:rsidRPr="00335D67">
        <w:rPr>
          <w:rFonts w:cs="Times New Roman"/>
          <w:i/>
          <w:noProof/>
          <w:szCs w:val="24"/>
        </w:rPr>
        <w:t>Journal of Banking &amp; Finance</w:t>
      </w:r>
      <w:r w:rsidRPr="00335D67">
        <w:rPr>
          <w:rFonts w:cs="Times New Roman"/>
          <w:noProof/>
          <w:szCs w:val="24"/>
        </w:rPr>
        <w:t xml:space="preserve"> 37, 2665-2676.</w:t>
      </w:r>
      <w:bookmarkEnd w:id="36"/>
    </w:p>
    <w:p w:rsidR="00C419D5" w:rsidRPr="00335D67" w:rsidRDefault="00C419D5" w:rsidP="00C419D5">
      <w:pPr>
        <w:spacing w:line="240" w:lineRule="auto"/>
        <w:ind w:left="720" w:hanging="720"/>
        <w:rPr>
          <w:rFonts w:cs="Times New Roman"/>
          <w:noProof/>
          <w:szCs w:val="24"/>
        </w:rPr>
      </w:pPr>
      <w:bookmarkStart w:id="37" w:name="_ENREF_37"/>
      <w:r w:rsidRPr="00335D67">
        <w:rPr>
          <w:rFonts w:cs="Times New Roman"/>
          <w:noProof/>
          <w:szCs w:val="24"/>
        </w:rPr>
        <w:t>Thomson Reuters, 2014, Gfms gold survey 2014.</w:t>
      </w:r>
      <w:bookmarkEnd w:id="37"/>
    </w:p>
    <w:p w:rsidR="00C419D5" w:rsidRPr="00335D67" w:rsidRDefault="00C419D5" w:rsidP="00C419D5">
      <w:pPr>
        <w:spacing w:line="240" w:lineRule="auto"/>
        <w:ind w:left="720" w:hanging="720"/>
        <w:rPr>
          <w:rFonts w:cs="Times New Roman"/>
          <w:noProof/>
          <w:szCs w:val="24"/>
        </w:rPr>
      </w:pPr>
      <w:bookmarkStart w:id="38" w:name="_ENREF_38"/>
      <w:r w:rsidRPr="00335D67">
        <w:rPr>
          <w:rFonts w:cs="Times New Roman"/>
          <w:noProof/>
          <w:szCs w:val="24"/>
        </w:rPr>
        <w:t>Wallace, C., 2014, Daily london currency pricing may need a tweak, Institutional Investor.</w:t>
      </w:r>
      <w:bookmarkEnd w:id="38"/>
    </w:p>
    <w:p w:rsidR="00C419D5" w:rsidRPr="00335D67" w:rsidRDefault="00C419D5" w:rsidP="00C419D5">
      <w:pPr>
        <w:spacing w:line="240" w:lineRule="auto"/>
        <w:ind w:left="720" w:hanging="720"/>
        <w:rPr>
          <w:rFonts w:cs="Times New Roman"/>
          <w:noProof/>
          <w:szCs w:val="24"/>
        </w:rPr>
      </w:pPr>
      <w:bookmarkStart w:id="39" w:name="_ENREF_39"/>
      <w:r w:rsidRPr="00335D67">
        <w:rPr>
          <w:rFonts w:cs="Times New Roman"/>
          <w:noProof/>
          <w:szCs w:val="24"/>
        </w:rPr>
        <w:t xml:space="preserve">Wang, J., and M. Yang, 2011, Housewives of tokyo versus the gnomes of zurich: Measuring price discovery in sequential markets, </w:t>
      </w:r>
      <w:r w:rsidRPr="00335D67">
        <w:rPr>
          <w:rFonts w:cs="Times New Roman"/>
          <w:i/>
          <w:noProof/>
          <w:szCs w:val="24"/>
        </w:rPr>
        <w:t>Journal of Financial Markets</w:t>
      </w:r>
      <w:r w:rsidRPr="00335D67">
        <w:rPr>
          <w:rFonts w:cs="Times New Roman"/>
          <w:noProof/>
          <w:szCs w:val="24"/>
        </w:rPr>
        <w:t xml:space="preserve"> 14, 82-108.</w:t>
      </w:r>
      <w:bookmarkEnd w:id="39"/>
    </w:p>
    <w:p w:rsidR="00C419D5" w:rsidRPr="00335D67" w:rsidRDefault="00C419D5" w:rsidP="00C419D5">
      <w:pPr>
        <w:spacing w:line="240" w:lineRule="auto"/>
        <w:ind w:left="720" w:hanging="720"/>
        <w:rPr>
          <w:rFonts w:cs="Times New Roman"/>
          <w:noProof/>
          <w:szCs w:val="24"/>
        </w:rPr>
      </w:pPr>
      <w:bookmarkStart w:id="40" w:name="_ENREF_40"/>
      <w:r w:rsidRPr="00335D67">
        <w:rPr>
          <w:rFonts w:cs="Times New Roman"/>
          <w:noProof/>
          <w:szCs w:val="24"/>
        </w:rPr>
        <w:t xml:space="preserve">Wang, J., and M. Yang, 2014, How well does the weighted price contribution measure price discovery?, </w:t>
      </w:r>
      <w:r w:rsidRPr="00335D67">
        <w:rPr>
          <w:rFonts w:cs="Times New Roman"/>
          <w:i/>
          <w:noProof/>
          <w:szCs w:val="24"/>
        </w:rPr>
        <w:t>Working Paper, University of Technology, Sydney</w:t>
      </w:r>
      <w:r w:rsidRPr="00335D67">
        <w:rPr>
          <w:rFonts w:cs="Times New Roman"/>
          <w:noProof/>
          <w:szCs w:val="24"/>
        </w:rPr>
        <w:t>.</w:t>
      </w:r>
      <w:bookmarkEnd w:id="40"/>
    </w:p>
    <w:p w:rsidR="00C419D5" w:rsidRPr="00335D67" w:rsidRDefault="00C419D5" w:rsidP="00C419D5">
      <w:pPr>
        <w:spacing w:line="240" w:lineRule="auto"/>
        <w:ind w:left="720" w:hanging="720"/>
        <w:rPr>
          <w:rFonts w:cs="Times New Roman"/>
          <w:noProof/>
          <w:szCs w:val="24"/>
        </w:rPr>
      </w:pPr>
      <w:bookmarkStart w:id="41" w:name="_ENREF_41"/>
      <w:r w:rsidRPr="00335D67">
        <w:rPr>
          <w:rFonts w:cs="Times New Roman"/>
          <w:noProof/>
          <w:szCs w:val="24"/>
        </w:rPr>
        <w:t xml:space="preserve">Zhang, D., 2005, Price discovery in gold markets: China and the us, </w:t>
      </w:r>
      <w:r w:rsidRPr="00335D67">
        <w:rPr>
          <w:rFonts w:cs="Times New Roman"/>
          <w:i/>
          <w:noProof/>
          <w:szCs w:val="24"/>
        </w:rPr>
        <w:t>Working Paper, Stockholm University School of Business</w:t>
      </w:r>
      <w:r w:rsidRPr="00335D67">
        <w:rPr>
          <w:rFonts w:cs="Times New Roman"/>
          <w:noProof/>
          <w:szCs w:val="24"/>
        </w:rPr>
        <w:t>.</w:t>
      </w:r>
      <w:bookmarkEnd w:id="41"/>
    </w:p>
    <w:p w:rsidR="00C419D5" w:rsidRPr="00335D67" w:rsidRDefault="00C419D5" w:rsidP="00C419D5">
      <w:pPr>
        <w:spacing w:line="240" w:lineRule="auto"/>
        <w:ind w:left="720" w:hanging="720"/>
        <w:rPr>
          <w:rFonts w:cs="Times New Roman"/>
          <w:noProof/>
          <w:szCs w:val="24"/>
        </w:rPr>
      </w:pPr>
      <w:bookmarkStart w:id="42" w:name="_ENREF_42"/>
      <w:r w:rsidRPr="00335D67">
        <w:rPr>
          <w:rFonts w:cs="Times New Roman"/>
          <w:noProof/>
          <w:szCs w:val="24"/>
        </w:rPr>
        <w:t xml:space="preserve">Zhang, L., P. A. Mykland, and Y. Aït-Sahalia, 2005, A tale of two time scales, </w:t>
      </w:r>
      <w:r w:rsidRPr="00335D67">
        <w:rPr>
          <w:rFonts w:cs="Times New Roman"/>
          <w:i/>
          <w:noProof/>
          <w:szCs w:val="24"/>
        </w:rPr>
        <w:t>Journal of the American Statistical Association</w:t>
      </w:r>
      <w:r w:rsidRPr="00335D67">
        <w:rPr>
          <w:rFonts w:cs="Times New Roman"/>
          <w:noProof/>
          <w:szCs w:val="24"/>
        </w:rPr>
        <w:t xml:space="preserve"> 100, 1394-1411.</w:t>
      </w:r>
      <w:bookmarkEnd w:id="42"/>
    </w:p>
    <w:p w:rsidR="00C419D5" w:rsidRPr="00335D67" w:rsidRDefault="00C419D5" w:rsidP="00C419D5">
      <w:pPr>
        <w:spacing w:line="240" w:lineRule="auto"/>
        <w:rPr>
          <w:rFonts w:cs="Times New Roman"/>
          <w:noProof/>
          <w:szCs w:val="24"/>
        </w:rPr>
      </w:pPr>
    </w:p>
    <w:p w:rsidR="00B20D52" w:rsidRPr="00C36BE9" w:rsidRDefault="00ED311F">
      <w:pPr>
        <w:autoSpaceDE w:val="0"/>
        <w:autoSpaceDN w:val="0"/>
        <w:adjustRightInd w:val="0"/>
        <w:spacing w:before="240" w:line="240" w:lineRule="auto"/>
        <w:ind w:firstLine="0"/>
        <w:rPr>
          <w:rFonts w:cs="Times New Roman"/>
          <w:sz w:val="20"/>
          <w:szCs w:val="20"/>
        </w:rPr>
      </w:pPr>
      <w:r w:rsidRPr="00335D67">
        <w:rPr>
          <w:rFonts w:cs="Times New Roman"/>
          <w:szCs w:val="24"/>
        </w:rPr>
        <w:fldChar w:fldCharType="end"/>
      </w:r>
    </w:p>
    <w:p w:rsidR="00B20D52" w:rsidRPr="00C36BE9" w:rsidRDefault="00B20D52">
      <w:pPr>
        <w:spacing w:after="200" w:line="276" w:lineRule="auto"/>
        <w:ind w:firstLine="0"/>
        <w:jc w:val="left"/>
        <w:rPr>
          <w:rFonts w:cs="Times New Roman"/>
          <w:sz w:val="20"/>
          <w:szCs w:val="20"/>
        </w:rPr>
      </w:pPr>
      <w:r w:rsidRPr="00C36BE9">
        <w:rPr>
          <w:rFonts w:cs="Times New Roman"/>
          <w:sz w:val="20"/>
          <w:szCs w:val="20"/>
        </w:rPr>
        <w:br w:type="page"/>
      </w:r>
    </w:p>
    <w:p w:rsidR="00E9071B" w:rsidRDefault="00E9071B">
      <w:pPr>
        <w:autoSpaceDE w:val="0"/>
        <w:autoSpaceDN w:val="0"/>
        <w:adjustRightInd w:val="0"/>
        <w:spacing w:before="240" w:line="240" w:lineRule="auto"/>
        <w:ind w:firstLine="0"/>
        <w:rPr>
          <w:rFonts w:eastAsia="CMR12" w:cs="Times New Roman"/>
          <w:szCs w:val="24"/>
        </w:rPr>
      </w:pPr>
    </w:p>
    <w:p w:rsidR="00063BEA" w:rsidRPr="00407628" w:rsidRDefault="00063BEA" w:rsidP="00063BEA">
      <w:pPr>
        <w:spacing w:after="200" w:line="276" w:lineRule="auto"/>
        <w:ind w:firstLine="0"/>
        <w:jc w:val="center"/>
        <w:rPr>
          <w:b/>
          <w:noProof/>
          <w:lang w:eastAsia="zh-CN"/>
        </w:rPr>
      </w:pPr>
      <w:r w:rsidRPr="00407628">
        <w:rPr>
          <w:b/>
          <w:noProof/>
          <w:lang w:eastAsia="zh-CN"/>
        </w:rPr>
        <w:t>Figure 1a: Gold ETF Trading Volume</w:t>
      </w:r>
    </w:p>
    <w:p w:rsidR="00063BEA" w:rsidRPr="00053937" w:rsidRDefault="008141D9" w:rsidP="00063BEA">
      <w:pPr>
        <w:spacing w:after="200" w:line="276" w:lineRule="auto"/>
        <w:ind w:firstLine="0"/>
        <w:jc w:val="left"/>
        <w:rPr>
          <w:noProof/>
          <w:sz w:val="20"/>
          <w:szCs w:val="20"/>
          <w:lang w:eastAsia="zh-CN"/>
        </w:rPr>
      </w:pPr>
      <w:r>
        <w:rPr>
          <w:rFonts w:cs="Times New Roman"/>
          <w:sz w:val="20"/>
          <w:szCs w:val="20"/>
          <w:lang w:val="en-US"/>
        </w:rPr>
        <w:t>This graph reports the total U</w:t>
      </w:r>
      <w:r w:rsidR="00C21C51">
        <w:rPr>
          <w:rFonts w:cs="Times New Roman"/>
          <w:sz w:val="20"/>
          <w:szCs w:val="20"/>
          <w:lang w:val="en-US"/>
        </w:rPr>
        <w:t>.</w:t>
      </w:r>
      <w:r>
        <w:rPr>
          <w:rFonts w:cs="Times New Roman"/>
          <w:sz w:val="20"/>
          <w:szCs w:val="20"/>
          <w:lang w:val="en-US"/>
        </w:rPr>
        <w:t>S</w:t>
      </w:r>
      <w:r w:rsidR="00C21C51">
        <w:rPr>
          <w:rFonts w:cs="Times New Roman"/>
          <w:sz w:val="20"/>
          <w:szCs w:val="20"/>
          <w:lang w:val="en-US"/>
        </w:rPr>
        <w:t>.</w:t>
      </w:r>
      <w:r>
        <w:rPr>
          <w:rFonts w:cs="Times New Roman"/>
          <w:sz w:val="20"/>
          <w:szCs w:val="20"/>
          <w:lang w:val="en-US"/>
        </w:rPr>
        <w:t xml:space="preserve"> dollar trading volume per year in gold ETFs globally</w:t>
      </w:r>
      <w:r w:rsidR="00E059FA">
        <w:rPr>
          <w:rFonts w:cs="Times New Roman"/>
          <w:sz w:val="20"/>
          <w:szCs w:val="20"/>
          <w:lang w:val="en-US"/>
        </w:rPr>
        <w:t xml:space="preserve"> from 2002 to 2012. </w:t>
      </w:r>
      <w:r w:rsidR="00063BEA" w:rsidRPr="00053937">
        <w:rPr>
          <w:rFonts w:cs="Times New Roman"/>
          <w:sz w:val="20"/>
          <w:szCs w:val="20"/>
          <w:lang w:val="en-US"/>
        </w:rPr>
        <w:t>Data is from Bloomberg.</w:t>
      </w:r>
    </w:p>
    <w:p w:rsidR="00063BEA" w:rsidRDefault="00063BEA" w:rsidP="00063BEA">
      <w:pPr>
        <w:spacing w:after="200" w:line="276" w:lineRule="auto"/>
        <w:ind w:firstLine="0"/>
        <w:jc w:val="center"/>
        <w:rPr>
          <w:rFonts w:cs="Times New Roman"/>
          <w:b/>
          <w:bCs/>
          <w:szCs w:val="24"/>
        </w:rPr>
      </w:pPr>
      <w:r>
        <w:rPr>
          <w:noProof/>
          <w:lang w:eastAsia="en-AU"/>
        </w:rPr>
        <w:drawing>
          <wp:inline distT="0" distB="0" distL="0" distR="0" wp14:anchorId="6582882C" wp14:editId="5BAEE13D">
            <wp:extent cx="5943600" cy="3440430"/>
            <wp:effectExtent l="0" t="0" r="0"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1A5B" w:rsidRDefault="008A1A5B" w:rsidP="00063BEA">
      <w:pPr>
        <w:spacing w:after="200" w:line="276" w:lineRule="auto"/>
        <w:ind w:firstLine="0"/>
        <w:jc w:val="center"/>
        <w:rPr>
          <w:rFonts w:cs="Times New Roman"/>
          <w:b/>
          <w:bCs/>
          <w:szCs w:val="24"/>
        </w:rPr>
      </w:pPr>
    </w:p>
    <w:p w:rsidR="00063BEA" w:rsidRPr="00407628" w:rsidRDefault="00063BEA" w:rsidP="00063BEA">
      <w:pPr>
        <w:spacing w:after="200" w:line="276" w:lineRule="auto"/>
        <w:ind w:firstLine="0"/>
        <w:jc w:val="center"/>
        <w:rPr>
          <w:rFonts w:cs="Times New Roman"/>
          <w:b/>
          <w:bCs/>
          <w:szCs w:val="24"/>
        </w:rPr>
      </w:pPr>
      <w:r w:rsidRPr="00407628">
        <w:rPr>
          <w:rFonts w:cs="Times New Roman"/>
          <w:b/>
          <w:bCs/>
          <w:szCs w:val="24"/>
        </w:rPr>
        <w:t>Figure 1b: Gold ETF and Gold Price</w:t>
      </w:r>
    </w:p>
    <w:p w:rsidR="00063BEA" w:rsidRPr="00053937" w:rsidRDefault="00F828AC" w:rsidP="00063BEA">
      <w:pPr>
        <w:spacing w:after="200" w:line="276" w:lineRule="auto"/>
        <w:ind w:firstLine="0"/>
        <w:jc w:val="left"/>
        <w:rPr>
          <w:rFonts w:cs="Times New Roman"/>
          <w:b/>
          <w:bCs/>
          <w:sz w:val="20"/>
          <w:szCs w:val="20"/>
        </w:rPr>
      </w:pPr>
      <w:r w:rsidRPr="00053937">
        <w:rPr>
          <w:rFonts w:cs="Times New Roman"/>
          <w:bCs/>
          <w:sz w:val="20"/>
          <w:szCs w:val="20"/>
        </w:rPr>
        <w:t xml:space="preserve">This is Figure 5 from </w:t>
      </w:r>
      <w:r w:rsidR="00ED311F" w:rsidRPr="00053937">
        <w:rPr>
          <w:rFonts w:cs="Times New Roman"/>
          <w:bCs/>
          <w:sz w:val="20"/>
          <w:szCs w:val="20"/>
        </w:rPr>
        <w:fldChar w:fldCharType="begin"/>
      </w:r>
      <w:r w:rsidR="009B6EF1">
        <w:rPr>
          <w:rFonts w:cs="Times New Roman"/>
          <w:bCs/>
          <w:sz w:val="20"/>
          <w:szCs w:val="20"/>
        </w:rPr>
        <w:instrText xml:space="preserve"> ADDIN EN.CITE &lt;EndNote&gt;&lt;Cite&gt;&lt;Author&gt;Baur&lt;/Author&gt;&lt;Year&gt;2013&lt;/Year&gt;&lt;RecNum&gt;796&lt;/RecNum&gt;&lt;DisplayText&gt;Baur (2013)&lt;/DisplayText&gt;&lt;record&gt;&lt;rec-number&gt;796&lt;/rec-number&gt;&lt;foreign-keys&gt;&lt;key app="EN" db-id="szetpsas1ep5veesd5xvva5qdxwetsvpfs5x"&gt;796&lt;/key&gt;&lt;/foreign-keys&gt;&lt;ref-type name="Journal Article"&gt;17&lt;/ref-type&gt;&lt;contributors&gt;&lt;authors&gt;&lt;author&gt;Baur, Dirk G&lt;/author&gt;&lt;/authors&gt;&lt;/contributors&gt;&lt;titles&gt;&lt;title&gt;Exchange-Traded Funds on Gold-A Free Lunch?&lt;/title&gt;&lt;secondary-title&gt;Working Paper, Kuehne Logistics University &lt;/secondary-title&gt;&lt;/titles&gt;&lt;periodical&gt;&lt;full-title&gt;Working Paper, Kuehne Logistics University&lt;/full-title&gt;&lt;/periodical&gt;&lt;dates&gt;&lt;year&gt;2013&lt;/year&gt;&lt;/dates&gt;&lt;urls&gt;&lt;/urls&gt;&lt;/record&gt;&lt;/Cite&gt;&lt;/EndNote&gt;</w:instrText>
      </w:r>
      <w:r w:rsidR="00ED311F" w:rsidRPr="00053937">
        <w:rPr>
          <w:rFonts w:cs="Times New Roman"/>
          <w:bCs/>
          <w:sz w:val="20"/>
          <w:szCs w:val="20"/>
        </w:rPr>
        <w:fldChar w:fldCharType="separate"/>
      </w:r>
      <w:hyperlink w:anchor="_ENREF_5" w:tooltip="Baur, 2013 #796" w:history="1">
        <w:r w:rsidR="00C419D5" w:rsidRPr="00053937">
          <w:rPr>
            <w:rFonts w:cs="Times New Roman"/>
            <w:bCs/>
            <w:noProof/>
            <w:sz w:val="20"/>
            <w:szCs w:val="20"/>
          </w:rPr>
          <w:t>Baur (2013</w:t>
        </w:r>
      </w:hyperlink>
      <w:r w:rsidRPr="00053937">
        <w:rPr>
          <w:rFonts w:cs="Times New Roman"/>
          <w:bCs/>
          <w:noProof/>
          <w:sz w:val="20"/>
          <w:szCs w:val="20"/>
        </w:rPr>
        <w:t>)</w:t>
      </w:r>
      <w:r w:rsidR="00ED311F" w:rsidRPr="00053937">
        <w:rPr>
          <w:rFonts w:cs="Times New Roman"/>
          <w:bCs/>
          <w:sz w:val="20"/>
          <w:szCs w:val="20"/>
        </w:rPr>
        <w:fldChar w:fldCharType="end"/>
      </w:r>
      <w:r w:rsidR="00785536">
        <w:rPr>
          <w:rFonts w:cs="Times New Roman"/>
          <w:bCs/>
          <w:sz w:val="20"/>
          <w:szCs w:val="20"/>
        </w:rPr>
        <w:t xml:space="preserve"> </w:t>
      </w:r>
      <w:r w:rsidR="00247FED" w:rsidRPr="00053937">
        <w:rPr>
          <w:rFonts w:cs="Times New Roman"/>
          <w:bCs/>
          <w:sz w:val="20"/>
          <w:szCs w:val="20"/>
        </w:rPr>
        <w:t>showing the number of gold ETFs and the gold price.</w:t>
      </w:r>
    </w:p>
    <w:p w:rsidR="00063BEA" w:rsidRDefault="00063BEA" w:rsidP="00063BEA">
      <w:pPr>
        <w:spacing w:after="200" w:line="276" w:lineRule="auto"/>
        <w:ind w:firstLine="0"/>
        <w:jc w:val="center"/>
        <w:rPr>
          <w:rFonts w:cs="Times New Roman"/>
          <w:b/>
          <w:bCs/>
          <w:szCs w:val="24"/>
        </w:rPr>
      </w:pPr>
      <w:r>
        <w:rPr>
          <w:rFonts w:cs="Times New Roman"/>
          <w:b/>
          <w:bCs/>
          <w:noProof/>
          <w:szCs w:val="24"/>
          <w:lang w:eastAsia="en-AU"/>
        </w:rPr>
        <w:drawing>
          <wp:inline distT="0" distB="0" distL="0" distR="0" wp14:anchorId="5F03D885" wp14:editId="31964DB8">
            <wp:extent cx="5955323" cy="3253199"/>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56659" cy="3253929"/>
                    </a:xfrm>
                    <a:prstGeom prst="rect">
                      <a:avLst/>
                    </a:prstGeom>
                    <a:noFill/>
                    <a:ln w="9525">
                      <a:noFill/>
                      <a:miter lim="800000"/>
                      <a:headEnd/>
                      <a:tailEnd/>
                    </a:ln>
                  </pic:spPr>
                </pic:pic>
              </a:graphicData>
            </a:graphic>
          </wp:inline>
        </w:drawing>
      </w:r>
    </w:p>
    <w:p w:rsidR="007E45B9" w:rsidRDefault="007E45B9">
      <w:pPr>
        <w:spacing w:after="200" w:line="276" w:lineRule="auto"/>
        <w:ind w:firstLine="0"/>
        <w:jc w:val="left"/>
        <w:rPr>
          <w:rFonts w:cs="Times New Roman"/>
          <w:bCs/>
          <w:szCs w:val="24"/>
        </w:rPr>
      </w:pPr>
    </w:p>
    <w:p w:rsidR="00063BEA" w:rsidRPr="00785536" w:rsidRDefault="00063BEA" w:rsidP="00063BEA">
      <w:pPr>
        <w:ind w:firstLine="0"/>
        <w:jc w:val="center"/>
        <w:rPr>
          <w:rFonts w:cs="Times New Roman"/>
          <w:b/>
          <w:bCs/>
          <w:szCs w:val="24"/>
        </w:rPr>
      </w:pPr>
      <w:r w:rsidRPr="00785536">
        <w:rPr>
          <w:rFonts w:cs="Times New Roman"/>
          <w:b/>
          <w:bCs/>
          <w:szCs w:val="24"/>
        </w:rPr>
        <w:lastRenderedPageBreak/>
        <w:t xml:space="preserve">Figure 2a: </w:t>
      </w:r>
      <w:r w:rsidR="00320CE4" w:rsidRPr="00785536">
        <w:rPr>
          <w:rFonts w:cs="Times New Roman"/>
          <w:b/>
          <w:bCs/>
          <w:szCs w:val="24"/>
        </w:rPr>
        <w:t>Global Demand for Gold</w:t>
      </w:r>
    </w:p>
    <w:p w:rsidR="00053937" w:rsidRPr="00312067" w:rsidRDefault="00053937" w:rsidP="00053937">
      <w:pPr>
        <w:pStyle w:val="Caption"/>
        <w:jc w:val="both"/>
        <w:rPr>
          <w:rFonts w:cs="Times New Roman"/>
          <w:b w:val="0"/>
          <w:sz w:val="20"/>
          <w:szCs w:val="20"/>
        </w:rPr>
      </w:pPr>
      <w:r w:rsidRPr="00312067">
        <w:rPr>
          <w:rFonts w:cs="Times New Roman"/>
          <w:b w:val="0"/>
          <w:sz w:val="20"/>
          <w:szCs w:val="20"/>
        </w:rPr>
        <w:t>This graph reports total world gold investment</w:t>
      </w:r>
      <w:r>
        <w:rPr>
          <w:rFonts w:cs="Times New Roman"/>
          <w:b w:val="0"/>
          <w:sz w:val="20"/>
          <w:szCs w:val="20"/>
        </w:rPr>
        <w:t xml:space="preserve"> and jewellery</w:t>
      </w:r>
      <w:r w:rsidRPr="00312067">
        <w:rPr>
          <w:rFonts w:cs="Times New Roman"/>
          <w:b w:val="0"/>
          <w:sz w:val="20"/>
          <w:szCs w:val="20"/>
        </w:rPr>
        <w:t xml:space="preserve"> demand, emphasizing the top three countries with the largest demand for the period 1997 to 2012.</w:t>
      </w:r>
      <w:r>
        <w:rPr>
          <w:rFonts w:cs="Times New Roman"/>
          <w:b w:val="0"/>
          <w:sz w:val="20"/>
          <w:szCs w:val="20"/>
        </w:rPr>
        <w:t xml:space="preserve"> </w:t>
      </w:r>
      <w:r>
        <w:rPr>
          <w:rFonts w:cs="Times New Roman"/>
          <w:b w:val="0"/>
          <w:noProof/>
          <w:sz w:val="20"/>
          <w:szCs w:val="20"/>
        </w:rPr>
        <w:t>Data is from quartlerly Gold Demand Reports by the World Gold Council.</w:t>
      </w:r>
    </w:p>
    <w:p w:rsidR="00063BEA" w:rsidRDefault="00A9522B" w:rsidP="00063BEA">
      <w:pPr>
        <w:spacing w:after="200" w:line="276" w:lineRule="auto"/>
        <w:ind w:firstLine="0"/>
        <w:jc w:val="center"/>
        <w:rPr>
          <w:rFonts w:cs="Times New Roman"/>
          <w:bCs/>
          <w:szCs w:val="24"/>
        </w:rPr>
      </w:pPr>
      <w:r w:rsidRPr="00A9522B">
        <w:rPr>
          <w:rFonts w:cs="Times New Roman"/>
          <w:bCs/>
          <w:noProof/>
          <w:szCs w:val="24"/>
          <w:lang w:eastAsia="en-AU"/>
        </w:rPr>
        <w:drawing>
          <wp:inline distT="0" distB="0" distL="0" distR="0" wp14:anchorId="6E3058CB" wp14:editId="4FCB527D">
            <wp:extent cx="5731510" cy="3051253"/>
            <wp:effectExtent l="0" t="0" r="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63BEA" w:rsidRPr="00785536" w:rsidRDefault="00063BEA" w:rsidP="00063BEA">
      <w:pPr>
        <w:spacing w:after="200" w:line="276" w:lineRule="auto"/>
        <w:ind w:firstLine="0"/>
        <w:jc w:val="center"/>
        <w:rPr>
          <w:rFonts w:cs="Times New Roman"/>
          <w:b/>
          <w:bCs/>
          <w:szCs w:val="24"/>
        </w:rPr>
      </w:pPr>
      <w:r w:rsidRPr="00785536">
        <w:rPr>
          <w:rFonts w:cs="Times New Roman"/>
          <w:b/>
          <w:bCs/>
          <w:szCs w:val="24"/>
        </w:rPr>
        <w:t>Figure 2b: Chinese Shares of Gold Demand and Gold Price</w:t>
      </w:r>
    </w:p>
    <w:p w:rsidR="00063BEA" w:rsidRDefault="00063BEA" w:rsidP="00063BEA">
      <w:pPr>
        <w:spacing w:line="240" w:lineRule="auto"/>
        <w:ind w:firstLine="0"/>
        <w:contextualSpacing/>
        <w:rPr>
          <w:rFonts w:cs="Times New Roman"/>
          <w:sz w:val="20"/>
          <w:szCs w:val="20"/>
          <w:lang w:val="en-US"/>
        </w:rPr>
      </w:pPr>
      <w:r w:rsidRPr="00312067">
        <w:rPr>
          <w:rFonts w:cs="Times New Roman"/>
          <w:sz w:val="20"/>
          <w:szCs w:val="20"/>
          <w:lang w:val="en-US"/>
        </w:rPr>
        <w:t xml:space="preserve">This graph shows the relationship between the gold price and China’s proportion of </w:t>
      </w:r>
      <w:r>
        <w:rPr>
          <w:rFonts w:cs="Times New Roman"/>
          <w:sz w:val="20"/>
          <w:szCs w:val="20"/>
          <w:lang w:val="en-US"/>
        </w:rPr>
        <w:t xml:space="preserve">gold </w:t>
      </w:r>
      <w:r w:rsidRPr="00312067">
        <w:rPr>
          <w:rFonts w:cs="Times New Roman"/>
          <w:sz w:val="20"/>
          <w:szCs w:val="20"/>
          <w:lang w:val="en-US"/>
        </w:rPr>
        <w:t xml:space="preserve">demand. </w:t>
      </w:r>
      <w:r>
        <w:rPr>
          <w:rFonts w:cs="Times New Roman"/>
          <w:sz w:val="20"/>
          <w:szCs w:val="20"/>
          <w:lang w:val="en-US"/>
        </w:rPr>
        <w:t>Gold price data is from Bloomberg, investment and jewelry demand is from the World Gold Council.</w:t>
      </w:r>
    </w:p>
    <w:p w:rsidR="00063BEA" w:rsidRDefault="00063BEA" w:rsidP="00063BEA">
      <w:pPr>
        <w:spacing w:line="240" w:lineRule="auto"/>
        <w:ind w:firstLine="0"/>
        <w:contextualSpacing/>
        <w:rPr>
          <w:rFonts w:cs="Times New Roman"/>
          <w:b/>
          <w:bCs/>
          <w:szCs w:val="24"/>
        </w:rPr>
      </w:pPr>
    </w:p>
    <w:p w:rsidR="00063BEA" w:rsidRDefault="00063BEA" w:rsidP="008A1A5B">
      <w:pPr>
        <w:spacing w:line="240" w:lineRule="auto"/>
        <w:ind w:firstLine="0"/>
        <w:contextualSpacing/>
        <w:jc w:val="center"/>
        <w:rPr>
          <w:rFonts w:cs="Times New Roman"/>
          <w:b/>
          <w:sz w:val="20"/>
          <w:szCs w:val="20"/>
          <w:lang w:val="en-US"/>
        </w:rPr>
      </w:pPr>
      <w:r w:rsidRPr="0099458E">
        <w:rPr>
          <w:rFonts w:cs="Times New Roman"/>
          <w:noProof/>
          <w:szCs w:val="24"/>
          <w:lang w:eastAsia="en-AU"/>
        </w:rPr>
        <w:drawing>
          <wp:inline distT="0" distB="0" distL="0" distR="0" wp14:anchorId="46287115" wp14:editId="18870D25">
            <wp:extent cx="5479473" cy="2708564"/>
            <wp:effectExtent l="0" t="0" r="6985"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43" w:name="_Toc371977558"/>
      <w:bookmarkStart w:id="44" w:name="_Toc372151001"/>
      <w:bookmarkStart w:id="45" w:name="_Toc372152787"/>
    </w:p>
    <w:p w:rsidR="00063BEA" w:rsidRPr="00312067" w:rsidRDefault="00063BEA" w:rsidP="00063BEA">
      <w:pPr>
        <w:spacing w:line="240" w:lineRule="auto"/>
        <w:contextualSpacing/>
        <w:rPr>
          <w:rFonts w:cs="Times New Roman"/>
          <w:szCs w:val="24"/>
          <w:lang w:val="en-US"/>
        </w:rPr>
      </w:pPr>
      <w:r w:rsidRPr="00312067">
        <w:rPr>
          <w:rFonts w:cs="Times New Roman"/>
          <w:b/>
          <w:sz w:val="20"/>
          <w:szCs w:val="20"/>
          <w:lang w:val="en-US"/>
        </w:rPr>
        <w:t xml:space="preserve"> </w:t>
      </w:r>
      <w:bookmarkEnd w:id="43"/>
      <w:bookmarkEnd w:id="44"/>
      <w:bookmarkEnd w:id="45"/>
    </w:p>
    <w:p w:rsidR="00063BEA" w:rsidRDefault="00063BEA" w:rsidP="00063BEA">
      <w:pPr>
        <w:rPr>
          <w:rFonts w:cs="Times New Roman"/>
          <w:b/>
          <w:bCs/>
          <w:szCs w:val="24"/>
        </w:rPr>
      </w:pPr>
    </w:p>
    <w:p w:rsidR="00320CE4" w:rsidRDefault="00320CE4" w:rsidP="00446024">
      <w:pPr>
        <w:spacing w:after="200" w:line="276" w:lineRule="auto"/>
        <w:ind w:firstLine="0"/>
        <w:jc w:val="left"/>
        <w:rPr>
          <w:rFonts w:cs="Times New Roman"/>
          <w:bCs/>
          <w:szCs w:val="24"/>
        </w:rPr>
      </w:pPr>
      <w:r>
        <w:rPr>
          <w:rFonts w:cs="Times New Roman"/>
          <w:bCs/>
          <w:szCs w:val="24"/>
        </w:rPr>
        <w:br w:type="page"/>
      </w:r>
    </w:p>
    <w:p w:rsidR="00320CE4" w:rsidRPr="00075691" w:rsidRDefault="00320CE4" w:rsidP="00320CE4">
      <w:pPr>
        <w:ind w:firstLine="0"/>
        <w:jc w:val="center"/>
        <w:rPr>
          <w:rFonts w:cs="Times New Roman"/>
          <w:b/>
          <w:bCs/>
          <w:szCs w:val="24"/>
        </w:rPr>
      </w:pPr>
      <w:r w:rsidRPr="00075691">
        <w:rPr>
          <w:rFonts w:cs="Times New Roman"/>
          <w:b/>
          <w:bCs/>
          <w:szCs w:val="24"/>
        </w:rPr>
        <w:lastRenderedPageBreak/>
        <w:t xml:space="preserve">Figure 3a: </w:t>
      </w:r>
      <w:r w:rsidR="007E0715">
        <w:rPr>
          <w:rFonts w:cs="Times New Roman"/>
          <w:b/>
          <w:bCs/>
          <w:szCs w:val="24"/>
        </w:rPr>
        <w:t>Number of Gold Transactions over Time</w:t>
      </w:r>
    </w:p>
    <w:p w:rsidR="00320CE4" w:rsidRPr="006E094E" w:rsidRDefault="00320CE4" w:rsidP="006E094E">
      <w:pPr>
        <w:spacing w:line="240" w:lineRule="auto"/>
        <w:ind w:firstLine="0"/>
        <w:jc w:val="left"/>
        <w:rPr>
          <w:rFonts w:cs="Times New Roman"/>
          <w:bCs/>
          <w:sz w:val="20"/>
          <w:szCs w:val="20"/>
        </w:rPr>
      </w:pPr>
      <w:r w:rsidRPr="006E094E">
        <w:rPr>
          <w:rFonts w:cs="Times New Roman"/>
          <w:sz w:val="20"/>
          <w:szCs w:val="20"/>
          <w:lang w:val="en-US"/>
        </w:rPr>
        <w:t>This graph shows the number of trades and the proportion of trading activity allocated to each sequential market for the period 199</w:t>
      </w:r>
      <w:r w:rsidR="00053937">
        <w:rPr>
          <w:rFonts w:cs="Times New Roman"/>
          <w:sz w:val="20"/>
          <w:szCs w:val="20"/>
          <w:lang w:val="en-US"/>
        </w:rPr>
        <w:t>6 to 2012. Data is from the Thomson Reuters Tick History (TRTH)</w:t>
      </w:r>
      <w:r w:rsidRPr="006E094E">
        <w:rPr>
          <w:rFonts w:cs="Times New Roman"/>
          <w:sz w:val="20"/>
          <w:szCs w:val="20"/>
          <w:lang w:val="en-US"/>
        </w:rPr>
        <w:t xml:space="preserve"> database</w:t>
      </w:r>
      <w:r w:rsidR="00053937">
        <w:rPr>
          <w:rFonts w:cs="Times New Roman"/>
          <w:sz w:val="20"/>
          <w:szCs w:val="20"/>
          <w:lang w:val="en-US"/>
        </w:rPr>
        <w:t>.</w:t>
      </w:r>
    </w:p>
    <w:p w:rsidR="00336A56" w:rsidRDefault="00336A56" w:rsidP="00320CE4">
      <w:pPr>
        <w:spacing w:after="200" w:line="276" w:lineRule="auto"/>
        <w:ind w:firstLine="0"/>
        <w:jc w:val="center"/>
        <w:rPr>
          <w:rFonts w:cs="Times New Roman"/>
          <w:bCs/>
          <w:szCs w:val="24"/>
        </w:rPr>
      </w:pPr>
    </w:p>
    <w:p w:rsidR="00320CE4" w:rsidRDefault="00E9071B" w:rsidP="00320CE4">
      <w:pPr>
        <w:spacing w:after="200" w:line="276" w:lineRule="auto"/>
        <w:ind w:firstLine="0"/>
        <w:jc w:val="center"/>
        <w:rPr>
          <w:rFonts w:cs="Times New Roman"/>
          <w:bCs/>
          <w:szCs w:val="24"/>
        </w:rPr>
      </w:pPr>
      <w:r>
        <w:rPr>
          <w:rFonts w:cs="Times New Roman"/>
          <w:bCs/>
          <w:noProof/>
          <w:szCs w:val="24"/>
          <w:lang w:eastAsia="en-AU"/>
        </w:rPr>
        <w:drawing>
          <wp:inline distT="0" distB="0" distL="0" distR="0" wp14:anchorId="1010081B" wp14:editId="5213A81C">
            <wp:extent cx="5264728" cy="2757054"/>
            <wp:effectExtent l="0" t="0" r="0" b="571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73BFB" w:rsidRPr="00E73BFB" w:rsidDel="00E73BFB">
        <w:rPr>
          <w:rFonts w:cs="Times New Roman"/>
          <w:bCs/>
          <w:szCs w:val="24"/>
        </w:rPr>
        <w:t xml:space="preserve"> </w:t>
      </w:r>
    </w:p>
    <w:p w:rsidR="003715C2" w:rsidRDefault="003715C2" w:rsidP="003715C2">
      <w:pPr>
        <w:ind w:firstLine="0"/>
        <w:jc w:val="center"/>
        <w:rPr>
          <w:rFonts w:cs="Times New Roman"/>
          <w:bCs/>
          <w:szCs w:val="24"/>
        </w:rPr>
      </w:pPr>
    </w:p>
    <w:p w:rsidR="006E094E" w:rsidRPr="008A1A5B" w:rsidRDefault="003715C2" w:rsidP="003715C2">
      <w:pPr>
        <w:ind w:firstLine="0"/>
        <w:jc w:val="center"/>
        <w:rPr>
          <w:rFonts w:cs="Times New Roman"/>
          <w:b/>
          <w:bCs/>
          <w:szCs w:val="24"/>
        </w:rPr>
      </w:pPr>
      <w:r w:rsidRPr="008A1A5B">
        <w:rPr>
          <w:rFonts w:cs="Times New Roman"/>
          <w:b/>
          <w:bCs/>
          <w:szCs w:val="24"/>
        </w:rPr>
        <w:t xml:space="preserve">Figure 3b: </w:t>
      </w:r>
      <w:r w:rsidR="007E0715">
        <w:rPr>
          <w:rFonts w:cs="Times New Roman"/>
          <w:b/>
          <w:bCs/>
          <w:szCs w:val="24"/>
        </w:rPr>
        <w:t>Per-hour Number of Transactions</w:t>
      </w:r>
      <w:r w:rsidRPr="008A1A5B">
        <w:rPr>
          <w:rFonts w:cs="Times New Roman"/>
          <w:b/>
          <w:bCs/>
          <w:szCs w:val="24"/>
        </w:rPr>
        <w:t xml:space="preserve"> over a 24-hour Period</w:t>
      </w:r>
    </w:p>
    <w:p w:rsidR="006E094E" w:rsidRPr="006E094E" w:rsidRDefault="006E094E" w:rsidP="006E094E">
      <w:pPr>
        <w:spacing w:line="240" w:lineRule="auto"/>
        <w:ind w:firstLine="0"/>
        <w:jc w:val="left"/>
        <w:rPr>
          <w:rFonts w:cs="Times New Roman"/>
          <w:bCs/>
          <w:sz w:val="20"/>
          <w:szCs w:val="20"/>
        </w:rPr>
      </w:pPr>
      <w:r>
        <w:rPr>
          <w:rFonts w:cs="Times New Roman"/>
          <w:bCs/>
          <w:sz w:val="20"/>
          <w:szCs w:val="20"/>
        </w:rPr>
        <w:t>This graph shows the daily average number of trades per hour across a 24-hour period broken in</w:t>
      </w:r>
      <w:r w:rsidR="00D46868">
        <w:rPr>
          <w:rFonts w:cs="Times New Roman"/>
          <w:bCs/>
          <w:sz w:val="20"/>
          <w:szCs w:val="20"/>
        </w:rPr>
        <w:t>to</w:t>
      </w:r>
      <w:r>
        <w:rPr>
          <w:rFonts w:cs="Times New Roman"/>
          <w:bCs/>
          <w:sz w:val="20"/>
          <w:szCs w:val="20"/>
        </w:rPr>
        <w:t xml:space="preserve"> </w:t>
      </w:r>
      <w:r w:rsidR="009F0BD4">
        <w:rPr>
          <w:rFonts w:cs="Times New Roman"/>
          <w:bCs/>
          <w:sz w:val="20"/>
          <w:szCs w:val="20"/>
        </w:rPr>
        <w:t>sub</w:t>
      </w:r>
      <w:r w:rsidR="006D5667">
        <w:rPr>
          <w:rFonts w:cs="Times New Roman"/>
          <w:bCs/>
          <w:sz w:val="20"/>
          <w:szCs w:val="20"/>
        </w:rPr>
        <w:t xml:space="preserve"> </w:t>
      </w:r>
      <w:r w:rsidR="009F0BD4">
        <w:rPr>
          <w:rFonts w:cs="Times New Roman"/>
          <w:bCs/>
          <w:sz w:val="20"/>
          <w:szCs w:val="20"/>
        </w:rPr>
        <w:t>periods</w:t>
      </w:r>
      <w:r w:rsidR="00746C1C">
        <w:rPr>
          <w:rFonts w:cs="Times New Roman"/>
          <w:bCs/>
          <w:sz w:val="20"/>
          <w:szCs w:val="20"/>
        </w:rPr>
        <w:t xml:space="preserve"> from 1996 to 2012</w:t>
      </w:r>
      <w:r w:rsidR="009F0BD4">
        <w:rPr>
          <w:rFonts w:cs="Times New Roman"/>
          <w:bCs/>
          <w:sz w:val="20"/>
          <w:szCs w:val="20"/>
        </w:rPr>
        <w:t>.</w:t>
      </w:r>
      <w:r w:rsidR="00A42C8F">
        <w:rPr>
          <w:rFonts w:cs="Times New Roman"/>
          <w:bCs/>
          <w:sz w:val="20"/>
          <w:szCs w:val="20"/>
        </w:rPr>
        <w:t xml:space="preserve"> </w:t>
      </w:r>
      <w:r w:rsidR="00A42C8F">
        <w:rPr>
          <w:rFonts w:cs="Times New Roman"/>
          <w:sz w:val="20"/>
          <w:szCs w:val="20"/>
          <w:lang w:val="en-US"/>
        </w:rPr>
        <w:t>Data is from the Thomson Reuters Tick History (TRTH)</w:t>
      </w:r>
      <w:r w:rsidR="00A42C8F" w:rsidRPr="006E094E">
        <w:rPr>
          <w:rFonts w:cs="Times New Roman"/>
          <w:sz w:val="20"/>
          <w:szCs w:val="20"/>
          <w:lang w:val="en-US"/>
        </w:rPr>
        <w:t xml:space="preserve"> database</w:t>
      </w:r>
      <w:r w:rsidR="00A42C8F">
        <w:rPr>
          <w:rFonts w:cs="Times New Roman"/>
          <w:sz w:val="20"/>
          <w:szCs w:val="20"/>
          <w:lang w:val="en-US"/>
        </w:rPr>
        <w:t>.</w:t>
      </w:r>
    </w:p>
    <w:p w:rsidR="00063BEA" w:rsidRDefault="007F29CA" w:rsidP="008A1A5B">
      <w:pPr>
        <w:ind w:firstLine="0"/>
        <w:jc w:val="center"/>
        <w:rPr>
          <w:rFonts w:cs="Times New Roman"/>
          <w:b/>
          <w:bCs/>
          <w:szCs w:val="24"/>
        </w:rPr>
      </w:pPr>
      <w:r w:rsidRPr="00133D23">
        <w:rPr>
          <w:rFonts w:cs="Times New Roman"/>
          <w:b/>
          <w:bCs/>
          <w:noProof/>
          <w:szCs w:val="24"/>
          <w:lang w:eastAsia="en-AU"/>
        </w:rPr>
        <mc:AlternateContent>
          <mc:Choice Requires="wps">
            <w:drawing>
              <wp:anchor distT="0" distB="0" distL="114300" distR="114300" simplePos="0" relativeHeight="251660800" behindDoc="0" locked="0" layoutInCell="1" allowOverlap="1" wp14:anchorId="57250BC5" wp14:editId="434156FD">
                <wp:simplePos x="0" y="0"/>
                <wp:positionH relativeFrom="column">
                  <wp:posOffset>5598160</wp:posOffset>
                </wp:positionH>
                <wp:positionV relativeFrom="paragraph">
                  <wp:posOffset>2045970</wp:posOffset>
                </wp:positionV>
                <wp:extent cx="486410" cy="262255"/>
                <wp:effectExtent l="0" t="0" r="8890" b="444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36F" w:rsidRDefault="0007336F" w:rsidP="000154E8">
                            <w:pPr>
                              <w:ind w:firstLine="0"/>
                              <w:jc w:val="left"/>
                            </w:pPr>
                            <w:r>
                              <w:t>Asia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440.8pt;margin-top:161.1pt;width:38.3pt;height:2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YoGgQIAAA8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" stroked="f">
                <v:textbox>
                  <w:txbxContent>
                    <w:p w:rsidR="0007336F" w:rsidRDefault="0007336F" w:rsidP="000154E8">
                      <w:pPr>
                        <w:ind w:firstLine="0"/>
                        <w:jc w:val="left"/>
                      </w:pPr>
                      <w:r>
                        <w:t>Asia</w:t>
                      </w:r>
                    </w:p>
                  </w:txbxContent>
                </v:textbox>
              </v:shape>
            </w:pict>
          </mc:Fallback>
        </mc:AlternateContent>
      </w:r>
      <w:r>
        <w:rPr>
          <w:rFonts w:cs="Times New Roman"/>
          <w:b/>
          <w:bCs/>
          <w:noProof/>
          <w:szCs w:val="24"/>
          <w:lang w:eastAsia="en-AU"/>
        </w:rPr>
        <mc:AlternateContent>
          <mc:Choice Requires="wps">
            <w:drawing>
              <wp:anchor distT="0" distB="0" distL="114300" distR="114300" simplePos="0" relativeHeight="251656704" behindDoc="0" locked="0" layoutInCell="1" allowOverlap="1" wp14:anchorId="476EC7D3" wp14:editId="7FF4CFED">
                <wp:simplePos x="0" y="0"/>
                <wp:positionH relativeFrom="column">
                  <wp:posOffset>4573270</wp:posOffset>
                </wp:positionH>
                <wp:positionV relativeFrom="paragraph">
                  <wp:posOffset>1936115</wp:posOffset>
                </wp:positionV>
                <wp:extent cx="486410" cy="262255"/>
                <wp:effectExtent l="0" t="0" r="8890" b="444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36F" w:rsidRDefault="0007336F" w:rsidP="00063BEA">
                            <w:pPr>
                              <w:ind w:firstLine="0"/>
                              <w:jc w:val="left"/>
                            </w:pPr>
                            <w:r>
                              <w: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left:0;text-align:left;margin-left:360.1pt;margin-top:152.45pt;width:38.3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" stroked="f">
                <v:textbox>
                  <w:txbxContent>
                    <w:p w:rsidR="0007336F" w:rsidRDefault="0007336F" w:rsidP="00063BEA">
                      <w:pPr>
                        <w:ind w:firstLine="0"/>
                        <w:jc w:val="left"/>
                      </w:pPr>
                      <w:r>
                        <w:t>U.S.</w:t>
                      </w:r>
                    </w:p>
                  </w:txbxContent>
                </v:textbox>
              </v:shape>
            </w:pict>
          </mc:Fallback>
        </mc:AlternateContent>
      </w:r>
      <w:r>
        <w:rPr>
          <w:rFonts w:cs="Times New Roman"/>
          <w:b/>
          <w:bCs/>
          <w:noProof/>
          <w:szCs w:val="24"/>
          <w:lang w:eastAsia="en-AU"/>
        </w:rPr>
        <mc:AlternateContent>
          <mc:Choice Requires="wps">
            <w:drawing>
              <wp:anchor distT="0" distB="0" distL="114300" distR="114300" simplePos="0" relativeHeight="251657728" behindDoc="0" locked="0" layoutInCell="1" allowOverlap="1" wp14:anchorId="6DD9B4FA" wp14:editId="5400BAA7">
                <wp:simplePos x="0" y="0"/>
                <wp:positionH relativeFrom="column">
                  <wp:posOffset>3086735</wp:posOffset>
                </wp:positionH>
                <wp:positionV relativeFrom="paragraph">
                  <wp:posOffset>1936115</wp:posOffset>
                </wp:positionV>
                <wp:extent cx="757555" cy="262255"/>
                <wp:effectExtent l="0" t="0" r="4445" b="444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36F" w:rsidRDefault="0007336F" w:rsidP="00063BEA">
                            <w:pPr>
                              <w:ind w:firstLine="0"/>
                              <w:jc w:val="left"/>
                            </w:pPr>
                            <w:r>
                              <w:t>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243.05pt;margin-top:152.45pt;width:59.65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irhQIAABY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10;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" stroked="f">
                <v:textbox>
                  <w:txbxContent>
                    <w:p w:rsidR="0007336F" w:rsidRDefault="0007336F" w:rsidP="00063BEA">
                      <w:pPr>
                        <w:ind w:firstLine="0"/>
                        <w:jc w:val="left"/>
                      </w:pPr>
                      <w:r>
                        <w:t>Europe</w:t>
                      </w:r>
                    </w:p>
                  </w:txbxContent>
                </v:textbox>
              </v:shape>
            </w:pict>
          </mc:Fallback>
        </mc:AlternateContent>
      </w:r>
      <w:r>
        <w:rPr>
          <w:rFonts w:cs="Times New Roman"/>
          <w:b/>
          <w:bCs/>
          <w:noProof/>
          <w:szCs w:val="24"/>
          <w:lang w:eastAsia="en-AU"/>
        </w:rPr>
        <mc:AlternateContent>
          <mc:Choice Requires="wps">
            <w:drawing>
              <wp:anchor distT="0" distB="0" distL="114300" distR="114300" simplePos="0" relativeHeight="251658752" behindDoc="0" locked="0" layoutInCell="1" allowOverlap="1" wp14:anchorId="3B057ECC" wp14:editId="5CDE21B0">
                <wp:simplePos x="0" y="0"/>
                <wp:positionH relativeFrom="column">
                  <wp:posOffset>1610360</wp:posOffset>
                </wp:positionH>
                <wp:positionV relativeFrom="paragraph">
                  <wp:posOffset>2045970</wp:posOffset>
                </wp:positionV>
                <wp:extent cx="486410" cy="262255"/>
                <wp:effectExtent l="0" t="0" r="8890" b="444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336F" w:rsidRDefault="0007336F" w:rsidP="00063BEA">
                            <w:pPr>
                              <w:ind w:firstLine="0"/>
                              <w:jc w:val="left"/>
                            </w:pPr>
                            <w:r>
                              <w:t>Asia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6.8pt;margin-top:161.1pt;width:38.3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Dnhg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" stroked="f">
                <v:textbox>
                  <w:txbxContent>
                    <w:p w:rsidR="0007336F" w:rsidRDefault="0007336F" w:rsidP="00063BEA">
                      <w:pPr>
                        <w:ind w:firstLine="0"/>
                        <w:jc w:val="left"/>
                      </w:pPr>
                      <w:r>
                        <w:t>Asia</w:t>
                      </w:r>
                    </w:p>
                  </w:txbxContent>
                </v:textbox>
              </v:shape>
            </w:pict>
          </mc:Fallback>
        </mc:AlternateContent>
      </w:r>
      <w:r w:rsidR="00063BEA">
        <w:rPr>
          <w:noProof/>
          <w:lang w:eastAsia="en-AU"/>
        </w:rPr>
        <w:drawing>
          <wp:inline distT="0" distB="0" distL="0" distR="0" wp14:anchorId="50BF4503" wp14:editId="54C76964">
            <wp:extent cx="5664200" cy="3242733"/>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B1E9F" w:rsidRDefault="006B1E9F" w:rsidP="006B1E9F">
      <w:pPr>
        <w:spacing w:line="240" w:lineRule="auto"/>
        <w:contextualSpacing/>
        <w:rPr>
          <w:rFonts w:cs="Times New Roman"/>
          <w:b/>
          <w:sz w:val="20"/>
          <w:szCs w:val="20"/>
        </w:rPr>
      </w:pPr>
    </w:p>
    <w:p w:rsidR="006E094E" w:rsidRDefault="006E094E" w:rsidP="00DF47DA">
      <w:pPr>
        <w:pStyle w:val="Tableblurb"/>
        <w:jc w:val="center"/>
        <w:rPr>
          <w:noProof/>
          <w:sz w:val="24"/>
          <w:lang w:val="en-AU" w:eastAsia="zh-CN"/>
        </w:rPr>
      </w:pPr>
    </w:p>
    <w:p w:rsidR="006E094E" w:rsidRDefault="006E094E" w:rsidP="00DF47DA">
      <w:pPr>
        <w:pStyle w:val="Tableblurb"/>
        <w:jc w:val="center"/>
        <w:rPr>
          <w:noProof/>
          <w:sz w:val="24"/>
          <w:lang w:val="en-AU" w:eastAsia="zh-CN"/>
        </w:rPr>
      </w:pPr>
    </w:p>
    <w:p w:rsidR="00446024" w:rsidRDefault="00446024" w:rsidP="00DF47DA">
      <w:pPr>
        <w:pStyle w:val="Tableblurb"/>
        <w:jc w:val="center"/>
        <w:rPr>
          <w:b/>
          <w:noProof/>
          <w:sz w:val="24"/>
          <w:lang w:val="en-AU" w:eastAsia="zh-CN"/>
        </w:rPr>
      </w:pPr>
    </w:p>
    <w:p w:rsidR="00446024" w:rsidRDefault="00446024" w:rsidP="00DF47DA">
      <w:pPr>
        <w:pStyle w:val="Tableblurb"/>
        <w:jc w:val="center"/>
        <w:rPr>
          <w:b/>
          <w:noProof/>
          <w:sz w:val="24"/>
          <w:lang w:val="en-AU" w:eastAsia="zh-CN"/>
        </w:rPr>
      </w:pPr>
    </w:p>
    <w:p w:rsidR="006B1E9F" w:rsidRPr="008A1A5B" w:rsidRDefault="00D4458A" w:rsidP="00DF47DA">
      <w:pPr>
        <w:pStyle w:val="Tableblurb"/>
        <w:jc w:val="center"/>
        <w:rPr>
          <w:b/>
          <w:noProof/>
          <w:sz w:val="24"/>
          <w:lang w:val="en-AU" w:eastAsia="zh-CN"/>
        </w:rPr>
      </w:pPr>
      <w:r w:rsidRPr="008A1A5B">
        <w:rPr>
          <w:b/>
          <w:noProof/>
          <w:sz w:val="24"/>
          <w:lang w:val="en-AU" w:eastAsia="zh-CN"/>
        </w:rPr>
        <w:lastRenderedPageBreak/>
        <w:t>Figure 4: Information Distribution</w:t>
      </w:r>
    </w:p>
    <w:p w:rsidR="00D4458A" w:rsidRDefault="00D4458A" w:rsidP="006B1E9F">
      <w:pPr>
        <w:pStyle w:val="Tableblurb"/>
        <w:rPr>
          <w:b/>
          <w:noProof/>
          <w:lang w:val="en-AU" w:eastAsia="zh-CN"/>
        </w:rPr>
      </w:pPr>
    </w:p>
    <w:p w:rsidR="00D4458A" w:rsidRPr="006E094E" w:rsidRDefault="00D4458A" w:rsidP="006B1E9F">
      <w:pPr>
        <w:pStyle w:val="Tableblurb"/>
      </w:pPr>
      <w:r w:rsidRPr="006E094E">
        <w:t>This graph shows the average daily information shares</w:t>
      </w:r>
      <w:r w:rsidR="00D75F5E">
        <w:t xml:space="preserve"> per year</w:t>
      </w:r>
      <w:r w:rsidR="00C3243F">
        <w:t xml:space="preserve"> from 1996 to 2012</w:t>
      </w:r>
      <w:r w:rsidRPr="006E094E">
        <w:t xml:space="preserve"> of Asia, Europe</w:t>
      </w:r>
      <w:r w:rsidR="00A45E24">
        <w:t>, London</w:t>
      </w:r>
      <w:r w:rsidR="00E9071B">
        <w:t>/</w:t>
      </w:r>
      <w:r w:rsidR="00A45E24">
        <w:t xml:space="preserve"> New York</w:t>
      </w:r>
      <w:r w:rsidRPr="006E094E">
        <w:t xml:space="preserve"> and U</w:t>
      </w:r>
      <w:r w:rsidR="00C21C51">
        <w:t>.</w:t>
      </w:r>
      <w:r w:rsidRPr="006E094E">
        <w:t>S</w:t>
      </w:r>
      <w:r w:rsidR="00C21C51">
        <w:t>.</w:t>
      </w:r>
      <w:r w:rsidR="00B75A92">
        <w:t xml:space="preserve"> in the gold over-the-counter market</w:t>
      </w:r>
      <w:r w:rsidRPr="006E094E">
        <w:t>,</w:t>
      </w:r>
      <w:r w:rsidR="00BE63FB">
        <w:t xml:space="preserve"> based on each market’s daily two-scale </w:t>
      </w:r>
      <w:r w:rsidR="000A349F">
        <w:t>r</w:t>
      </w:r>
      <w:r w:rsidR="00BE63FB">
        <w:t xml:space="preserve">ealized </w:t>
      </w:r>
      <w:r w:rsidR="000A349F">
        <w:t>v</w:t>
      </w:r>
      <w:r w:rsidR="00BE63FB">
        <w:t>ariance</w:t>
      </w:r>
      <w:r w:rsidRPr="006E094E">
        <w:t xml:space="preserve">. </w:t>
      </w:r>
      <w:r w:rsidR="000A349F">
        <w:t>Data is from the Thomson Reuters Tick History (TRTH)</w:t>
      </w:r>
      <w:r w:rsidR="000A349F" w:rsidRPr="006E094E">
        <w:t xml:space="preserve"> database</w:t>
      </w:r>
      <w:r w:rsidR="000A349F">
        <w:t>.</w:t>
      </w:r>
      <w:r w:rsidRPr="006E094E">
        <w:t xml:space="preserve"> </w:t>
      </w:r>
    </w:p>
    <w:p w:rsidR="00D4458A" w:rsidRDefault="00D4458A" w:rsidP="006B1E9F">
      <w:pPr>
        <w:pStyle w:val="Tableblurb"/>
        <w:rPr>
          <w:b/>
          <w:noProof/>
          <w:lang w:val="en-AU" w:eastAsia="zh-CN"/>
        </w:rPr>
      </w:pPr>
    </w:p>
    <w:p w:rsidR="008B189F" w:rsidRDefault="00666D89" w:rsidP="00155B78">
      <w:pPr>
        <w:pStyle w:val="Tableblurb"/>
        <w:jc w:val="center"/>
        <w:rPr>
          <w:b/>
        </w:rPr>
      </w:pPr>
      <w:r w:rsidRPr="00666D89" w:rsidDel="009C623F">
        <w:rPr>
          <w:b/>
        </w:rPr>
        <w:t xml:space="preserve"> </w:t>
      </w:r>
    </w:p>
    <w:p w:rsidR="006B1E9F" w:rsidRDefault="00E9071B" w:rsidP="00D4458A">
      <w:pPr>
        <w:spacing w:line="240" w:lineRule="auto"/>
        <w:contextualSpacing/>
        <w:jc w:val="center"/>
        <w:rPr>
          <w:rFonts w:cs="Times New Roman"/>
          <w:noProof/>
          <w:szCs w:val="24"/>
          <w:lang w:eastAsia="en-AU"/>
        </w:rPr>
      </w:pPr>
      <w:r>
        <w:rPr>
          <w:noProof/>
          <w:lang w:eastAsia="en-AU"/>
        </w:rPr>
        <w:drawing>
          <wp:inline distT="0" distB="0" distL="0" distR="0" wp14:anchorId="0123115A" wp14:editId="395D4C03">
            <wp:extent cx="5562600" cy="31496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458A" w:rsidRDefault="00D4458A" w:rsidP="00D4458A">
      <w:pPr>
        <w:spacing w:line="240" w:lineRule="auto"/>
        <w:contextualSpacing/>
        <w:jc w:val="center"/>
        <w:rPr>
          <w:rFonts w:cs="Times New Roman"/>
          <w:noProof/>
          <w:szCs w:val="24"/>
          <w:lang w:eastAsia="en-AU"/>
        </w:rPr>
      </w:pPr>
    </w:p>
    <w:p w:rsidR="00794F1D" w:rsidRDefault="00794F1D" w:rsidP="00DF47DA">
      <w:pPr>
        <w:spacing w:line="240" w:lineRule="auto"/>
        <w:ind w:firstLine="0"/>
        <w:contextualSpacing/>
        <w:jc w:val="center"/>
        <w:rPr>
          <w:rFonts w:cs="Times New Roman"/>
          <w:b/>
          <w:noProof/>
          <w:szCs w:val="24"/>
          <w:lang w:eastAsia="en-AU"/>
        </w:rPr>
      </w:pPr>
    </w:p>
    <w:p w:rsidR="00794F1D" w:rsidRDefault="00794F1D" w:rsidP="00DF47DA">
      <w:pPr>
        <w:spacing w:line="240" w:lineRule="auto"/>
        <w:ind w:firstLine="0"/>
        <w:contextualSpacing/>
        <w:jc w:val="center"/>
        <w:rPr>
          <w:rFonts w:cs="Times New Roman"/>
          <w:b/>
          <w:noProof/>
          <w:szCs w:val="24"/>
          <w:lang w:eastAsia="en-AU"/>
        </w:rPr>
      </w:pPr>
    </w:p>
    <w:p w:rsidR="00722129" w:rsidRPr="0054209B" w:rsidRDefault="0054209B" w:rsidP="0054209B">
      <w:pPr>
        <w:spacing w:line="240" w:lineRule="auto"/>
        <w:contextualSpacing/>
        <w:jc w:val="center"/>
        <w:rPr>
          <w:rFonts w:cs="Times New Roman"/>
          <w:b/>
          <w:szCs w:val="20"/>
        </w:rPr>
      </w:pPr>
      <w:bookmarkStart w:id="46" w:name="_Toc371977563"/>
      <w:r w:rsidRPr="0054209B">
        <w:rPr>
          <w:rFonts w:cs="Times New Roman"/>
          <w:b/>
          <w:szCs w:val="20"/>
        </w:rPr>
        <w:t xml:space="preserve">Figure 5: TSRV </w:t>
      </w:r>
      <w:r>
        <w:rPr>
          <w:rFonts w:cs="Times New Roman"/>
          <w:b/>
          <w:szCs w:val="20"/>
        </w:rPr>
        <w:t xml:space="preserve">and HAR Residual </w:t>
      </w:r>
      <w:r w:rsidRPr="0054209B">
        <w:rPr>
          <w:rFonts w:cs="Times New Roman"/>
          <w:b/>
          <w:szCs w:val="20"/>
        </w:rPr>
        <w:t>Autocorrelations</w:t>
      </w:r>
    </w:p>
    <w:p w:rsidR="0054209B" w:rsidRDefault="0054209B" w:rsidP="00722129">
      <w:pPr>
        <w:spacing w:line="240" w:lineRule="auto"/>
        <w:contextualSpacing/>
        <w:rPr>
          <w:rFonts w:cs="Times New Roman"/>
          <w:b/>
          <w:sz w:val="20"/>
          <w:szCs w:val="20"/>
        </w:rPr>
      </w:pPr>
    </w:p>
    <w:p w:rsidR="0054209B" w:rsidRDefault="0054209B" w:rsidP="0054209B">
      <w:pPr>
        <w:spacing w:line="240" w:lineRule="auto"/>
        <w:contextualSpacing/>
        <w:jc w:val="center"/>
        <w:rPr>
          <w:rFonts w:cs="Times New Roman"/>
          <w:b/>
          <w:sz w:val="20"/>
          <w:szCs w:val="20"/>
        </w:rPr>
      </w:pPr>
      <w:r>
        <w:rPr>
          <w:noProof/>
          <w:lang w:eastAsia="en-AU"/>
        </w:rPr>
        <w:drawing>
          <wp:inline distT="0" distB="0" distL="0" distR="0" wp14:anchorId="4B39F046" wp14:editId="08C382ED">
            <wp:extent cx="5001491" cy="3027218"/>
            <wp:effectExtent l="0" t="0" r="889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4A9D" w:rsidRDefault="007D4A9D" w:rsidP="00480FA8">
      <w:pPr>
        <w:pStyle w:val="Caption"/>
        <w:contextualSpacing/>
        <w:rPr>
          <w:rFonts w:cs="Times New Roman"/>
          <w:szCs w:val="24"/>
        </w:rPr>
      </w:pPr>
      <w:bookmarkStart w:id="47" w:name="_Toc371977566"/>
      <w:bookmarkStart w:id="48" w:name="_Toc372151009"/>
      <w:bookmarkStart w:id="49" w:name="_Toc372152795"/>
      <w:bookmarkStart w:id="50" w:name="_Toc371938769"/>
      <w:bookmarkEnd w:id="46"/>
    </w:p>
    <w:p w:rsidR="007D4A9D" w:rsidRDefault="007D4A9D" w:rsidP="00480FA8">
      <w:pPr>
        <w:pStyle w:val="Caption"/>
        <w:contextualSpacing/>
        <w:rPr>
          <w:rFonts w:cs="Times New Roman"/>
          <w:szCs w:val="24"/>
        </w:rPr>
      </w:pPr>
    </w:p>
    <w:p w:rsidR="0054209B" w:rsidRDefault="0054209B">
      <w:pPr>
        <w:spacing w:after="200" w:line="276" w:lineRule="auto"/>
        <w:ind w:firstLine="0"/>
        <w:jc w:val="left"/>
        <w:rPr>
          <w:rFonts w:cs="Times New Roman"/>
          <w:b/>
          <w:bCs/>
          <w:szCs w:val="24"/>
        </w:rPr>
      </w:pPr>
      <w:r>
        <w:rPr>
          <w:rFonts w:cs="Times New Roman"/>
          <w:szCs w:val="24"/>
        </w:rPr>
        <w:br w:type="page"/>
      </w:r>
    </w:p>
    <w:p w:rsidR="00480FA8" w:rsidRDefault="00480FA8" w:rsidP="00480FA8">
      <w:pPr>
        <w:pStyle w:val="Caption"/>
        <w:contextualSpacing/>
        <w:rPr>
          <w:rFonts w:cs="Times New Roman"/>
          <w:szCs w:val="24"/>
        </w:rPr>
      </w:pPr>
      <w:r w:rsidRPr="000D4040">
        <w:rPr>
          <w:rFonts w:cs="Times New Roman"/>
          <w:szCs w:val="24"/>
        </w:rPr>
        <w:lastRenderedPageBreak/>
        <w:t xml:space="preserve">Table </w:t>
      </w:r>
      <w:r w:rsidR="00DE0407">
        <w:rPr>
          <w:noProof/>
        </w:rPr>
        <w:t>I</w:t>
      </w:r>
      <w:bookmarkEnd w:id="47"/>
      <w:bookmarkEnd w:id="48"/>
      <w:bookmarkEnd w:id="49"/>
    </w:p>
    <w:p w:rsidR="00480FA8" w:rsidRPr="000D4040" w:rsidRDefault="00480FA8" w:rsidP="00D01066">
      <w:pPr>
        <w:pStyle w:val="Caption"/>
        <w:spacing w:after="240"/>
        <w:rPr>
          <w:rFonts w:eastAsia="Times New Roman" w:cs="Times New Roman"/>
          <w:szCs w:val="24"/>
          <w:lang w:val="en-US"/>
        </w:rPr>
      </w:pPr>
      <w:r w:rsidRPr="000D4040">
        <w:rPr>
          <w:rFonts w:eastAsia="Times New Roman" w:cs="Times New Roman"/>
          <w:szCs w:val="24"/>
          <w:lang w:val="en-US"/>
        </w:rPr>
        <w:t>Regional Time Zones including Daylight Saving</w:t>
      </w:r>
      <w:bookmarkEnd w:id="50"/>
    </w:p>
    <w:p w:rsidR="00480FA8" w:rsidRDefault="00480FA8" w:rsidP="00E05D0F">
      <w:pPr>
        <w:suppressAutoHyphens/>
        <w:spacing w:line="240" w:lineRule="auto"/>
        <w:ind w:firstLine="0"/>
        <w:contextualSpacing/>
        <w:rPr>
          <w:rFonts w:eastAsia="Times New Roman" w:cs="Times New Roman"/>
          <w:sz w:val="20"/>
          <w:szCs w:val="20"/>
          <w:lang w:val="en-US"/>
        </w:rPr>
      </w:pPr>
      <w:r w:rsidRPr="00FB367E">
        <w:rPr>
          <w:rFonts w:eastAsia="Times New Roman" w:cs="Times New Roman"/>
          <w:sz w:val="20"/>
          <w:szCs w:val="20"/>
          <w:lang w:val="en-US"/>
        </w:rPr>
        <w:t xml:space="preserve">This table divides a 24-hour trading day into the </w:t>
      </w:r>
      <w:r w:rsidR="005E2B02">
        <w:rPr>
          <w:rFonts w:eastAsia="Times New Roman" w:cs="Times New Roman"/>
          <w:sz w:val="20"/>
          <w:szCs w:val="20"/>
          <w:lang w:val="en-US"/>
        </w:rPr>
        <w:t>four</w:t>
      </w:r>
      <w:r w:rsidR="00973615">
        <w:rPr>
          <w:rFonts w:eastAsia="Times New Roman" w:cs="Times New Roman"/>
          <w:sz w:val="20"/>
          <w:szCs w:val="20"/>
          <w:lang w:val="en-US"/>
        </w:rPr>
        <w:t xml:space="preserve"> markets: “Asia”, “Europe”, "</w:t>
      </w:r>
      <w:r w:rsidR="002C08E3">
        <w:rPr>
          <w:rFonts w:eastAsia="Times New Roman" w:cs="Times New Roman"/>
          <w:sz w:val="20"/>
          <w:szCs w:val="20"/>
          <w:lang w:val="en-US"/>
        </w:rPr>
        <w:t>London/N</w:t>
      </w:r>
      <w:r w:rsidR="007977A0">
        <w:rPr>
          <w:rFonts w:eastAsia="Times New Roman" w:cs="Times New Roman"/>
          <w:sz w:val="20"/>
          <w:szCs w:val="20"/>
          <w:lang w:val="en-US"/>
        </w:rPr>
        <w:t>ew York</w:t>
      </w:r>
      <w:r w:rsidR="00973615">
        <w:rPr>
          <w:rFonts w:eastAsia="Times New Roman" w:cs="Times New Roman"/>
          <w:sz w:val="20"/>
          <w:szCs w:val="20"/>
          <w:lang w:val="en-US"/>
        </w:rPr>
        <w:t xml:space="preserve">" </w:t>
      </w:r>
      <w:r w:rsidRPr="00FB367E">
        <w:rPr>
          <w:rFonts w:eastAsia="Times New Roman" w:cs="Times New Roman"/>
          <w:sz w:val="20"/>
          <w:szCs w:val="20"/>
          <w:lang w:val="en-US"/>
        </w:rPr>
        <w:t xml:space="preserve">and “U.S.” adjusted for </w:t>
      </w:r>
      <w:r w:rsidR="00343E83">
        <w:rPr>
          <w:rFonts w:eastAsia="Times New Roman" w:cs="Times New Roman"/>
          <w:sz w:val="20"/>
          <w:szCs w:val="20"/>
          <w:lang w:val="en-US"/>
        </w:rPr>
        <w:t>Europe</w:t>
      </w:r>
      <w:r w:rsidR="00D91561">
        <w:rPr>
          <w:rFonts w:eastAsia="Times New Roman" w:cs="Times New Roman"/>
          <w:sz w:val="20"/>
          <w:szCs w:val="20"/>
          <w:lang w:val="en-US"/>
        </w:rPr>
        <w:t>an</w:t>
      </w:r>
      <w:r w:rsidR="00343E83">
        <w:rPr>
          <w:rFonts w:eastAsia="Times New Roman" w:cs="Times New Roman"/>
          <w:sz w:val="20"/>
          <w:szCs w:val="20"/>
          <w:lang w:val="en-US"/>
        </w:rPr>
        <w:t xml:space="preserve"> </w:t>
      </w:r>
      <w:r w:rsidRPr="00FB367E">
        <w:rPr>
          <w:rFonts w:eastAsia="Times New Roman" w:cs="Times New Roman"/>
          <w:sz w:val="20"/>
          <w:szCs w:val="20"/>
          <w:lang w:val="en-US"/>
        </w:rPr>
        <w:t>Daylight Savings Time (DST).</w:t>
      </w:r>
      <w:r w:rsidR="005E2B02">
        <w:rPr>
          <w:rFonts w:eastAsia="Times New Roman" w:cs="Times New Roman"/>
          <w:sz w:val="20"/>
          <w:szCs w:val="20"/>
          <w:lang w:val="en-US"/>
        </w:rPr>
        <w:t xml:space="preserve">  The indicated market hours are inclusive, e.g. Europe starts at 7:00:00 GMT and ends at 13:59:59 GMT</w:t>
      </w:r>
      <w:r w:rsidR="00D97A9C">
        <w:rPr>
          <w:rFonts w:eastAsia="Times New Roman" w:cs="Times New Roman"/>
          <w:sz w:val="20"/>
          <w:szCs w:val="20"/>
          <w:lang w:val="en-US"/>
        </w:rPr>
        <w:t xml:space="preserve"> during non-DST period</w:t>
      </w:r>
      <w:r w:rsidR="00335029">
        <w:rPr>
          <w:rFonts w:eastAsia="Times New Roman" w:cs="Times New Roman"/>
          <w:sz w:val="20"/>
          <w:szCs w:val="20"/>
          <w:lang w:val="en-US"/>
        </w:rPr>
        <w:t>s</w:t>
      </w:r>
      <w:r w:rsidR="005E2B02">
        <w:rPr>
          <w:rFonts w:eastAsia="Times New Roman" w:cs="Times New Roman"/>
          <w:sz w:val="20"/>
          <w:szCs w:val="20"/>
          <w:lang w:val="en-US"/>
        </w:rPr>
        <w:t>.  During European DST, London local time is one hour ahead of GMT</w:t>
      </w:r>
      <w:r w:rsidR="00073583">
        <w:rPr>
          <w:rFonts w:eastAsia="Times New Roman" w:cs="Times New Roman"/>
          <w:sz w:val="20"/>
          <w:szCs w:val="20"/>
          <w:lang w:val="en-US"/>
        </w:rPr>
        <w:t>, i.e. GMT+1</w:t>
      </w:r>
      <w:r w:rsidR="005E2B02">
        <w:rPr>
          <w:rFonts w:eastAsia="Times New Roman" w:cs="Times New Roman"/>
          <w:sz w:val="20"/>
          <w:szCs w:val="20"/>
          <w:lang w:val="en-US"/>
        </w:rPr>
        <w:t xml:space="preserve">.  </w:t>
      </w:r>
    </w:p>
    <w:p w:rsidR="00D01066" w:rsidRPr="00FB367E" w:rsidRDefault="00D01066" w:rsidP="00D01066">
      <w:pPr>
        <w:suppressAutoHyphens/>
        <w:spacing w:line="240" w:lineRule="auto"/>
        <w:contextualSpacing/>
        <w:rPr>
          <w:rFonts w:eastAsia="Times New Roman" w:cs="Times New Roman"/>
          <w:sz w:val="20"/>
          <w:szCs w:val="20"/>
          <w:lang w:val="en-US"/>
        </w:rPr>
      </w:pPr>
    </w:p>
    <w:tbl>
      <w:tblPr>
        <w:tblW w:w="4831" w:type="pct"/>
        <w:jc w:val="center"/>
        <w:tblLook w:val="04A0" w:firstRow="1" w:lastRow="0" w:firstColumn="1" w:lastColumn="0" w:noHBand="0" w:noVBand="1"/>
      </w:tblPr>
      <w:tblGrid>
        <w:gridCol w:w="2079"/>
        <w:gridCol w:w="1781"/>
        <w:gridCol w:w="1779"/>
        <w:gridCol w:w="1942"/>
        <w:gridCol w:w="1941"/>
      </w:tblGrid>
      <w:tr w:rsidR="00973615" w:rsidRPr="0099458E" w:rsidTr="00155B78">
        <w:trPr>
          <w:trHeight w:val="294"/>
          <w:jc w:val="center"/>
        </w:trPr>
        <w:tc>
          <w:tcPr>
            <w:tcW w:w="1092" w:type="pct"/>
            <w:tcBorders>
              <w:top w:val="single" w:sz="4" w:space="0" w:color="auto"/>
              <w:left w:val="nil"/>
              <w:bottom w:val="single" w:sz="4" w:space="0" w:color="auto"/>
              <w:right w:val="nil"/>
            </w:tcBorders>
            <w:shd w:val="clear" w:color="000000" w:fill="FFFFFF"/>
            <w:noWrap/>
            <w:vAlign w:val="center"/>
            <w:hideMark/>
          </w:tcPr>
          <w:p w:rsidR="00973615" w:rsidRPr="0099458E" w:rsidRDefault="00973615" w:rsidP="009536CD">
            <w:pPr>
              <w:pStyle w:val="Tabletextcentredbold"/>
            </w:pPr>
            <w:r w:rsidRPr="0099458E">
              <w:t xml:space="preserve">Period </w:t>
            </w:r>
          </w:p>
        </w:tc>
        <w:tc>
          <w:tcPr>
            <w:tcW w:w="935" w:type="pct"/>
            <w:tcBorders>
              <w:top w:val="single" w:sz="4" w:space="0" w:color="auto"/>
              <w:left w:val="nil"/>
              <w:bottom w:val="single" w:sz="4" w:space="0" w:color="auto"/>
              <w:right w:val="nil"/>
            </w:tcBorders>
            <w:shd w:val="clear" w:color="000000" w:fill="FFFFFF"/>
            <w:noWrap/>
            <w:vAlign w:val="center"/>
            <w:hideMark/>
          </w:tcPr>
          <w:p w:rsidR="00973615" w:rsidRPr="0099458E" w:rsidRDefault="00973615" w:rsidP="009536CD">
            <w:pPr>
              <w:pStyle w:val="Tabletextcentredbold"/>
            </w:pPr>
            <w:r w:rsidRPr="0099458E">
              <w:t>Asia</w:t>
            </w:r>
          </w:p>
        </w:tc>
        <w:tc>
          <w:tcPr>
            <w:tcW w:w="934" w:type="pct"/>
            <w:tcBorders>
              <w:top w:val="single" w:sz="4" w:space="0" w:color="auto"/>
              <w:left w:val="nil"/>
              <w:bottom w:val="single" w:sz="4" w:space="0" w:color="auto"/>
              <w:right w:val="nil"/>
            </w:tcBorders>
            <w:shd w:val="clear" w:color="000000" w:fill="FFFFFF"/>
            <w:noWrap/>
            <w:vAlign w:val="center"/>
            <w:hideMark/>
          </w:tcPr>
          <w:p w:rsidR="00973615" w:rsidRPr="0099458E" w:rsidRDefault="00973615" w:rsidP="009536CD">
            <w:pPr>
              <w:pStyle w:val="Tabletextcentredbold"/>
            </w:pPr>
            <w:r w:rsidRPr="0099458E">
              <w:t>Europe</w:t>
            </w:r>
          </w:p>
        </w:tc>
        <w:tc>
          <w:tcPr>
            <w:tcW w:w="1020" w:type="pct"/>
            <w:tcBorders>
              <w:top w:val="single" w:sz="4" w:space="0" w:color="auto"/>
              <w:left w:val="nil"/>
              <w:bottom w:val="single" w:sz="4" w:space="0" w:color="auto"/>
              <w:right w:val="nil"/>
            </w:tcBorders>
            <w:shd w:val="clear" w:color="000000" w:fill="FFFFFF"/>
            <w:vAlign w:val="center"/>
          </w:tcPr>
          <w:p w:rsidR="008B189F" w:rsidRDefault="002C08E3" w:rsidP="00155B78">
            <w:pPr>
              <w:pStyle w:val="Tabletextcentredbold"/>
            </w:pPr>
            <w:r>
              <w:t>London/N</w:t>
            </w:r>
            <w:r w:rsidR="007977A0">
              <w:t>ew York</w:t>
            </w:r>
          </w:p>
        </w:tc>
        <w:tc>
          <w:tcPr>
            <w:tcW w:w="1020" w:type="pct"/>
            <w:tcBorders>
              <w:top w:val="single" w:sz="4" w:space="0" w:color="auto"/>
              <w:left w:val="nil"/>
              <w:bottom w:val="single" w:sz="4" w:space="0" w:color="auto"/>
              <w:right w:val="nil"/>
            </w:tcBorders>
            <w:shd w:val="clear" w:color="000000" w:fill="FFFFFF"/>
            <w:noWrap/>
            <w:vAlign w:val="center"/>
            <w:hideMark/>
          </w:tcPr>
          <w:p w:rsidR="00973615" w:rsidRPr="0099458E" w:rsidRDefault="00973615" w:rsidP="009536CD">
            <w:pPr>
              <w:pStyle w:val="Tabletextcentredbold"/>
            </w:pPr>
            <w:r w:rsidRPr="0099458E">
              <w:t>U.S.</w:t>
            </w:r>
          </w:p>
        </w:tc>
      </w:tr>
      <w:tr w:rsidR="00973615" w:rsidRPr="0099458E" w:rsidTr="00155B78">
        <w:trPr>
          <w:trHeight w:hRule="exact" w:val="284"/>
          <w:jc w:val="center"/>
        </w:trPr>
        <w:tc>
          <w:tcPr>
            <w:tcW w:w="1092" w:type="pct"/>
            <w:tcBorders>
              <w:top w:val="nil"/>
              <w:left w:val="nil"/>
              <w:right w:val="nil"/>
            </w:tcBorders>
            <w:shd w:val="clear" w:color="000000" w:fill="FFFFFF"/>
            <w:noWrap/>
            <w:vAlign w:val="center"/>
            <w:hideMark/>
          </w:tcPr>
          <w:p w:rsidR="00973615" w:rsidRPr="004135FE" w:rsidRDefault="00973615" w:rsidP="00B24EAE">
            <w:pPr>
              <w:pStyle w:val="Tabletextleftbold"/>
              <w:rPr>
                <w:b w:val="0"/>
              </w:rPr>
            </w:pPr>
            <w:r w:rsidRPr="004135FE">
              <w:rPr>
                <w:b w:val="0"/>
              </w:rPr>
              <w:t xml:space="preserve">No </w:t>
            </w:r>
            <w:r w:rsidR="00343E83">
              <w:rPr>
                <w:b w:val="0"/>
              </w:rPr>
              <w:t xml:space="preserve">Europe </w:t>
            </w:r>
            <w:r w:rsidRPr="004135FE">
              <w:rPr>
                <w:b w:val="0"/>
              </w:rPr>
              <w:t>DST</w:t>
            </w:r>
          </w:p>
        </w:tc>
        <w:tc>
          <w:tcPr>
            <w:tcW w:w="935" w:type="pct"/>
            <w:tcBorders>
              <w:top w:val="nil"/>
              <w:left w:val="nil"/>
              <w:right w:val="nil"/>
            </w:tcBorders>
            <w:shd w:val="clear" w:color="000000" w:fill="FFFFFF"/>
            <w:noWrap/>
            <w:vAlign w:val="center"/>
            <w:hideMark/>
          </w:tcPr>
          <w:p w:rsidR="00973615" w:rsidRPr="0099458E" w:rsidRDefault="00973615" w:rsidP="007E68D8">
            <w:pPr>
              <w:pStyle w:val="Tabletextcentred"/>
            </w:pPr>
            <w:r w:rsidRPr="0099458E">
              <w:t xml:space="preserve">23:00 to </w:t>
            </w:r>
            <w:r w:rsidR="005E2B02">
              <w:t>6</w:t>
            </w:r>
            <w:r w:rsidRPr="0099458E">
              <w:t>:00</w:t>
            </w:r>
          </w:p>
        </w:tc>
        <w:tc>
          <w:tcPr>
            <w:tcW w:w="934" w:type="pct"/>
            <w:tcBorders>
              <w:top w:val="nil"/>
              <w:left w:val="nil"/>
              <w:right w:val="nil"/>
            </w:tcBorders>
            <w:shd w:val="clear" w:color="000000" w:fill="FFFFFF"/>
            <w:noWrap/>
            <w:vAlign w:val="center"/>
            <w:hideMark/>
          </w:tcPr>
          <w:p w:rsidR="00973615" w:rsidRPr="0099458E" w:rsidRDefault="005E2B02" w:rsidP="006C6C5B">
            <w:pPr>
              <w:pStyle w:val="Tabletextcentred"/>
            </w:pPr>
            <w:r>
              <w:t>7</w:t>
            </w:r>
            <w:r w:rsidR="00973615" w:rsidRPr="0099458E">
              <w:t>:00 to 1</w:t>
            </w:r>
            <w:r>
              <w:t>3</w:t>
            </w:r>
            <w:r w:rsidR="00973615" w:rsidRPr="0099458E">
              <w:t>:00</w:t>
            </w:r>
          </w:p>
        </w:tc>
        <w:tc>
          <w:tcPr>
            <w:tcW w:w="1020" w:type="pct"/>
            <w:tcBorders>
              <w:top w:val="nil"/>
              <w:left w:val="nil"/>
              <w:right w:val="nil"/>
            </w:tcBorders>
            <w:shd w:val="clear" w:color="000000" w:fill="FFFFFF"/>
            <w:vAlign w:val="center"/>
          </w:tcPr>
          <w:p w:rsidR="00973615" w:rsidRPr="0099458E" w:rsidRDefault="00D03252">
            <w:pPr>
              <w:pStyle w:val="Tabletextcentred"/>
            </w:pPr>
            <w:r>
              <w:t>1</w:t>
            </w:r>
            <w:r w:rsidR="005E2B02">
              <w:t>4</w:t>
            </w:r>
            <w:r>
              <w:t>:00 to 1</w:t>
            </w:r>
            <w:r w:rsidR="005E2B02">
              <w:t>5</w:t>
            </w:r>
            <w:r>
              <w:t>:00</w:t>
            </w:r>
          </w:p>
        </w:tc>
        <w:tc>
          <w:tcPr>
            <w:tcW w:w="1020" w:type="pct"/>
            <w:tcBorders>
              <w:top w:val="nil"/>
              <w:left w:val="nil"/>
              <w:right w:val="nil"/>
            </w:tcBorders>
            <w:shd w:val="clear" w:color="000000" w:fill="FFFFFF"/>
            <w:noWrap/>
            <w:vAlign w:val="center"/>
            <w:hideMark/>
          </w:tcPr>
          <w:p w:rsidR="00973615" w:rsidRPr="0099458E" w:rsidRDefault="00973615">
            <w:pPr>
              <w:pStyle w:val="Tabletextcentred"/>
            </w:pPr>
            <w:r w:rsidRPr="0099458E">
              <w:t>1</w:t>
            </w:r>
            <w:r w:rsidR="005E2B02">
              <w:t>6</w:t>
            </w:r>
            <w:r w:rsidRPr="0099458E">
              <w:t>:00 to 2</w:t>
            </w:r>
            <w:r w:rsidR="005E2B02">
              <w:t>2</w:t>
            </w:r>
            <w:r w:rsidRPr="0099458E">
              <w:t>:00</w:t>
            </w:r>
          </w:p>
        </w:tc>
      </w:tr>
      <w:tr w:rsidR="00973615" w:rsidRPr="0099458E" w:rsidTr="00155B78">
        <w:trPr>
          <w:trHeight w:hRule="exact" w:val="284"/>
          <w:jc w:val="center"/>
        </w:trPr>
        <w:tc>
          <w:tcPr>
            <w:tcW w:w="1092" w:type="pct"/>
            <w:tcBorders>
              <w:top w:val="nil"/>
              <w:left w:val="nil"/>
              <w:bottom w:val="single" w:sz="4" w:space="0" w:color="auto"/>
              <w:right w:val="nil"/>
            </w:tcBorders>
            <w:shd w:val="clear" w:color="000000" w:fill="FFFFFF"/>
            <w:noWrap/>
            <w:vAlign w:val="center"/>
            <w:hideMark/>
          </w:tcPr>
          <w:p w:rsidR="00973615" w:rsidRPr="004135FE" w:rsidRDefault="00343E83" w:rsidP="00B24EAE">
            <w:pPr>
              <w:pStyle w:val="Tabletextleftbold"/>
              <w:rPr>
                <w:b w:val="0"/>
              </w:rPr>
            </w:pPr>
            <w:r>
              <w:rPr>
                <w:b w:val="0"/>
              </w:rPr>
              <w:t xml:space="preserve">Europe </w:t>
            </w:r>
            <w:r w:rsidR="00973615" w:rsidRPr="004135FE">
              <w:rPr>
                <w:b w:val="0"/>
              </w:rPr>
              <w:t>DST</w:t>
            </w:r>
          </w:p>
        </w:tc>
        <w:tc>
          <w:tcPr>
            <w:tcW w:w="935" w:type="pct"/>
            <w:tcBorders>
              <w:top w:val="nil"/>
              <w:left w:val="nil"/>
              <w:bottom w:val="single" w:sz="4" w:space="0" w:color="auto"/>
              <w:right w:val="nil"/>
            </w:tcBorders>
            <w:shd w:val="clear" w:color="000000" w:fill="FFFFFF"/>
            <w:noWrap/>
            <w:vAlign w:val="center"/>
            <w:hideMark/>
          </w:tcPr>
          <w:p w:rsidR="00996271" w:rsidRDefault="00073583">
            <w:pPr>
              <w:pStyle w:val="Tabletextcentred"/>
            </w:pPr>
            <w:r>
              <w:t>22</w:t>
            </w:r>
            <w:r w:rsidR="00973615" w:rsidRPr="0099458E">
              <w:t xml:space="preserve">:00 to </w:t>
            </w:r>
            <w:r>
              <w:t>5</w:t>
            </w:r>
            <w:r w:rsidR="00973615" w:rsidRPr="0099458E">
              <w:t>:00</w:t>
            </w:r>
          </w:p>
        </w:tc>
        <w:tc>
          <w:tcPr>
            <w:tcW w:w="934" w:type="pct"/>
            <w:tcBorders>
              <w:top w:val="nil"/>
              <w:left w:val="nil"/>
              <w:bottom w:val="single" w:sz="4" w:space="0" w:color="auto"/>
              <w:right w:val="nil"/>
            </w:tcBorders>
            <w:shd w:val="clear" w:color="000000" w:fill="FFFFFF"/>
            <w:noWrap/>
            <w:vAlign w:val="center"/>
            <w:hideMark/>
          </w:tcPr>
          <w:p w:rsidR="00973615" w:rsidRPr="0099458E" w:rsidRDefault="00073583">
            <w:pPr>
              <w:pStyle w:val="Tabletextcentred"/>
            </w:pPr>
            <w:r>
              <w:t>6</w:t>
            </w:r>
            <w:r w:rsidR="00973615" w:rsidRPr="0099458E">
              <w:t>:00 to 1</w:t>
            </w:r>
            <w:r>
              <w:t>2</w:t>
            </w:r>
            <w:r w:rsidR="00973615" w:rsidRPr="0099458E">
              <w:t>:00</w:t>
            </w:r>
          </w:p>
        </w:tc>
        <w:tc>
          <w:tcPr>
            <w:tcW w:w="1020" w:type="pct"/>
            <w:tcBorders>
              <w:top w:val="nil"/>
              <w:left w:val="nil"/>
              <w:bottom w:val="single" w:sz="4" w:space="0" w:color="auto"/>
              <w:right w:val="nil"/>
            </w:tcBorders>
            <w:shd w:val="clear" w:color="000000" w:fill="FFFFFF"/>
            <w:vAlign w:val="center"/>
          </w:tcPr>
          <w:p w:rsidR="00973615" w:rsidRPr="0099458E" w:rsidRDefault="00422D7C">
            <w:pPr>
              <w:pStyle w:val="Tabletextcentred"/>
            </w:pPr>
            <w:r>
              <w:t>1</w:t>
            </w:r>
            <w:r w:rsidR="00073583">
              <w:t>3</w:t>
            </w:r>
            <w:r>
              <w:t>:00 to 1</w:t>
            </w:r>
            <w:r w:rsidR="00073583">
              <w:t>4</w:t>
            </w:r>
            <w:r>
              <w:t>:00</w:t>
            </w:r>
          </w:p>
        </w:tc>
        <w:tc>
          <w:tcPr>
            <w:tcW w:w="1020" w:type="pct"/>
            <w:tcBorders>
              <w:top w:val="nil"/>
              <w:left w:val="nil"/>
              <w:bottom w:val="single" w:sz="4" w:space="0" w:color="auto"/>
              <w:right w:val="nil"/>
            </w:tcBorders>
            <w:shd w:val="clear" w:color="000000" w:fill="FFFFFF"/>
            <w:noWrap/>
            <w:vAlign w:val="center"/>
            <w:hideMark/>
          </w:tcPr>
          <w:p w:rsidR="00996271" w:rsidRDefault="00973615">
            <w:pPr>
              <w:pStyle w:val="Tabletextcentred"/>
            </w:pPr>
            <w:r w:rsidRPr="0099458E">
              <w:t>1</w:t>
            </w:r>
            <w:r w:rsidR="00073583">
              <w:t>5</w:t>
            </w:r>
            <w:r w:rsidRPr="0099458E">
              <w:t xml:space="preserve">:00 to </w:t>
            </w:r>
            <w:r w:rsidR="00AB6057" w:rsidRPr="0099458E">
              <w:t>2</w:t>
            </w:r>
            <w:r w:rsidR="00073583">
              <w:t>1</w:t>
            </w:r>
            <w:r w:rsidRPr="0099458E">
              <w:t>:00</w:t>
            </w:r>
          </w:p>
        </w:tc>
      </w:tr>
    </w:tbl>
    <w:p w:rsidR="006D4AE8" w:rsidRDefault="006D4AE8" w:rsidP="006D4AE8">
      <w:pPr>
        <w:spacing w:line="240" w:lineRule="auto"/>
        <w:ind w:firstLine="0"/>
        <w:jc w:val="center"/>
        <w:rPr>
          <w:b/>
        </w:rPr>
      </w:pPr>
    </w:p>
    <w:p w:rsidR="0003555F" w:rsidRDefault="0003555F" w:rsidP="006D4AE8">
      <w:pPr>
        <w:spacing w:line="240" w:lineRule="auto"/>
        <w:ind w:firstLine="0"/>
        <w:jc w:val="center"/>
        <w:rPr>
          <w:b/>
        </w:rPr>
      </w:pPr>
    </w:p>
    <w:p w:rsidR="006D4AE8" w:rsidRDefault="006D4AE8" w:rsidP="006D4AE8">
      <w:pPr>
        <w:spacing w:line="240" w:lineRule="auto"/>
        <w:ind w:firstLine="0"/>
        <w:jc w:val="center"/>
        <w:rPr>
          <w:b/>
        </w:rPr>
      </w:pPr>
      <w:r>
        <w:rPr>
          <w:b/>
        </w:rPr>
        <w:t xml:space="preserve">Table </w:t>
      </w:r>
      <w:r w:rsidR="00BC5246" w:rsidRPr="00BC5246">
        <w:rPr>
          <w:b/>
          <w:noProof/>
        </w:rPr>
        <w:t>II</w:t>
      </w:r>
    </w:p>
    <w:p w:rsidR="006D4AE8" w:rsidRDefault="006D4AE8" w:rsidP="006D4AE8">
      <w:pPr>
        <w:spacing w:line="240" w:lineRule="auto"/>
        <w:ind w:firstLine="0"/>
        <w:jc w:val="center"/>
        <w:rPr>
          <w:b/>
        </w:rPr>
      </w:pPr>
      <w:r>
        <w:rPr>
          <w:b/>
        </w:rPr>
        <w:t>Summary Statistics</w:t>
      </w:r>
    </w:p>
    <w:p w:rsidR="003E6367" w:rsidRDefault="003E6367" w:rsidP="006D4AE8">
      <w:pPr>
        <w:spacing w:line="240" w:lineRule="auto"/>
        <w:ind w:firstLine="0"/>
        <w:jc w:val="center"/>
        <w:rPr>
          <w:b/>
        </w:rPr>
      </w:pPr>
    </w:p>
    <w:p w:rsidR="00D1042F" w:rsidRDefault="00E05D0F" w:rsidP="006D4AE8">
      <w:pPr>
        <w:pStyle w:val="Tableblurb"/>
      </w:pPr>
      <w:r>
        <w:t>This table reports summary statistic measures for daily two-scale realized variance (TSRV)</w:t>
      </w:r>
      <w:r w:rsidR="00F0024B">
        <w:t xml:space="preserve"> in Panel A</w:t>
      </w:r>
      <w:r>
        <w:t>, number of trades</w:t>
      </w:r>
      <w:r w:rsidR="00F0024B">
        <w:t xml:space="preserve"> Panel B and the daily average ratios of two-scaled realised variance of realised variance</w:t>
      </w:r>
      <w:r>
        <w:t xml:space="preserve"> broken up into </w:t>
      </w:r>
      <w:r w:rsidR="000C1350">
        <w:t>Asia, Europe</w:t>
      </w:r>
      <w:r w:rsidR="00E56BF0">
        <w:t>, London/New York</w:t>
      </w:r>
      <w:r w:rsidR="000C1350">
        <w:t xml:space="preserve"> and U.S. markets in the</w:t>
      </w:r>
      <w:r>
        <w:t xml:space="preserve"> over-the-counter</w:t>
      </w:r>
      <w:r w:rsidR="000C1350">
        <w:t xml:space="preserve"> gold</w:t>
      </w:r>
      <w:r>
        <w:t xml:space="preserve"> market from 1996 to 2012. </w:t>
      </w:r>
    </w:p>
    <w:p w:rsidR="00A3172C" w:rsidRPr="00E05D0F" w:rsidRDefault="00A3172C" w:rsidP="006D4AE8">
      <w:pPr>
        <w:pStyle w:val="Tableblurb"/>
      </w:pPr>
    </w:p>
    <w:tbl>
      <w:tblPr>
        <w:tblW w:w="5000" w:type="pct"/>
        <w:jc w:val="center"/>
        <w:tblCellMar>
          <w:left w:w="0" w:type="dxa"/>
          <w:right w:w="0" w:type="dxa"/>
        </w:tblCellMar>
        <w:tblLook w:val="0000" w:firstRow="0" w:lastRow="0" w:firstColumn="0" w:lastColumn="0" w:noHBand="0" w:noVBand="0"/>
      </w:tblPr>
      <w:tblGrid>
        <w:gridCol w:w="2589"/>
        <w:gridCol w:w="1730"/>
        <w:gridCol w:w="1998"/>
        <w:gridCol w:w="1728"/>
        <w:gridCol w:w="1728"/>
      </w:tblGrid>
      <w:tr w:rsidR="00A3172C" w:rsidRPr="00414031" w:rsidTr="00155B78">
        <w:trPr>
          <w:cantSplit/>
          <w:tblHeader/>
          <w:jc w:val="center"/>
        </w:trPr>
        <w:tc>
          <w:tcPr>
            <w:tcW w:w="1325"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blurb"/>
              <w:rPr>
                <w:b/>
                <w:sz w:val="22"/>
                <w:szCs w:val="22"/>
              </w:rPr>
            </w:pPr>
          </w:p>
        </w:tc>
        <w:tc>
          <w:tcPr>
            <w:tcW w:w="885"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r w:rsidRPr="00414031">
              <w:rPr>
                <w:sz w:val="22"/>
                <w:szCs w:val="22"/>
              </w:rPr>
              <w:t>Asia</w:t>
            </w:r>
          </w:p>
        </w:tc>
        <w:tc>
          <w:tcPr>
            <w:tcW w:w="1022"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r w:rsidRPr="00414031">
              <w:rPr>
                <w:sz w:val="22"/>
                <w:szCs w:val="22"/>
              </w:rPr>
              <w:t>Europe</w:t>
            </w:r>
          </w:p>
        </w:tc>
        <w:tc>
          <w:tcPr>
            <w:tcW w:w="884" w:type="pct"/>
            <w:tcBorders>
              <w:top w:val="single" w:sz="4" w:space="0" w:color="auto"/>
              <w:left w:val="nil"/>
              <w:bottom w:val="nil"/>
              <w:right w:val="nil"/>
            </w:tcBorders>
            <w:shd w:val="clear" w:color="auto" w:fill="FFFFFF"/>
          </w:tcPr>
          <w:p w:rsidR="00A3172C" w:rsidRPr="00414031" w:rsidRDefault="002C08E3" w:rsidP="00423A9F">
            <w:pPr>
              <w:pStyle w:val="Tabletextcentredbold"/>
              <w:rPr>
                <w:sz w:val="22"/>
                <w:szCs w:val="22"/>
              </w:rPr>
            </w:pPr>
            <w:r w:rsidRPr="00414031">
              <w:rPr>
                <w:sz w:val="22"/>
                <w:szCs w:val="22"/>
              </w:rPr>
              <w:t>London/N</w:t>
            </w:r>
            <w:r w:rsidR="00E56BF0" w:rsidRPr="00414031">
              <w:rPr>
                <w:sz w:val="22"/>
                <w:szCs w:val="22"/>
              </w:rPr>
              <w:t>ew York</w:t>
            </w:r>
          </w:p>
        </w:tc>
        <w:tc>
          <w:tcPr>
            <w:tcW w:w="884"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r w:rsidRPr="00414031">
              <w:rPr>
                <w:sz w:val="22"/>
                <w:szCs w:val="22"/>
              </w:rPr>
              <w:t>U.S.</w:t>
            </w:r>
          </w:p>
        </w:tc>
      </w:tr>
      <w:tr w:rsidR="00A3172C" w:rsidRPr="00414031" w:rsidTr="00155B78">
        <w:trPr>
          <w:cantSplit/>
          <w:tblHeader/>
          <w:jc w:val="center"/>
        </w:trPr>
        <w:tc>
          <w:tcPr>
            <w:tcW w:w="1325"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blurb"/>
              <w:rPr>
                <w:b/>
                <w:sz w:val="22"/>
                <w:szCs w:val="22"/>
              </w:rPr>
            </w:pPr>
            <w:r w:rsidRPr="00414031">
              <w:rPr>
                <w:b/>
                <w:sz w:val="22"/>
                <w:szCs w:val="22"/>
              </w:rPr>
              <w:t>Panel A. TSRV*10000</w:t>
            </w:r>
          </w:p>
        </w:tc>
        <w:tc>
          <w:tcPr>
            <w:tcW w:w="885"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p>
        </w:tc>
        <w:tc>
          <w:tcPr>
            <w:tcW w:w="1022"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p>
        </w:tc>
        <w:tc>
          <w:tcPr>
            <w:tcW w:w="884" w:type="pct"/>
            <w:tcBorders>
              <w:top w:val="single" w:sz="4" w:space="0" w:color="auto"/>
              <w:left w:val="nil"/>
              <w:bottom w:val="nil"/>
              <w:right w:val="nil"/>
            </w:tcBorders>
            <w:shd w:val="clear" w:color="auto" w:fill="FFFFFF"/>
          </w:tcPr>
          <w:p w:rsidR="00A3172C" w:rsidRPr="00414031" w:rsidRDefault="00A3172C" w:rsidP="00423A9F">
            <w:pPr>
              <w:pStyle w:val="Tabletextcentredbold"/>
              <w:rPr>
                <w:sz w:val="22"/>
                <w:szCs w:val="22"/>
              </w:rPr>
            </w:pPr>
          </w:p>
        </w:tc>
        <w:tc>
          <w:tcPr>
            <w:tcW w:w="884" w:type="pct"/>
            <w:tcBorders>
              <w:top w:val="single" w:sz="4" w:space="0" w:color="auto"/>
              <w:left w:val="nil"/>
              <w:bottom w:val="nil"/>
              <w:right w:val="nil"/>
            </w:tcBorders>
            <w:shd w:val="clear" w:color="auto" w:fill="FFFFFF"/>
            <w:tcMar>
              <w:left w:w="67" w:type="dxa"/>
              <w:right w:w="67" w:type="dxa"/>
            </w:tcMar>
            <w:vAlign w:val="center"/>
          </w:tcPr>
          <w:p w:rsidR="00A3172C" w:rsidRPr="00414031" w:rsidRDefault="00A3172C" w:rsidP="00423A9F">
            <w:pPr>
              <w:pStyle w:val="Tabletextcentredbold"/>
              <w:rPr>
                <w:sz w:val="22"/>
                <w:szCs w:val="22"/>
              </w:rPr>
            </w:pPr>
          </w:p>
        </w:tc>
      </w:tr>
      <w:tr w:rsidR="00A3172C" w:rsidRPr="00414031" w:rsidTr="00155B78">
        <w:trPr>
          <w:cantSplit/>
          <w:jc w:val="center"/>
        </w:trPr>
        <w:tc>
          <w:tcPr>
            <w:tcW w:w="1325" w:type="pct"/>
            <w:tcBorders>
              <w:top w:val="nil"/>
              <w:left w:val="nil"/>
              <w:bottom w:val="nil"/>
              <w:right w:val="nil"/>
            </w:tcBorders>
            <w:shd w:val="clear" w:color="auto" w:fill="FFFFFF"/>
            <w:tcMar>
              <w:left w:w="67" w:type="dxa"/>
              <w:right w:w="67" w:type="dxa"/>
            </w:tcMar>
            <w:vAlign w:val="center"/>
          </w:tcPr>
          <w:p w:rsidR="00A3172C" w:rsidRPr="00414031" w:rsidRDefault="00A3172C" w:rsidP="00423A9F">
            <w:pPr>
              <w:pStyle w:val="Tableblurb"/>
              <w:rPr>
                <w:sz w:val="22"/>
                <w:szCs w:val="22"/>
              </w:rPr>
            </w:pPr>
            <w:bookmarkStart w:id="51" w:name="IDX"/>
            <w:bookmarkEnd w:id="51"/>
            <w:r w:rsidRPr="00414031">
              <w:rPr>
                <w:sz w:val="22"/>
                <w:szCs w:val="22"/>
              </w:rPr>
              <w:t>Mean</w:t>
            </w:r>
          </w:p>
        </w:tc>
        <w:tc>
          <w:tcPr>
            <w:tcW w:w="885"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18.53</w:t>
            </w:r>
          </w:p>
        </w:tc>
        <w:tc>
          <w:tcPr>
            <w:tcW w:w="1022"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33.37</w:t>
            </w:r>
          </w:p>
        </w:tc>
        <w:tc>
          <w:tcPr>
            <w:tcW w:w="884" w:type="pct"/>
            <w:tcBorders>
              <w:top w:val="nil"/>
              <w:left w:val="nil"/>
              <w:bottom w:val="nil"/>
              <w:right w:val="nil"/>
            </w:tcBorders>
            <w:shd w:val="clear" w:color="auto" w:fill="FFFFFF"/>
          </w:tcPr>
          <w:p w:rsidR="00A3172C" w:rsidRPr="00414031" w:rsidRDefault="00A3172C">
            <w:pPr>
              <w:pStyle w:val="Tabletextcentred"/>
              <w:rPr>
                <w:sz w:val="22"/>
                <w:szCs w:val="22"/>
              </w:rPr>
            </w:pPr>
            <w:r w:rsidRPr="00414031">
              <w:rPr>
                <w:sz w:val="22"/>
                <w:szCs w:val="22"/>
              </w:rPr>
              <w:t>24.64</w:t>
            </w:r>
          </w:p>
        </w:tc>
        <w:tc>
          <w:tcPr>
            <w:tcW w:w="884"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34.28</w:t>
            </w:r>
          </w:p>
        </w:tc>
      </w:tr>
      <w:tr w:rsidR="00A3172C" w:rsidRPr="00414031" w:rsidTr="00155B78">
        <w:trPr>
          <w:cantSplit/>
          <w:jc w:val="center"/>
        </w:trPr>
        <w:tc>
          <w:tcPr>
            <w:tcW w:w="1325" w:type="pct"/>
            <w:tcBorders>
              <w:top w:val="nil"/>
              <w:left w:val="nil"/>
              <w:bottom w:val="nil"/>
              <w:right w:val="nil"/>
            </w:tcBorders>
            <w:shd w:val="clear" w:color="auto" w:fill="FFFFFF"/>
            <w:tcMar>
              <w:left w:w="67" w:type="dxa"/>
              <w:right w:w="67" w:type="dxa"/>
            </w:tcMar>
            <w:vAlign w:val="center"/>
          </w:tcPr>
          <w:p w:rsidR="00A3172C" w:rsidRPr="00414031" w:rsidRDefault="00A3172C" w:rsidP="00423A9F">
            <w:pPr>
              <w:pStyle w:val="Tableblurb"/>
              <w:rPr>
                <w:sz w:val="22"/>
                <w:szCs w:val="22"/>
              </w:rPr>
            </w:pPr>
            <w:r w:rsidRPr="00414031">
              <w:rPr>
                <w:sz w:val="22"/>
                <w:szCs w:val="22"/>
              </w:rPr>
              <w:t>Standard Deviation</w:t>
            </w:r>
          </w:p>
        </w:tc>
        <w:tc>
          <w:tcPr>
            <w:tcW w:w="885"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29.93</w:t>
            </w:r>
          </w:p>
        </w:tc>
        <w:tc>
          <w:tcPr>
            <w:tcW w:w="1022"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39.15</w:t>
            </w:r>
          </w:p>
        </w:tc>
        <w:tc>
          <w:tcPr>
            <w:tcW w:w="884" w:type="pct"/>
            <w:tcBorders>
              <w:top w:val="nil"/>
              <w:left w:val="nil"/>
              <w:bottom w:val="nil"/>
              <w:right w:val="nil"/>
            </w:tcBorders>
            <w:shd w:val="clear" w:color="auto" w:fill="FFFFFF"/>
          </w:tcPr>
          <w:p w:rsidR="00A3172C" w:rsidRPr="00414031" w:rsidRDefault="00A3172C">
            <w:pPr>
              <w:pStyle w:val="Tabletextcentred"/>
              <w:rPr>
                <w:sz w:val="22"/>
                <w:szCs w:val="22"/>
              </w:rPr>
            </w:pPr>
            <w:r w:rsidRPr="00414031">
              <w:rPr>
                <w:sz w:val="22"/>
                <w:szCs w:val="22"/>
              </w:rPr>
              <w:t>31.89</w:t>
            </w:r>
          </w:p>
        </w:tc>
        <w:tc>
          <w:tcPr>
            <w:tcW w:w="884"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40.53</w:t>
            </w:r>
          </w:p>
        </w:tc>
      </w:tr>
      <w:tr w:rsidR="00A3172C" w:rsidRPr="00414031" w:rsidTr="00A3172C">
        <w:trPr>
          <w:cantSplit/>
          <w:jc w:val="center"/>
        </w:trPr>
        <w:tc>
          <w:tcPr>
            <w:tcW w:w="1325" w:type="pct"/>
            <w:tcBorders>
              <w:top w:val="nil"/>
              <w:left w:val="nil"/>
              <w:right w:val="nil"/>
            </w:tcBorders>
            <w:shd w:val="clear" w:color="auto" w:fill="FFFFFF"/>
            <w:tcMar>
              <w:left w:w="67" w:type="dxa"/>
              <w:right w:w="67" w:type="dxa"/>
            </w:tcMar>
            <w:vAlign w:val="center"/>
          </w:tcPr>
          <w:p w:rsidR="00A3172C" w:rsidRPr="00414031" w:rsidRDefault="00A3172C" w:rsidP="00423A9F">
            <w:pPr>
              <w:pStyle w:val="Tableblurb"/>
              <w:rPr>
                <w:sz w:val="22"/>
                <w:szCs w:val="22"/>
              </w:rPr>
            </w:pPr>
            <w:r w:rsidRPr="00414031">
              <w:rPr>
                <w:sz w:val="22"/>
                <w:szCs w:val="22"/>
              </w:rPr>
              <w:t>Skewness</w:t>
            </w:r>
          </w:p>
        </w:tc>
        <w:tc>
          <w:tcPr>
            <w:tcW w:w="885" w:type="pct"/>
            <w:tcBorders>
              <w:top w:val="nil"/>
              <w:left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4.64</w:t>
            </w:r>
          </w:p>
        </w:tc>
        <w:tc>
          <w:tcPr>
            <w:tcW w:w="1022" w:type="pct"/>
            <w:tcBorders>
              <w:top w:val="nil"/>
              <w:left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3.01</w:t>
            </w:r>
          </w:p>
        </w:tc>
        <w:tc>
          <w:tcPr>
            <w:tcW w:w="884" w:type="pct"/>
            <w:tcBorders>
              <w:top w:val="nil"/>
              <w:left w:val="nil"/>
              <w:right w:val="nil"/>
            </w:tcBorders>
            <w:shd w:val="clear" w:color="auto" w:fill="FFFFFF"/>
          </w:tcPr>
          <w:p w:rsidR="00A3172C" w:rsidRPr="00414031" w:rsidRDefault="00A3172C">
            <w:pPr>
              <w:pStyle w:val="Tabletextcentred"/>
              <w:rPr>
                <w:sz w:val="22"/>
                <w:szCs w:val="22"/>
              </w:rPr>
            </w:pPr>
            <w:r w:rsidRPr="00414031">
              <w:rPr>
                <w:sz w:val="22"/>
                <w:szCs w:val="22"/>
              </w:rPr>
              <w:t>3.55</w:t>
            </w:r>
          </w:p>
        </w:tc>
        <w:tc>
          <w:tcPr>
            <w:tcW w:w="884" w:type="pct"/>
            <w:tcBorders>
              <w:top w:val="nil"/>
              <w:left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2.87</w:t>
            </w:r>
          </w:p>
        </w:tc>
      </w:tr>
      <w:tr w:rsidR="00A3172C" w:rsidRPr="00414031" w:rsidTr="0043255F">
        <w:trPr>
          <w:cantSplit/>
          <w:jc w:val="center"/>
        </w:trPr>
        <w:tc>
          <w:tcPr>
            <w:tcW w:w="1325" w:type="pct"/>
            <w:tcBorders>
              <w:top w:val="nil"/>
              <w:left w:val="nil"/>
              <w:bottom w:val="nil"/>
              <w:right w:val="nil"/>
            </w:tcBorders>
            <w:shd w:val="clear" w:color="auto" w:fill="FFFFFF"/>
            <w:tcMar>
              <w:left w:w="67" w:type="dxa"/>
              <w:right w:w="67" w:type="dxa"/>
            </w:tcMar>
            <w:vAlign w:val="center"/>
          </w:tcPr>
          <w:p w:rsidR="00A3172C" w:rsidRPr="00414031" w:rsidRDefault="00A3172C" w:rsidP="00423A9F">
            <w:pPr>
              <w:pStyle w:val="Tableblurb"/>
              <w:rPr>
                <w:sz w:val="22"/>
                <w:szCs w:val="22"/>
              </w:rPr>
            </w:pPr>
            <w:r w:rsidRPr="00414031">
              <w:rPr>
                <w:sz w:val="22"/>
                <w:szCs w:val="22"/>
              </w:rPr>
              <w:t>Kurtosis</w:t>
            </w:r>
          </w:p>
        </w:tc>
        <w:tc>
          <w:tcPr>
            <w:tcW w:w="885"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25.77</w:t>
            </w:r>
          </w:p>
        </w:tc>
        <w:tc>
          <w:tcPr>
            <w:tcW w:w="1022"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10.49</w:t>
            </w:r>
          </w:p>
        </w:tc>
        <w:tc>
          <w:tcPr>
            <w:tcW w:w="884" w:type="pct"/>
            <w:tcBorders>
              <w:top w:val="nil"/>
              <w:left w:val="nil"/>
              <w:bottom w:val="nil"/>
              <w:right w:val="nil"/>
            </w:tcBorders>
            <w:shd w:val="clear" w:color="auto" w:fill="FFFFFF"/>
          </w:tcPr>
          <w:p w:rsidR="00A3172C" w:rsidRPr="00414031" w:rsidRDefault="00A3172C">
            <w:pPr>
              <w:pStyle w:val="Tabletextcentred"/>
              <w:rPr>
                <w:sz w:val="22"/>
                <w:szCs w:val="22"/>
              </w:rPr>
            </w:pPr>
            <w:r w:rsidRPr="00414031">
              <w:rPr>
                <w:sz w:val="22"/>
                <w:szCs w:val="22"/>
              </w:rPr>
              <w:t>16.05</w:t>
            </w:r>
          </w:p>
        </w:tc>
        <w:tc>
          <w:tcPr>
            <w:tcW w:w="884" w:type="pct"/>
            <w:tcBorders>
              <w:top w:val="nil"/>
              <w:left w:val="nil"/>
              <w:bottom w:val="nil"/>
              <w:right w:val="nil"/>
            </w:tcBorders>
            <w:shd w:val="clear" w:color="auto" w:fill="FFFFFF"/>
            <w:tcMar>
              <w:left w:w="67" w:type="dxa"/>
              <w:right w:w="67" w:type="dxa"/>
            </w:tcMar>
          </w:tcPr>
          <w:p w:rsidR="00A3172C" w:rsidRPr="00414031" w:rsidRDefault="00A3172C">
            <w:pPr>
              <w:pStyle w:val="Tabletextcentred"/>
              <w:rPr>
                <w:sz w:val="22"/>
                <w:szCs w:val="22"/>
              </w:rPr>
            </w:pPr>
            <w:r w:rsidRPr="00414031">
              <w:rPr>
                <w:sz w:val="22"/>
                <w:szCs w:val="22"/>
              </w:rPr>
              <w:t>9.40</w:t>
            </w:r>
          </w:p>
        </w:tc>
      </w:tr>
      <w:tr w:rsidR="00414031" w:rsidRPr="00414031" w:rsidTr="006D24EE">
        <w:trPr>
          <w:cantSplit/>
          <w:jc w:val="center"/>
        </w:trPr>
        <w:tc>
          <w:tcPr>
            <w:tcW w:w="1325" w:type="pct"/>
            <w:tcBorders>
              <w:top w:val="nil"/>
              <w:left w:val="nil"/>
              <w:bottom w:val="nil"/>
              <w:right w:val="nil"/>
            </w:tcBorders>
            <w:shd w:val="clear" w:color="auto" w:fill="FFFFFF"/>
            <w:tcMar>
              <w:left w:w="67" w:type="dxa"/>
              <w:right w:w="67" w:type="dxa"/>
            </w:tcMar>
            <w:vAlign w:val="center"/>
          </w:tcPr>
          <w:p w:rsidR="00414031" w:rsidRPr="00414031" w:rsidRDefault="00414031" w:rsidP="00423A9F">
            <w:pPr>
              <w:pStyle w:val="Tableblurb"/>
              <w:rPr>
                <w:sz w:val="22"/>
                <w:szCs w:val="22"/>
              </w:rPr>
            </w:pPr>
          </w:p>
        </w:tc>
        <w:tc>
          <w:tcPr>
            <w:tcW w:w="885" w:type="pct"/>
            <w:tcBorders>
              <w:top w:val="nil"/>
              <w:left w:val="nil"/>
              <w:bottom w:val="nil"/>
              <w:right w:val="nil"/>
            </w:tcBorders>
            <w:shd w:val="clear" w:color="auto" w:fill="FFFFFF"/>
            <w:tcMar>
              <w:left w:w="67" w:type="dxa"/>
              <w:right w:w="67" w:type="dxa"/>
            </w:tcMar>
            <w:vAlign w:val="bottom"/>
          </w:tcPr>
          <w:p w:rsidR="00414031" w:rsidRPr="00414031" w:rsidRDefault="00414031" w:rsidP="0043255F">
            <w:pPr>
              <w:spacing w:line="240" w:lineRule="auto"/>
              <w:ind w:firstLine="0"/>
              <w:jc w:val="center"/>
              <w:rPr>
                <w:rFonts w:cs="Times New Roman"/>
                <w:color w:val="000000"/>
              </w:rPr>
            </w:pPr>
          </w:p>
        </w:tc>
        <w:tc>
          <w:tcPr>
            <w:tcW w:w="1022" w:type="pct"/>
            <w:tcBorders>
              <w:top w:val="nil"/>
              <w:left w:val="nil"/>
              <w:bottom w:val="nil"/>
              <w:right w:val="nil"/>
            </w:tcBorders>
            <w:shd w:val="clear" w:color="auto" w:fill="FFFFFF"/>
            <w:tcMar>
              <w:left w:w="67" w:type="dxa"/>
              <w:right w:w="67" w:type="dxa"/>
            </w:tcMar>
            <w:vAlign w:val="bottom"/>
          </w:tcPr>
          <w:p w:rsidR="00414031" w:rsidRPr="00414031" w:rsidRDefault="00414031" w:rsidP="0043255F">
            <w:pPr>
              <w:spacing w:line="240" w:lineRule="auto"/>
              <w:ind w:firstLine="0"/>
              <w:jc w:val="center"/>
              <w:rPr>
                <w:rFonts w:cs="Times New Roman"/>
                <w:color w:val="000000"/>
              </w:rPr>
            </w:pPr>
          </w:p>
        </w:tc>
        <w:tc>
          <w:tcPr>
            <w:tcW w:w="884" w:type="pct"/>
            <w:tcBorders>
              <w:top w:val="nil"/>
              <w:left w:val="nil"/>
              <w:bottom w:val="nil"/>
              <w:right w:val="nil"/>
            </w:tcBorders>
            <w:shd w:val="clear" w:color="auto" w:fill="FFFFFF"/>
            <w:vAlign w:val="bottom"/>
          </w:tcPr>
          <w:p w:rsidR="00414031" w:rsidRPr="00414031" w:rsidRDefault="00414031" w:rsidP="0043255F">
            <w:pPr>
              <w:spacing w:line="240" w:lineRule="auto"/>
              <w:ind w:firstLine="0"/>
              <w:jc w:val="center"/>
              <w:rPr>
                <w:rFonts w:cs="Times New Roman"/>
                <w:color w:val="000000"/>
              </w:rPr>
            </w:pPr>
          </w:p>
        </w:tc>
        <w:tc>
          <w:tcPr>
            <w:tcW w:w="884" w:type="pct"/>
            <w:tcBorders>
              <w:top w:val="nil"/>
              <w:left w:val="nil"/>
              <w:bottom w:val="nil"/>
              <w:right w:val="nil"/>
            </w:tcBorders>
            <w:shd w:val="clear" w:color="auto" w:fill="FFFFFF"/>
            <w:tcMar>
              <w:left w:w="67" w:type="dxa"/>
              <w:right w:w="67" w:type="dxa"/>
            </w:tcMar>
            <w:vAlign w:val="bottom"/>
          </w:tcPr>
          <w:p w:rsidR="00414031" w:rsidRPr="00414031" w:rsidRDefault="00414031" w:rsidP="0043255F">
            <w:pPr>
              <w:spacing w:line="240" w:lineRule="auto"/>
              <w:ind w:firstLine="0"/>
              <w:jc w:val="center"/>
              <w:rPr>
                <w:rFonts w:cs="Times New Roman"/>
                <w:color w:val="000000"/>
              </w:rPr>
            </w:pPr>
          </w:p>
        </w:tc>
      </w:tr>
    </w:tbl>
    <w:p w:rsidR="00414031" w:rsidRPr="00414031" w:rsidRDefault="00414031" w:rsidP="00414031">
      <w:pPr>
        <w:pStyle w:val="Tableblurb"/>
        <w:rPr>
          <w:b/>
          <w:sz w:val="22"/>
          <w:szCs w:val="22"/>
        </w:rPr>
      </w:pPr>
      <w:r w:rsidRPr="00414031">
        <w:rPr>
          <w:b/>
          <w:sz w:val="22"/>
          <w:szCs w:val="22"/>
        </w:rPr>
        <w:t>Panel B. Daily Average TSRV to RV Ratios</w:t>
      </w:r>
    </w:p>
    <w:tbl>
      <w:tblPr>
        <w:tblW w:w="5000" w:type="pct"/>
        <w:tblBorders>
          <w:top w:val="single" w:sz="4" w:space="0" w:color="auto"/>
          <w:bottom w:val="single" w:sz="4" w:space="0" w:color="auto"/>
        </w:tblBorders>
        <w:tblLook w:val="04A0" w:firstRow="1" w:lastRow="0" w:firstColumn="1" w:lastColumn="0" w:noHBand="0" w:noVBand="1"/>
      </w:tblPr>
      <w:tblGrid>
        <w:gridCol w:w="2651"/>
        <w:gridCol w:w="1697"/>
        <w:gridCol w:w="1977"/>
        <w:gridCol w:w="1697"/>
        <w:gridCol w:w="1833"/>
      </w:tblGrid>
      <w:tr w:rsidR="00414031" w:rsidRPr="00414031" w:rsidTr="00A91A8C">
        <w:trPr>
          <w:cantSplit/>
          <w:trHeight w:hRule="exact" w:val="284"/>
        </w:trPr>
        <w:tc>
          <w:tcPr>
            <w:tcW w:w="1345" w:type="pct"/>
            <w:tcBorders>
              <w:top w:val="nil"/>
              <w:bottom w:val="nil"/>
            </w:tcBorders>
            <w:shd w:val="clear" w:color="auto" w:fill="auto"/>
            <w:hideMark/>
          </w:tcPr>
          <w:p w:rsidR="00414031" w:rsidRPr="00414031" w:rsidRDefault="00414031" w:rsidP="00592058">
            <w:pPr>
              <w:pStyle w:val="Tabletextcentred"/>
              <w:jc w:val="left"/>
              <w:rPr>
                <w:sz w:val="22"/>
                <w:szCs w:val="22"/>
                <w:lang w:eastAsia="en-AU"/>
              </w:rPr>
            </w:pPr>
            <w:r w:rsidRPr="00414031">
              <w:rPr>
                <w:sz w:val="22"/>
                <w:szCs w:val="22"/>
                <w:lang w:eastAsia="en-AU"/>
              </w:rPr>
              <w:t>1996-2000</w:t>
            </w:r>
          </w:p>
        </w:tc>
        <w:tc>
          <w:tcPr>
            <w:tcW w:w="861" w:type="pct"/>
            <w:tcBorders>
              <w:top w:val="nil"/>
              <w:bottom w:val="nil"/>
            </w:tcBorders>
            <w:shd w:val="clear" w:color="auto" w:fill="auto"/>
            <w:vAlign w:val="bottom"/>
            <w:hideMark/>
          </w:tcPr>
          <w:p w:rsidR="00414031" w:rsidRPr="00414031" w:rsidRDefault="00414031" w:rsidP="00592058">
            <w:pPr>
              <w:ind w:firstLine="0"/>
              <w:jc w:val="center"/>
              <w:rPr>
                <w:rFonts w:cs="Times New Roman"/>
                <w:color w:val="000000"/>
              </w:rPr>
            </w:pPr>
            <w:r w:rsidRPr="00414031">
              <w:rPr>
                <w:rFonts w:cs="Times New Roman"/>
                <w:color w:val="000000"/>
                <w:sz w:val="22"/>
              </w:rPr>
              <w:t>0.81</w:t>
            </w:r>
          </w:p>
        </w:tc>
        <w:tc>
          <w:tcPr>
            <w:tcW w:w="1003" w:type="pct"/>
            <w:tcBorders>
              <w:top w:val="nil"/>
              <w:bottom w:val="nil"/>
            </w:tcBorders>
            <w:shd w:val="clear" w:color="auto" w:fill="auto"/>
            <w:vAlign w:val="bottom"/>
            <w:hideMark/>
          </w:tcPr>
          <w:p w:rsidR="00414031" w:rsidRPr="00414031" w:rsidRDefault="00414031" w:rsidP="00592058">
            <w:pPr>
              <w:jc w:val="left"/>
              <w:rPr>
                <w:rFonts w:cs="Times New Roman"/>
                <w:color w:val="000000"/>
              </w:rPr>
            </w:pPr>
            <w:r w:rsidRPr="00414031">
              <w:rPr>
                <w:rFonts w:cs="Times New Roman"/>
                <w:color w:val="000000"/>
                <w:sz w:val="22"/>
              </w:rPr>
              <w:t>0.85</w:t>
            </w:r>
          </w:p>
        </w:tc>
        <w:tc>
          <w:tcPr>
            <w:tcW w:w="861" w:type="pct"/>
            <w:tcBorders>
              <w:top w:val="nil"/>
              <w:bottom w:val="nil"/>
            </w:tcBorders>
            <w:shd w:val="clear" w:color="auto" w:fill="auto"/>
            <w:vAlign w:val="bottom"/>
            <w:hideMark/>
          </w:tcPr>
          <w:p w:rsidR="00414031" w:rsidRPr="00414031" w:rsidRDefault="00414031" w:rsidP="00592058">
            <w:pPr>
              <w:ind w:firstLine="0"/>
              <w:jc w:val="center"/>
              <w:rPr>
                <w:rFonts w:cs="Times New Roman"/>
                <w:color w:val="000000"/>
              </w:rPr>
            </w:pPr>
            <w:r w:rsidRPr="00414031">
              <w:rPr>
                <w:rFonts w:cs="Times New Roman"/>
                <w:color w:val="000000"/>
                <w:sz w:val="22"/>
              </w:rPr>
              <w:t>0.74</w:t>
            </w:r>
          </w:p>
        </w:tc>
        <w:tc>
          <w:tcPr>
            <w:tcW w:w="931" w:type="pct"/>
            <w:tcBorders>
              <w:top w:val="nil"/>
              <w:bottom w:val="nil"/>
            </w:tcBorders>
            <w:shd w:val="clear" w:color="auto" w:fill="auto"/>
            <w:vAlign w:val="bottom"/>
            <w:hideMark/>
          </w:tcPr>
          <w:p w:rsidR="00414031" w:rsidRPr="00414031" w:rsidRDefault="00414031" w:rsidP="00414031">
            <w:pPr>
              <w:ind w:firstLine="0"/>
              <w:jc w:val="center"/>
              <w:rPr>
                <w:rFonts w:cs="Times New Roman"/>
                <w:color w:val="000000"/>
              </w:rPr>
            </w:pPr>
            <w:r w:rsidRPr="00414031">
              <w:rPr>
                <w:rFonts w:cs="Times New Roman"/>
                <w:color w:val="000000"/>
                <w:sz w:val="22"/>
              </w:rPr>
              <w:t>0.78</w:t>
            </w:r>
          </w:p>
        </w:tc>
      </w:tr>
      <w:tr w:rsidR="00414031" w:rsidRPr="00414031" w:rsidTr="00A91A8C">
        <w:trPr>
          <w:cantSplit/>
          <w:trHeight w:hRule="exact" w:val="284"/>
        </w:trPr>
        <w:tc>
          <w:tcPr>
            <w:tcW w:w="1345" w:type="pct"/>
            <w:tcBorders>
              <w:top w:val="nil"/>
              <w:bottom w:val="nil"/>
            </w:tcBorders>
            <w:shd w:val="clear" w:color="auto" w:fill="auto"/>
          </w:tcPr>
          <w:p w:rsidR="00414031" w:rsidRPr="00414031" w:rsidRDefault="00414031" w:rsidP="00592058">
            <w:pPr>
              <w:pStyle w:val="Tabletextcentred"/>
              <w:jc w:val="left"/>
              <w:rPr>
                <w:sz w:val="22"/>
                <w:szCs w:val="22"/>
                <w:lang w:eastAsia="en-AU"/>
              </w:rPr>
            </w:pPr>
            <w:r w:rsidRPr="00414031">
              <w:rPr>
                <w:sz w:val="22"/>
                <w:szCs w:val="22"/>
                <w:lang w:eastAsia="en-AU"/>
              </w:rPr>
              <w:t>2001-2007</w:t>
            </w: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r w:rsidRPr="00414031">
              <w:rPr>
                <w:rFonts w:cs="Times New Roman"/>
                <w:color w:val="000000"/>
                <w:sz w:val="22"/>
              </w:rPr>
              <w:t>0.87</w:t>
            </w:r>
          </w:p>
        </w:tc>
        <w:tc>
          <w:tcPr>
            <w:tcW w:w="1003" w:type="pct"/>
            <w:tcBorders>
              <w:top w:val="nil"/>
              <w:bottom w:val="nil"/>
            </w:tcBorders>
            <w:shd w:val="clear" w:color="auto" w:fill="auto"/>
            <w:vAlign w:val="bottom"/>
          </w:tcPr>
          <w:p w:rsidR="00414031" w:rsidRPr="00414031" w:rsidRDefault="00414031" w:rsidP="00592058">
            <w:pPr>
              <w:rPr>
                <w:rFonts w:cs="Times New Roman"/>
                <w:color w:val="000000"/>
              </w:rPr>
            </w:pPr>
            <w:r w:rsidRPr="00414031">
              <w:rPr>
                <w:rFonts w:cs="Times New Roman"/>
                <w:color w:val="000000"/>
                <w:sz w:val="22"/>
              </w:rPr>
              <w:t>0.91</w:t>
            </w: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r w:rsidRPr="00414031">
              <w:rPr>
                <w:rFonts w:cs="Times New Roman"/>
                <w:color w:val="000000"/>
                <w:sz w:val="22"/>
              </w:rPr>
              <w:t>0.88</w:t>
            </w:r>
          </w:p>
        </w:tc>
        <w:tc>
          <w:tcPr>
            <w:tcW w:w="931" w:type="pct"/>
            <w:tcBorders>
              <w:top w:val="nil"/>
              <w:bottom w:val="nil"/>
            </w:tcBorders>
            <w:shd w:val="clear" w:color="auto" w:fill="auto"/>
            <w:vAlign w:val="bottom"/>
          </w:tcPr>
          <w:p w:rsidR="00414031" w:rsidRPr="00414031" w:rsidRDefault="00414031" w:rsidP="00414031">
            <w:pPr>
              <w:ind w:firstLine="0"/>
              <w:jc w:val="center"/>
              <w:rPr>
                <w:rFonts w:cs="Times New Roman"/>
                <w:color w:val="000000"/>
              </w:rPr>
            </w:pPr>
            <w:r w:rsidRPr="00414031">
              <w:rPr>
                <w:rFonts w:cs="Times New Roman"/>
                <w:color w:val="000000"/>
                <w:sz w:val="22"/>
              </w:rPr>
              <w:t>0.89</w:t>
            </w:r>
          </w:p>
        </w:tc>
      </w:tr>
      <w:tr w:rsidR="00414031" w:rsidRPr="00414031" w:rsidTr="00A91A8C">
        <w:trPr>
          <w:cantSplit/>
          <w:trHeight w:hRule="exact" w:val="284"/>
        </w:trPr>
        <w:tc>
          <w:tcPr>
            <w:tcW w:w="1345" w:type="pct"/>
            <w:tcBorders>
              <w:top w:val="nil"/>
              <w:bottom w:val="nil"/>
            </w:tcBorders>
            <w:shd w:val="clear" w:color="auto" w:fill="auto"/>
          </w:tcPr>
          <w:p w:rsidR="00414031" w:rsidRPr="00414031" w:rsidRDefault="00414031" w:rsidP="00592058">
            <w:pPr>
              <w:pStyle w:val="Tabletextcentred"/>
              <w:jc w:val="left"/>
              <w:rPr>
                <w:sz w:val="22"/>
                <w:szCs w:val="22"/>
                <w:lang w:eastAsia="en-AU"/>
              </w:rPr>
            </w:pPr>
            <w:r w:rsidRPr="00414031">
              <w:rPr>
                <w:sz w:val="22"/>
                <w:szCs w:val="22"/>
                <w:lang w:eastAsia="en-AU"/>
              </w:rPr>
              <w:t>2008-2012</w:t>
            </w: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r w:rsidRPr="00414031">
              <w:rPr>
                <w:rFonts w:cs="Times New Roman"/>
                <w:color w:val="000000"/>
                <w:sz w:val="22"/>
              </w:rPr>
              <w:t>0.93</w:t>
            </w:r>
          </w:p>
        </w:tc>
        <w:tc>
          <w:tcPr>
            <w:tcW w:w="1003" w:type="pct"/>
            <w:tcBorders>
              <w:top w:val="nil"/>
              <w:bottom w:val="nil"/>
            </w:tcBorders>
            <w:shd w:val="clear" w:color="auto" w:fill="auto"/>
            <w:vAlign w:val="bottom"/>
          </w:tcPr>
          <w:p w:rsidR="00414031" w:rsidRPr="00414031" w:rsidRDefault="00414031" w:rsidP="00592058">
            <w:pPr>
              <w:rPr>
                <w:rFonts w:cs="Times New Roman"/>
                <w:color w:val="000000"/>
              </w:rPr>
            </w:pPr>
            <w:r w:rsidRPr="00414031">
              <w:rPr>
                <w:rFonts w:cs="Times New Roman"/>
                <w:color w:val="000000"/>
                <w:sz w:val="22"/>
              </w:rPr>
              <w:t>0.94</w:t>
            </w: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r w:rsidRPr="00414031">
              <w:rPr>
                <w:rFonts w:cs="Times New Roman"/>
                <w:color w:val="000000"/>
                <w:sz w:val="22"/>
              </w:rPr>
              <w:t>0.96</w:t>
            </w:r>
          </w:p>
        </w:tc>
        <w:tc>
          <w:tcPr>
            <w:tcW w:w="931" w:type="pct"/>
            <w:tcBorders>
              <w:top w:val="nil"/>
              <w:bottom w:val="nil"/>
            </w:tcBorders>
            <w:shd w:val="clear" w:color="auto" w:fill="auto"/>
            <w:vAlign w:val="bottom"/>
          </w:tcPr>
          <w:p w:rsidR="00414031" w:rsidRPr="00414031" w:rsidRDefault="00414031" w:rsidP="00414031">
            <w:pPr>
              <w:ind w:firstLine="0"/>
              <w:jc w:val="center"/>
              <w:rPr>
                <w:rFonts w:cs="Times New Roman"/>
                <w:color w:val="000000"/>
              </w:rPr>
            </w:pPr>
            <w:r w:rsidRPr="00414031">
              <w:rPr>
                <w:rFonts w:cs="Times New Roman"/>
                <w:color w:val="000000"/>
                <w:sz w:val="22"/>
              </w:rPr>
              <w:t>0.93</w:t>
            </w:r>
          </w:p>
        </w:tc>
      </w:tr>
      <w:tr w:rsidR="00414031" w:rsidRPr="00414031" w:rsidTr="00A91A8C">
        <w:trPr>
          <w:cantSplit/>
          <w:trHeight w:hRule="exact" w:val="284"/>
        </w:trPr>
        <w:tc>
          <w:tcPr>
            <w:tcW w:w="1345" w:type="pct"/>
            <w:tcBorders>
              <w:top w:val="nil"/>
              <w:bottom w:val="nil"/>
            </w:tcBorders>
            <w:shd w:val="clear" w:color="auto" w:fill="auto"/>
          </w:tcPr>
          <w:p w:rsidR="00414031" w:rsidRPr="00414031" w:rsidRDefault="00414031" w:rsidP="00592058">
            <w:pPr>
              <w:pStyle w:val="Tabletextcentred"/>
              <w:jc w:val="left"/>
              <w:rPr>
                <w:sz w:val="22"/>
                <w:szCs w:val="22"/>
                <w:lang w:eastAsia="en-AU"/>
              </w:rPr>
            </w:pP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p>
        </w:tc>
        <w:tc>
          <w:tcPr>
            <w:tcW w:w="1003" w:type="pct"/>
            <w:tcBorders>
              <w:top w:val="nil"/>
              <w:bottom w:val="nil"/>
            </w:tcBorders>
            <w:shd w:val="clear" w:color="auto" w:fill="auto"/>
            <w:vAlign w:val="bottom"/>
          </w:tcPr>
          <w:p w:rsidR="00414031" w:rsidRPr="00414031" w:rsidRDefault="00414031" w:rsidP="00592058">
            <w:pPr>
              <w:rPr>
                <w:rFonts w:cs="Times New Roman"/>
                <w:color w:val="000000"/>
              </w:rPr>
            </w:pPr>
          </w:p>
        </w:tc>
        <w:tc>
          <w:tcPr>
            <w:tcW w:w="861" w:type="pct"/>
            <w:tcBorders>
              <w:top w:val="nil"/>
              <w:bottom w:val="nil"/>
            </w:tcBorders>
            <w:shd w:val="clear" w:color="auto" w:fill="auto"/>
            <w:vAlign w:val="bottom"/>
          </w:tcPr>
          <w:p w:rsidR="00414031" w:rsidRPr="00414031" w:rsidRDefault="00414031" w:rsidP="00592058">
            <w:pPr>
              <w:ind w:firstLine="0"/>
              <w:jc w:val="center"/>
              <w:rPr>
                <w:rFonts w:cs="Times New Roman"/>
                <w:color w:val="000000"/>
              </w:rPr>
            </w:pPr>
          </w:p>
        </w:tc>
        <w:tc>
          <w:tcPr>
            <w:tcW w:w="931" w:type="pct"/>
            <w:tcBorders>
              <w:top w:val="nil"/>
              <w:bottom w:val="nil"/>
            </w:tcBorders>
            <w:shd w:val="clear" w:color="auto" w:fill="auto"/>
            <w:vAlign w:val="bottom"/>
          </w:tcPr>
          <w:p w:rsidR="00414031" w:rsidRPr="00414031" w:rsidRDefault="00414031" w:rsidP="00592058">
            <w:pPr>
              <w:rPr>
                <w:rFonts w:cs="Times New Roman"/>
                <w:color w:val="000000"/>
              </w:rPr>
            </w:pPr>
          </w:p>
        </w:tc>
      </w:tr>
    </w:tbl>
    <w:p w:rsidR="006D4AE8" w:rsidRPr="00414031" w:rsidRDefault="006D4AE8" w:rsidP="006D4AE8">
      <w:pPr>
        <w:pStyle w:val="Tableblurb"/>
        <w:rPr>
          <w:b/>
          <w:sz w:val="22"/>
          <w:szCs w:val="22"/>
        </w:rPr>
      </w:pPr>
      <w:r w:rsidRPr="00414031">
        <w:rPr>
          <w:b/>
          <w:sz w:val="22"/>
          <w:szCs w:val="22"/>
        </w:rPr>
        <w:t>Panel B. Number of Trades</w:t>
      </w:r>
    </w:p>
    <w:tbl>
      <w:tblPr>
        <w:tblW w:w="5000" w:type="pct"/>
        <w:jc w:val="center"/>
        <w:tblCellMar>
          <w:left w:w="0" w:type="dxa"/>
          <w:right w:w="0" w:type="dxa"/>
        </w:tblCellMar>
        <w:tblLook w:val="0000" w:firstRow="0" w:lastRow="0" w:firstColumn="0" w:lastColumn="0" w:noHBand="0" w:noVBand="0"/>
      </w:tblPr>
      <w:tblGrid>
        <w:gridCol w:w="2592"/>
        <w:gridCol w:w="1722"/>
        <w:gridCol w:w="1984"/>
        <w:gridCol w:w="1718"/>
        <w:gridCol w:w="1757"/>
      </w:tblGrid>
      <w:tr w:rsidR="00A54716" w:rsidRPr="00414031" w:rsidTr="00145443">
        <w:trPr>
          <w:cantSplit/>
          <w:jc w:val="center"/>
        </w:trPr>
        <w:tc>
          <w:tcPr>
            <w:tcW w:w="1326" w:type="pct"/>
            <w:tcBorders>
              <w:top w:val="nil"/>
              <w:left w:val="nil"/>
              <w:bottom w:val="nil"/>
              <w:right w:val="nil"/>
            </w:tcBorders>
            <w:shd w:val="clear" w:color="auto" w:fill="FFFFFF"/>
            <w:tcMar>
              <w:left w:w="67" w:type="dxa"/>
              <w:right w:w="67" w:type="dxa"/>
            </w:tcMar>
            <w:vAlign w:val="center"/>
          </w:tcPr>
          <w:p w:rsidR="00A54716" w:rsidRPr="00414031" w:rsidRDefault="00A54716" w:rsidP="00423A9F">
            <w:pPr>
              <w:pStyle w:val="Tableblurb"/>
              <w:rPr>
                <w:sz w:val="22"/>
                <w:szCs w:val="22"/>
              </w:rPr>
            </w:pPr>
            <w:r w:rsidRPr="00414031">
              <w:rPr>
                <w:sz w:val="22"/>
                <w:szCs w:val="22"/>
              </w:rPr>
              <w:t>Mean</w:t>
            </w:r>
          </w:p>
        </w:tc>
        <w:tc>
          <w:tcPr>
            <w:tcW w:w="881" w:type="pct"/>
            <w:tcBorders>
              <w:top w:val="nil"/>
              <w:left w:val="nil"/>
              <w:bottom w:val="nil"/>
              <w:right w:val="nil"/>
            </w:tcBorders>
            <w:shd w:val="clear" w:color="auto" w:fill="FFFFFF"/>
            <w:tcMar>
              <w:left w:w="67" w:type="dxa"/>
              <w:right w:w="67" w:type="dxa"/>
            </w:tcMar>
          </w:tcPr>
          <w:p w:rsidR="00A54716" w:rsidRPr="00414031" w:rsidRDefault="00A54716" w:rsidP="0043255F">
            <w:pPr>
              <w:pStyle w:val="Tabletextcentred"/>
              <w:rPr>
                <w:sz w:val="22"/>
                <w:szCs w:val="22"/>
              </w:rPr>
            </w:pPr>
            <w:r w:rsidRPr="00414031">
              <w:rPr>
                <w:sz w:val="22"/>
                <w:szCs w:val="22"/>
              </w:rPr>
              <w:t>764</w:t>
            </w:r>
          </w:p>
        </w:tc>
        <w:tc>
          <w:tcPr>
            <w:tcW w:w="1015" w:type="pct"/>
            <w:tcBorders>
              <w:top w:val="nil"/>
              <w:left w:val="nil"/>
              <w:bottom w:val="nil"/>
              <w:right w:val="nil"/>
            </w:tcBorders>
            <w:shd w:val="clear" w:color="auto" w:fill="FFFFFF"/>
            <w:tcMar>
              <w:left w:w="67" w:type="dxa"/>
              <w:right w:w="67" w:type="dxa"/>
            </w:tcMar>
          </w:tcPr>
          <w:p w:rsidR="00A54716" w:rsidRPr="00414031" w:rsidRDefault="00A54716" w:rsidP="0043255F">
            <w:pPr>
              <w:pStyle w:val="Tabletextcentred"/>
              <w:rPr>
                <w:sz w:val="22"/>
                <w:szCs w:val="22"/>
              </w:rPr>
            </w:pPr>
            <w:r w:rsidRPr="00414031">
              <w:rPr>
                <w:sz w:val="22"/>
                <w:szCs w:val="22"/>
              </w:rPr>
              <w:t>1249</w:t>
            </w:r>
          </w:p>
        </w:tc>
        <w:tc>
          <w:tcPr>
            <w:tcW w:w="879" w:type="pct"/>
            <w:tcBorders>
              <w:top w:val="nil"/>
              <w:left w:val="nil"/>
              <w:bottom w:val="nil"/>
              <w:right w:val="nil"/>
            </w:tcBorders>
            <w:shd w:val="clear" w:color="auto" w:fill="FFFFFF"/>
          </w:tcPr>
          <w:p w:rsidR="00A54716" w:rsidRPr="00414031" w:rsidRDefault="00A54716" w:rsidP="0043255F">
            <w:pPr>
              <w:pStyle w:val="Tabletextcentred"/>
              <w:rPr>
                <w:sz w:val="22"/>
                <w:szCs w:val="22"/>
              </w:rPr>
            </w:pPr>
            <w:r w:rsidRPr="00414031">
              <w:rPr>
                <w:sz w:val="22"/>
                <w:szCs w:val="22"/>
              </w:rPr>
              <w:t>520</w:t>
            </w:r>
          </w:p>
        </w:tc>
        <w:tc>
          <w:tcPr>
            <w:tcW w:w="899" w:type="pct"/>
            <w:tcBorders>
              <w:top w:val="nil"/>
              <w:left w:val="nil"/>
              <w:bottom w:val="nil"/>
              <w:right w:val="nil"/>
            </w:tcBorders>
            <w:shd w:val="clear" w:color="auto" w:fill="FFFFFF"/>
            <w:tcMar>
              <w:left w:w="67" w:type="dxa"/>
              <w:right w:w="67" w:type="dxa"/>
            </w:tcMar>
          </w:tcPr>
          <w:p w:rsidR="00A54716" w:rsidRPr="00414031" w:rsidRDefault="00A54716" w:rsidP="0043255F">
            <w:pPr>
              <w:pStyle w:val="Tabletextcentred"/>
              <w:rPr>
                <w:sz w:val="22"/>
                <w:szCs w:val="22"/>
              </w:rPr>
            </w:pPr>
            <w:r w:rsidRPr="00414031">
              <w:rPr>
                <w:sz w:val="22"/>
                <w:szCs w:val="22"/>
              </w:rPr>
              <w:t>1017</w:t>
            </w:r>
          </w:p>
        </w:tc>
      </w:tr>
      <w:tr w:rsidR="00A91A8C" w:rsidRPr="00414031" w:rsidTr="00145443">
        <w:trPr>
          <w:cantSplit/>
          <w:jc w:val="center"/>
        </w:trPr>
        <w:tc>
          <w:tcPr>
            <w:tcW w:w="1326" w:type="pct"/>
            <w:tcBorders>
              <w:top w:val="nil"/>
              <w:left w:val="nil"/>
              <w:bottom w:val="nil"/>
              <w:right w:val="nil"/>
            </w:tcBorders>
            <w:shd w:val="clear" w:color="auto" w:fill="FFFFFF"/>
            <w:tcMar>
              <w:left w:w="67" w:type="dxa"/>
              <w:right w:w="67" w:type="dxa"/>
            </w:tcMar>
            <w:vAlign w:val="center"/>
          </w:tcPr>
          <w:p w:rsidR="0043255F" w:rsidRPr="00414031" w:rsidRDefault="0043255F" w:rsidP="00592058">
            <w:pPr>
              <w:pStyle w:val="Tableblurb"/>
              <w:jc w:val="left"/>
              <w:rPr>
                <w:sz w:val="22"/>
                <w:szCs w:val="22"/>
              </w:rPr>
            </w:pPr>
            <w:r w:rsidRPr="00414031">
              <w:rPr>
                <w:sz w:val="22"/>
                <w:szCs w:val="22"/>
              </w:rPr>
              <w:t>Percentage Share</w:t>
            </w:r>
          </w:p>
        </w:tc>
        <w:tc>
          <w:tcPr>
            <w:tcW w:w="881" w:type="pct"/>
            <w:tcBorders>
              <w:top w:val="nil"/>
              <w:left w:val="nil"/>
              <w:bottom w:val="nil"/>
              <w:right w:val="nil"/>
            </w:tcBorders>
            <w:shd w:val="clear" w:color="auto" w:fill="FFFFFF"/>
            <w:tcMar>
              <w:left w:w="67" w:type="dxa"/>
              <w:right w:w="67" w:type="dxa"/>
            </w:tcMar>
            <w:vAlign w:val="bottom"/>
          </w:tcPr>
          <w:p w:rsidR="0043255F" w:rsidRPr="00414031" w:rsidRDefault="0043255F" w:rsidP="00592058">
            <w:pPr>
              <w:spacing w:line="240" w:lineRule="auto"/>
              <w:ind w:firstLine="0"/>
              <w:jc w:val="center"/>
              <w:rPr>
                <w:rFonts w:cs="Times New Roman"/>
                <w:color w:val="000000"/>
              </w:rPr>
            </w:pPr>
            <w:r w:rsidRPr="00414031">
              <w:rPr>
                <w:rFonts w:cs="Times New Roman"/>
                <w:color w:val="000000"/>
                <w:sz w:val="22"/>
              </w:rPr>
              <w:t>21.5%</w:t>
            </w:r>
          </w:p>
        </w:tc>
        <w:tc>
          <w:tcPr>
            <w:tcW w:w="1015" w:type="pct"/>
            <w:tcBorders>
              <w:top w:val="nil"/>
              <w:left w:val="nil"/>
              <w:bottom w:val="nil"/>
              <w:right w:val="nil"/>
            </w:tcBorders>
            <w:shd w:val="clear" w:color="auto" w:fill="FFFFFF"/>
            <w:tcMar>
              <w:left w:w="67" w:type="dxa"/>
              <w:right w:w="67" w:type="dxa"/>
            </w:tcMar>
            <w:vAlign w:val="bottom"/>
          </w:tcPr>
          <w:p w:rsidR="0043255F" w:rsidRPr="00414031" w:rsidRDefault="0043255F" w:rsidP="00592058">
            <w:pPr>
              <w:spacing w:line="240" w:lineRule="auto"/>
              <w:ind w:firstLine="0"/>
              <w:jc w:val="center"/>
              <w:rPr>
                <w:rFonts w:cs="Times New Roman"/>
                <w:color w:val="000000"/>
              </w:rPr>
            </w:pPr>
            <w:r w:rsidRPr="00414031">
              <w:rPr>
                <w:rFonts w:cs="Times New Roman"/>
                <w:color w:val="000000"/>
                <w:sz w:val="22"/>
              </w:rPr>
              <w:t>35.2%</w:t>
            </w:r>
          </w:p>
        </w:tc>
        <w:tc>
          <w:tcPr>
            <w:tcW w:w="879" w:type="pct"/>
            <w:tcBorders>
              <w:top w:val="nil"/>
              <w:left w:val="nil"/>
              <w:bottom w:val="nil"/>
              <w:right w:val="nil"/>
            </w:tcBorders>
            <w:shd w:val="clear" w:color="auto" w:fill="FFFFFF"/>
            <w:vAlign w:val="bottom"/>
          </w:tcPr>
          <w:p w:rsidR="0043255F" w:rsidRPr="00414031" w:rsidRDefault="0043255F" w:rsidP="00592058">
            <w:pPr>
              <w:spacing w:line="240" w:lineRule="auto"/>
              <w:ind w:firstLine="0"/>
              <w:jc w:val="center"/>
              <w:rPr>
                <w:rFonts w:cs="Times New Roman"/>
                <w:color w:val="000000"/>
              </w:rPr>
            </w:pPr>
            <w:r w:rsidRPr="00414031">
              <w:rPr>
                <w:rFonts w:cs="Times New Roman"/>
                <w:color w:val="000000"/>
                <w:sz w:val="22"/>
              </w:rPr>
              <w:t>14.6%</w:t>
            </w:r>
          </w:p>
        </w:tc>
        <w:tc>
          <w:tcPr>
            <w:tcW w:w="899" w:type="pct"/>
            <w:tcBorders>
              <w:top w:val="nil"/>
              <w:left w:val="nil"/>
              <w:bottom w:val="nil"/>
              <w:right w:val="nil"/>
            </w:tcBorders>
            <w:shd w:val="clear" w:color="auto" w:fill="FFFFFF"/>
            <w:tcMar>
              <w:left w:w="67" w:type="dxa"/>
              <w:right w:w="67" w:type="dxa"/>
            </w:tcMar>
            <w:vAlign w:val="bottom"/>
          </w:tcPr>
          <w:p w:rsidR="0043255F" w:rsidRPr="00414031" w:rsidRDefault="0043255F" w:rsidP="00592058">
            <w:pPr>
              <w:spacing w:line="240" w:lineRule="auto"/>
              <w:ind w:firstLine="0"/>
              <w:jc w:val="center"/>
              <w:rPr>
                <w:rFonts w:cs="Times New Roman"/>
                <w:color w:val="000000"/>
              </w:rPr>
            </w:pPr>
            <w:r w:rsidRPr="00414031">
              <w:rPr>
                <w:rFonts w:cs="Times New Roman"/>
                <w:color w:val="000000"/>
                <w:sz w:val="22"/>
              </w:rPr>
              <w:t>28.6%</w:t>
            </w:r>
          </w:p>
        </w:tc>
      </w:tr>
      <w:tr w:rsidR="00A54716" w:rsidRPr="00414031" w:rsidTr="00145443">
        <w:trPr>
          <w:cantSplit/>
          <w:jc w:val="center"/>
        </w:trPr>
        <w:tc>
          <w:tcPr>
            <w:tcW w:w="1326" w:type="pct"/>
            <w:tcBorders>
              <w:top w:val="nil"/>
              <w:left w:val="nil"/>
              <w:bottom w:val="nil"/>
              <w:right w:val="nil"/>
            </w:tcBorders>
            <w:shd w:val="clear" w:color="auto" w:fill="FFFFFF"/>
            <w:tcMar>
              <w:left w:w="67" w:type="dxa"/>
              <w:right w:w="67" w:type="dxa"/>
            </w:tcMar>
            <w:vAlign w:val="center"/>
          </w:tcPr>
          <w:p w:rsidR="00A54716" w:rsidRPr="00414031" w:rsidRDefault="00A54716" w:rsidP="00423A9F">
            <w:pPr>
              <w:pStyle w:val="Tableblurb"/>
              <w:rPr>
                <w:sz w:val="22"/>
                <w:szCs w:val="22"/>
              </w:rPr>
            </w:pPr>
            <w:r w:rsidRPr="00414031">
              <w:rPr>
                <w:sz w:val="22"/>
                <w:szCs w:val="22"/>
              </w:rPr>
              <w:t>Standard Deviation</w:t>
            </w:r>
          </w:p>
        </w:tc>
        <w:tc>
          <w:tcPr>
            <w:tcW w:w="881" w:type="pct"/>
            <w:tcBorders>
              <w:top w:val="nil"/>
              <w:left w:val="nil"/>
              <w:bottom w:val="nil"/>
              <w:right w:val="nil"/>
            </w:tcBorders>
            <w:shd w:val="clear" w:color="auto" w:fill="FFFFFF"/>
            <w:tcMar>
              <w:left w:w="67" w:type="dxa"/>
              <w:right w:w="67" w:type="dxa"/>
            </w:tcMar>
          </w:tcPr>
          <w:p w:rsidR="00A54716" w:rsidRPr="00414031" w:rsidRDefault="00A54716" w:rsidP="0043255F">
            <w:pPr>
              <w:pStyle w:val="Tabletextcentred"/>
              <w:rPr>
                <w:sz w:val="22"/>
                <w:szCs w:val="22"/>
              </w:rPr>
            </w:pPr>
            <w:r w:rsidRPr="00414031">
              <w:rPr>
                <w:sz w:val="22"/>
                <w:szCs w:val="22"/>
              </w:rPr>
              <w:t>1130</w:t>
            </w:r>
          </w:p>
        </w:tc>
        <w:tc>
          <w:tcPr>
            <w:tcW w:w="1015" w:type="pct"/>
            <w:tcBorders>
              <w:top w:val="nil"/>
              <w:left w:val="nil"/>
              <w:bottom w:val="nil"/>
              <w:right w:val="nil"/>
            </w:tcBorders>
            <w:shd w:val="clear" w:color="auto" w:fill="FFFFFF"/>
            <w:tcMar>
              <w:left w:w="67" w:type="dxa"/>
              <w:right w:w="67" w:type="dxa"/>
            </w:tcMar>
          </w:tcPr>
          <w:p w:rsidR="00A54716" w:rsidRPr="00414031" w:rsidRDefault="0043255F" w:rsidP="0043255F">
            <w:pPr>
              <w:pStyle w:val="Tabletextcentred"/>
              <w:rPr>
                <w:sz w:val="22"/>
                <w:szCs w:val="22"/>
              </w:rPr>
            </w:pPr>
            <w:r w:rsidRPr="00414031">
              <w:rPr>
                <w:sz w:val="22"/>
                <w:szCs w:val="22"/>
              </w:rPr>
              <w:t>1798</w:t>
            </w:r>
          </w:p>
        </w:tc>
        <w:tc>
          <w:tcPr>
            <w:tcW w:w="879" w:type="pct"/>
            <w:tcBorders>
              <w:top w:val="nil"/>
              <w:left w:val="nil"/>
              <w:bottom w:val="nil"/>
              <w:right w:val="nil"/>
            </w:tcBorders>
            <w:shd w:val="clear" w:color="auto" w:fill="FFFFFF"/>
          </w:tcPr>
          <w:p w:rsidR="00A54716" w:rsidRPr="00414031" w:rsidRDefault="00A54716" w:rsidP="00414031">
            <w:pPr>
              <w:pStyle w:val="Tabletextcentred"/>
              <w:rPr>
                <w:sz w:val="22"/>
                <w:szCs w:val="22"/>
              </w:rPr>
            </w:pPr>
            <w:r w:rsidRPr="00414031">
              <w:rPr>
                <w:sz w:val="22"/>
                <w:szCs w:val="22"/>
              </w:rPr>
              <w:t>578</w:t>
            </w:r>
          </w:p>
        </w:tc>
        <w:tc>
          <w:tcPr>
            <w:tcW w:w="899" w:type="pct"/>
            <w:tcBorders>
              <w:top w:val="nil"/>
              <w:left w:val="nil"/>
              <w:bottom w:val="nil"/>
              <w:right w:val="nil"/>
            </w:tcBorders>
            <w:shd w:val="clear" w:color="auto" w:fill="FFFFFF"/>
            <w:tcMar>
              <w:left w:w="67" w:type="dxa"/>
              <w:right w:w="67" w:type="dxa"/>
            </w:tcMar>
          </w:tcPr>
          <w:p w:rsidR="00A54716" w:rsidRPr="00414031" w:rsidRDefault="00A54716" w:rsidP="0043255F">
            <w:pPr>
              <w:pStyle w:val="Tabletextcentred"/>
              <w:rPr>
                <w:sz w:val="22"/>
                <w:szCs w:val="22"/>
              </w:rPr>
            </w:pPr>
            <w:r w:rsidRPr="00414031">
              <w:rPr>
                <w:sz w:val="22"/>
                <w:szCs w:val="22"/>
              </w:rPr>
              <w:t>123</w:t>
            </w:r>
            <w:r w:rsidR="0043255F" w:rsidRPr="00414031">
              <w:rPr>
                <w:sz w:val="22"/>
                <w:szCs w:val="22"/>
              </w:rPr>
              <w:t>4</w:t>
            </w:r>
          </w:p>
        </w:tc>
      </w:tr>
      <w:tr w:rsidR="00A54716" w:rsidRPr="00414031" w:rsidTr="00145443">
        <w:trPr>
          <w:cantSplit/>
          <w:jc w:val="center"/>
        </w:trPr>
        <w:tc>
          <w:tcPr>
            <w:tcW w:w="1326" w:type="pct"/>
            <w:tcBorders>
              <w:top w:val="nil"/>
              <w:left w:val="nil"/>
              <w:right w:val="nil"/>
            </w:tcBorders>
            <w:shd w:val="clear" w:color="auto" w:fill="FFFFFF"/>
            <w:tcMar>
              <w:left w:w="67" w:type="dxa"/>
              <w:right w:w="67" w:type="dxa"/>
            </w:tcMar>
            <w:vAlign w:val="center"/>
          </w:tcPr>
          <w:p w:rsidR="00A54716" w:rsidRPr="00414031" w:rsidRDefault="00A54716" w:rsidP="00423A9F">
            <w:pPr>
              <w:pStyle w:val="Tableblurb"/>
              <w:rPr>
                <w:sz w:val="22"/>
                <w:szCs w:val="22"/>
              </w:rPr>
            </w:pPr>
            <w:r w:rsidRPr="00414031">
              <w:rPr>
                <w:sz w:val="22"/>
                <w:szCs w:val="22"/>
              </w:rPr>
              <w:t>Skewness</w:t>
            </w:r>
          </w:p>
        </w:tc>
        <w:tc>
          <w:tcPr>
            <w:tcW w:w="881" w:type="pct"/>
            <w:tcBorders>
              <w:top w:val="nil"/>
              <w:left w:val="nil"/>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1.63</w:t>
            </w:r>
          </w:p>
        </w:tc>
        <w:tc>
          <w:tcPr>
            <w:tcW w:w="1015" w:type="pct"/>
            <w:tcBorders>
              <w:top w:val="nil"/>
              <w:left w:val="nil"/>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1.46</w:t>
            </w:r>
          </w:p>
        </w:tc>
        <w:tc>
          <w:tcPr>
            <w:tcW w:w="879" w:type="pct"/>
            <w:tcBorders>
              <w:top w:val="nil"/>
              <w:left w:val="nil"/>
              <w:right w:val="nil"/>
            </w:tcBorders>
            <w:shd w:val="clear" w:color="auto" w:fill="FFFFFF"/>
          </w:tcPr>
          <w:p w:rsidR="00A54716" w:rsidRPr="00414031" w:rsidRDefault="00A54716">
            <w:pPr>
              <w:pStyle w:val="Tabletextcentred"/>
              <w:rPr>
                <w:sz w:val="22"/>
                <w:szCs w:val="22"/>
              </w:rPr>
            </w:pPr>
            <w:r w:rsidRPr="00414031">
              <w:rPr>
                <w:sz w:val="22"/>
                <w:szCs w:val="22"/>
              </w:rPr>
              <w:t>2.11</w:t>
            </w:r>
          </w:p>
        </w:tc>
        <w:tc>
          <w:tcPr>
            <w:tcW w:w="899" w:type="pct"/>
            <w:tcBorders>
              <w:top w:val="nil"/>
              <w:left w:val="nil"/>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1.55</w:t>
            </w:r>
          </w:p>
        </w:tc>
      </w:tr>
      <w:tr w:rsidR="00A54716" w:rsidRPr="00414031" w:rsidTr="00145443">
        <w:trPr>
          <w:cantSplit/>
          <w:jc w:val="center"/>
        </w:trPr>
        <w:tc>
          <w:tcPr>
            <w:tcW w:w="1326" w:type="pct"/>
            <w:tcBorders>
              <w:top w:val="nil"/>
              <w:left w:val="nil"/>
              <w:bottom w:val="single" w:sz="4" w:space="0" w:color="auto"/>
              <w:right w:val="nil"/>
            </w:tcBorders>
            <w:shd w:val="clear" w:color="auto" w:fill="FFFFFF"/>
            <w:tcMar>
              <w:left w:w="67" w:type="dxa"/>
              <w:right w:w="67" w:type="dxa"/>
            </w:tcMar>
            <w:vAlign w:val="center"/>
          </w:tcPr>
          <w:p w:rsidR="00A54716" w:rsidRPr="00414031" w:rsidRDefault="00A54716" w:rsidP="00423A9F">
            <w:pPr>
              <w:pStyle w:val="Tableblurb"/>
              <w:rPr>
                <w:sz w:val="22"/>
                <w:szCs w:val="22"/>
              </w:rPr>
            </w:pPr>
            <w:r w:rsidRPr="00414031">
              <w:rPr>
                <w:sz w:val="22"/>
                <w:szCs w:val="22"/>
              </w:rPr>
              <w:t>Kurtosis</w:t>
            </w:r>
          </w:p>
        </w:tc>
        <w:tc>
          <w:tcPr>
            <w:tcW w:w="881" w:type="pct"/>
            <w:tcBorders>
              <w:top w:val="nil"/>
              <w:left w:val="nil"/>
              <w:bottom w:val="single" w:sz="4" w:space="0" w:color="auto"/>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2.23</w:t>
            </w:r>
          </w:p>
        </w:tc>
        <w:tc>
          <w:tcPr>
            <w:tcW w:w="1015" w:type="pct"/>
            <w:tcBorders>
              <w:top w:val="nil"/>
              <w:left w:val="nil"/>
              <w:bottom w:val="single" w:sz="4" w:space="0" w:color="auto"/>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1.26</w:t>
            </w:r>
          </w:p>
        </w:tc>
        <w:tc>
          <w:tcPr>
            <w:tcW w:w="879" w:type="pct"/>
            <w:tcBorders>
              <w:top w:val="nil"/>
              <w:left w:val="nil"/>
              <w:bottom w:val="single" w:sz="4" w:space="0" w:color="auto"/>
              <w:right w:val="nil"/>
            </w:tcBorders>
            <w:shd w:val="clear" w:color="auto" w:fill="FFFFFF"/>
          </w:tcPr>
          <w:p w:rsidR="00A54716" w:rsidRPr="00414031" w:rsidRDefault="00A54716">
            <w:pPr>
              <w:pStyle w:val="Tabletextcentred"/>
              <w:rPr>
                <w:sz w:val="22"/>
                <w:szCs w:val="22"/>
              </w:rPr>
            </w:pPr>
            <w:r w:rsidRPr="00414031">
              <w:rPr>
                <w:sz w:val="22"/>
                <w:szCs w:val="22"/>
              </w:rPr>
              <w:t>6.86</w:t>
            </w:r>
          </w:p>
        </w:tc>
        <w:tc>
          <w:tcPr>
            <w:tcW w:w="899" w:type="pct"/>
            <w:tcBorders>
              <w:top w:val="nil"/>
              <w:left w:val="nil"/>
              <w:bottom w:val="single" w:sz="4" w:space="0" w:color="auto"/>
              <w:right w:val="nil"/>
            </w:tcBorders>
            <w:shd w:val="clear" w:color="auto" w:fill="FFFFFF"/>
            <w:tcMar>
              <w:left w:w="67" w:type="dxa"/>
              <w:right w:w="67" w:type="dxa"/>
            </w:tcMar>
          </w:tcPr>
          <w:p w:rsidR="00A54716" w:rsidRPr="00414031" w:rsidRDefault="00A54716">
            <w:pPr>
              <w:pStyle w:val="Tabletextcentred"/>
              <w:rPr>
                <w:sz w:val="22"/>
                <w:szCs w:val="22"/>
              </w:rPr>
            </w:pPr>
            <w:r w:rsidRPr="00414031">
              <w:rPr>
                <w:sz w:val="22"/>
                <w:szCs w:val="22"/>
              </w:rPr>
              <w:t>1.67</w:t>
            </w:r>
          </w:p>
        </w:tc>
      </w:tr>
    </w:tbl>
    <w:p w:rsidR="008E2142" w:rsidRDefault="008E2142" w:rsidP="006D4AE8">
      <w:pPr>
        <w:pStyle w:val="Tableblurb"/>
        <w:rPr>
          <w:b/>
        </w:rPr>
      </w:pPr>
    </w:p>
    <w:p w:rsidR="003703FF" w:rsidRPr="001F720B" w:rsidRDefault="00A75D0F" w:rsidP="003703FF">
      <w:pPr>
        <w:pStyle w:val="Caption"/>
      </w:pPr>
      <w:r w:rsidRPr="00E05D0F">
        <w:rPr>
          <w:rFonts w:cs="Times New Roman"/>
          <w:sz w:val="20"/>
          <w:szCs w:val="20"/>
        </w:rPr>
        <w:br w:type="page"/>
      </w:r>
      <w:bookmarkStart w:id="52" w:name="_Toc372151010"/>
      <w:bookmarkStart w:id="53" w:name="_Toc372152796"/>
      <w:bookmarkStart w:id="54" w:name="_Toc371977567"/>
      <w:bookmarkStart w:id="55" w:name="_Toc372151011"/>
      <w:bookmarkStart w:id="56" w:name="_Toc372152797"/>
      <w:r w:rsidR="003703FF" w:rsidRPr="001F720B">
        <w:lastRenderedPageBreak/>
        <w:t xml:space="preserve">Table </w:t>
      </w:r>
      <w:r w:rsidR="00DE0407">
        <w:t>III</w:t>
      </w:r>
      <w:bookmarkEnd w:id="52"/>
      <w:bookmarkEnd w:id="53"/>
    </w:p>
    <w:p w:rsidR="003703FF" w:rsidRDefault="003703FF" w:rsidP="003703FF">
      <w:pPr>
        <w:pStyle w:val="Caption"/>
        <w:spacing w:after="240"/>
        <w:rPr>
          <w:rFonts w:cs="Times New Roman"/>
          <w:szCs w:val="24"/>
        </w:rPr>
      </w:pPr>
      <w:r w:rsidRPr="000A3439">
        <w:rPr>
          <w:rFonts w:cs="Times New Roman"/>
          <w:szCs w:val="24"/>
        </w:rPr>
        <w:t xml:space="preserve">Average Daily </w:t>
      </w:r>
      <w:r w:rsidR="001671F0">
        <w:rPr>
          <w:rFonts w:cs="Times New Roman"/>
          <w:szCs w:val="24"/>
        </w:rPr>
        <w:t>Information Shares</w:t>
      </w:r>
    </w:p>
    <w:p w:rsidR="00A54716" w:rsidRDefault="003703FF" w:rsidP="003E6367">
      <w:pPr>
        <w:pStyle w:val="Tabletextleft"/>
        <w:spacing w:line="240" w:lineRule="auto"/>
        <w:jc w:val="both"/>
      </w:pPr>
      <w:r w:rsidRPr="00D476D3">
        <w:t xml:space="preserve">This table </w:t>
      </w:r>
      <w:r w:rsidR="00401D00">
        <w:t>reports</w:t>
      </w:r>
      <w:r w:rsidRPr="00D476D3">
        <w:t xml:space="preserve"> the average daily</w:t>
      </w:r>
      <w:r>
        <w:t xml:space="preserve"> </w:t>
      </w:r>
      <w:r w:rsidRPr="00D476D3">
        <w:t>informatio</w:t>
      </w:r>
      <w:r>
        <w:t xml:space="preserve">n </w:t>
      </w:r>
      <w:r w:rsidR="00BC4DDE">
        <w:t xml:space="preserve">shares </w:t>
      </w:r>
      <w:r>
        <w:t>for Asia, Europe</w:t>
      </w:r>
      <w:r w:rsidR="00707954">
        <w:t xml:space="preserve">, </w:t>
      </w:r>
      <w:r w:rsidR="002C08E3">
        <w:t>London/N</w:t>
      </w:r>
      <w:r w:rsidR="007977A0">
        <w:t>ew York</w:t>
      </w:r>
      <w:r w:rsidRPr="00D476D3">
        <w:t xml:space="preserve"> and U.S.</w:t>
      </w:r>
      <w:r w:rsidR="00401D00">
        <w:t xml:space="preserve"> in the gold </w:t>
      </w:r>
      <w:r w:rsidR="00050D20">
        <w:t>OTC</w:t>
      </w:r>
      <w:r w:rsidR="00401D00">
        <w:t xml:space="preserve"> market</w:t>
      </w:r>
      <w:r w:rsidR="00050D20">
        <w:t xml:space="preserve">. </w:t>
      </w:r>
      <w:r w:rsidR="00BC4DDE">
        <w:t>The</w:t>
      </w:r>
      <w:r w:rsidR="00BC4DDE" w:rsidRPr="00D33B54">
        <w:t xml:space="preserve"> </w:t>
      </w:r>
      <w:r w:rsidR="00BC4DDE" w:rsidRPr="00D33B54">
        <w:rPr>
          <w:i/>
        </w:rPr>
        <w:t>t-</w:t>
      </w:r>
      <w:r w:rsidR="00BC4DDE" w:rsidRPr="00BC4DDE">
        <w:t>statistic</w:t>
      </w:r>
      <w:r w:rsidR="00BC4DDE">
        <w:t>s are in the square brackets with asterisks ***, **, and</w:t>
      </w:r>
      <w:r w:rsidR="00BC4DDE" w:rsidRPr="00BC4DDE">
        <w:t xml:space="preserve"> </w:t>
      </w:r>
      <w:r w:rsidR="00BC4DDE" w:rsidRPr="00D33B54">
        <w:t>*</w:t>
      </w:r>
      <w:r w:rsidR="00BC4DDE">
        <w:t xml:space="preserve"> indicating s</w:t>
      </w:r>
      <w:r w:rsidR="00BC4DDE" w:rsidRPr="00D33B54">
        <w:t xml:space="preserve">ignificant at </w:t>
      </w:r>
      <w:r w:rsidR="00BC4DDE">
        <w:t xml:space="preserve">1%, 5%, and </w:t>
      </w:r>
      <w:r w:rsidR="00BC4DDE" w:rsidRPr="00D33B54">
        <w:t>10%</w:t>
      </w:r>
      <w:r w:rsidR="00BC4DDE">
        <w:t xml:space="preserve"> respectively. </w:t>
      </w:r>
      <w:r w:rsidR="00DC6831">
        <w:t xml:space="preserve"> </w:t>
      </w:r>
      <w:r w:rsidR="00050D20">
        <w:t>The</w:t>
      </w:r>
      <w:r w:rsidR="00225D59">
        <w:t xml:space="preserve"> t-statistics </w:t>
      </w:r>
      <w:r w:rsidR="00050D20">
        <w:t xml:space="preserve">for each year and the full sample </w:t>
      </w:r>
      <w:r w:rsidR="00225D59">
        <w:t xml:space="preserve">are </w:t>
      </w:r>
      <w:r w:rsidR="00050D20">
        <w:t>based on the standard deviation of</w:t>
      </w:r>
      <w:r w:rsidR="00225D59">
        <w:t xml:space="preserve"> daily information shares.  The </w:t>
      </w:r>
      <w:r w:rsidR="00225D59" w:rsidRPr="00373E9E">
        <w:rPr>
          <w:i/>
        </w:rPr>
        <w:t>t</w:t>
      </w:r>
      <w:r w:rsidR="00225D59">
        <w:t xml:space="preserve">-statistics for the average per-hour information share are based on </w:t>
      </w:r>
      <w:r w:rsidR="00535376">
        <w:t xml:space="preserve">the standard deviations </w:t>
      </w:r>
      <w:r w:rsidR="00050D20">
        <w:t xml:space="preserve">of the annual information shares </w:t>
      </w:r>
      <w:r w:rsidR="00535376">
        <w:t xml:space="preserve">divided by the square root of the number of hours in each market.   </w:t>
      </w:r>
    </w:p>
    <w:p w:rsidR="00A54716" w:rsidRDefault="00A54716" w:rsidP="003E6367">
      <w:pPr>
        <w:pStyle w:val="Tabletextleft"/>
        <w:spacing w:line="240" w:lineRule="auto"/>
        <w:jc w:val="both"/>
      </w:pPr>
    </w:p>
    <w:tbl>
      <w:tblPr>
        <w:tblW w:w="4688" w:type="pct"/>
        <w:jc w:val="center"/>
        <w:tblLayout w:type="fixed"/>
        <w:tblLook w:val="04A0" w:firstRow="1" w:lastRow="0" w:firstColumn="1" w:lastColumn="0" w:noHBand="0" w:noVBand="1"/>
      </w:tblPr>
      <w:tblGrid>
        <w:gridCol w:w="1644"/>
        <w:gridCol w:w="851"/>
        <w:gridCol w:w="447"/>
        <w:gridCol w:w="1276"/>
        <w:gridCol w:w="635"/>
        <w:gridCol w:w="1491"/>
        <w:gridCol w:w="1456"/>
        <w:gridCol w:w="954"/>
        <w:gridCol w:w="486"/>
      </w:tblGrid>
      <w:tr w:rsidR="007977A0" w:rsidRPr="00A54716" w:rsidTr="00E9071B">
        <w:trPr>
          <w:trHeight w:hRule="exact" w:val="284"/>
          <w:jc w:val="center"/>
        </w:trPr>
        <w:tc>
          <w:tcPr>
            <w:tcW w:w="1644" w:type="dxa"/>
            <w:tcBorders>
              <w:top w:val="single" w:sz="4" w:space="0" w:color="auto"/>
              <w:left w:val="nil"/>
              <w:bottom w:val="single" w:sz="4" w:space="0" w:color="auto"/>
              <w:right w:val="nil"/>
            </w:tcBorders>
            <w:shd w:val="clear" w:color="auto" w:fill="auto"/>
            <w:noWrap/>
            <w:vAlign w:val="center"/>
            <w:hideMark/>
          </w:tcPr>
          <w:p w:rsidR="007977A0" w:rsidRPr="00A54716" w:rsidRDefault="007977A0" w:rsidP="00A54716">
            <w:pPr>
              <w:spacing w:line="240" w:lineRule="auto"/>
              <w:jc w:val="left"/>
              <w:rPr>
                <w:rFonts w:eastAsia="Times New Roman" w:cs="Times New Roman"/>
                <w:color w:val="000000"/>
                <w:sz w:val="20"/>
                <w:szCs w:val="20"/>
                <w:lang w:val="en-US"/>
              </w:rPr>
            </w:pPr>
          </w:p>
        </w:tc>
        <w:tc>
          <w:tcPr>
            <w:tcW w:w="851" w:type="dxa"/>
            <w:tcBorders>
              <w:top w:val="single" w:sz="4" w:space="0" w:color="auto"/>
              <w:left w:val="nil"/>
              <w:bottom w:val="single" w:sz="4" w:space="0" w:color="auto"/>
              <w:right w:val="nil"/>
            </w:tcBorders>
            <w:vAlign w:val="center"/>
          </w:tcPr>
          <w:p w:rsidR="007977A0" w:rsidRPr="00A54716" w:rsidRDefault="007977A0">
            <w:pPr>
              <w:pStyle w:val="Tabletextcentredbold"/>
            </w:pPr>
            <w:r w:rsidRPr="00A54716">
              <w:t>Asia</w:t>
            </w:r>
          </w:p>
        </w:tc>
        <w:tc>
          <w:tcPr>
            <w:tcW w:w="447" w:type="dxa"/>
            <w:tcBorders>
              <w:top w:val="single" w:sz="4" w:space="0" w:color="auto"/>
              <w:left w:val="nil"/>
              <w:bottom w:val="single" w:sz="4" w:space="0" w:color="auto"/>
              <w:right w:val="nil"/>
            </w:tcBorders>
            <w:vAlign w:val="center"/>
          </w:tcPr>
          <w:p w:rsidR="007977A0" w:rsidRPr="00A54716" w:rsidRDefault="007977A0" w:rsidP="00A54716">
            <w:pPr>
              <w:pStyle w:val="Tabletextcentredbold"/>
              <w:jc w:val="left"/>
            </w:pPr>
          </w:p>
        </w:tc>
        <w:tc>
          <w:tcPr>
            <w:tcW w:w="1276" w:type="dxa"/>
            <w:tcBorders>
              <w:top w:val="single" w:sz="4" w:space="0" w:color="auto"/>
              <w:left w:val="nil"/>
              <w:bottom w:val="single" w:sz="4" w:space="0" w:color="auto"/>
              <w:right w:val="nil"/>
            </w:tcBorders>
            <w:shd w:val="clear" w:color="auto" w:fill="auto"/>
            <w:noWrap/>
            <w:vAlign w:val="center"/>
            <w:hideMark/>
          </w:tcPr>
          <w:p w:rsidR="007977A0" w:rsidRPr="00A54716" w:rsidRDefault="007977A0" w:rsidP="00A54716">
            <w:pPr>
              <w:pStyle w:val="Tabletextcentredbold"/>
            </w:pPr>
            <w:r w:rsidRPr="00A54716">
              <w:t>Europe</w:t>
            </w:r>
          </w:p>
        </w:tc>
        <w:tc>
          <w:tcPr>
            <w:tcW w:w="635" w:type="dxa"/>
            <w:tcBorders>
              <w:top w:val="single" w:sz="4" w:space="0" w:color="auto"/>
              <w:left w:val="nil"/>
              <w:bottom w:val="single" w:sz="4" w:space="0" w:color="auto"/>
              <w:right w:val="nil"/>
            </w:tcBorders>
            <w:shd w:val="clear" w:color="auto" w:fill="auto"/>
            <w:vAlign w:val="center"/>
            <w:hideMark/>
          </w:tcPr>
          <w:p w:rsidR="007977A0" w:rsidRPr="00A54716" w:rsidRDefault="007977A0" w:rsidP="00A54716">
            <w:pPr>
              <w:pStyle w:val="Tabletextcentredbold"/>
              <w:jc w:val="left"/>
            </w:pPr>
          </w:p>
        </w:tc>
        <w:tc>
          <w:tcPr>
            <w:tcW w:w="2947" w:type="dxa"/>
            <w:gridSpan w:val="2"/>
            <w:tcBorders>
              <w:top w:val="single" w:sz="4" w:space="0" w:color="auto"/>
              <w:left w:val="nil"/>
              <w:bottom w:val="single" w:sz="4" w:space="0" w:color="auto"/>
              <w:right w:val="nil"/>
            </w:tcBorders>
            <w:vAlign w:val="center"/>
          </w:tcPr>
          <w:p w:rsidR="00E9071B" w:rsidRDefault="007977A0">
            <w:pPr>
              <w:pStyle w:val="Tabletextcentredbold"/>
              <w:jc w:val="left"/>
            </w:pPr>
            <w:r w:rsidRPr="00A54716">
              <w:t>London/</w:t>
            </w:r>
            <w:r>
              <w:t>New York</w:t>
            </w:r>
          </w:p>
        </w:tc>
        <w:tc>
          <w:tcPr>
            <w:tcW w:w="954" w:type="dxa"/>
            <w:tcBorders>
              <w:top w:val="single" w:sz="4" w:space="0" w:color="auto"/>
              <w:left w:val="nil"/>
              <w:bottom w:val="single" w:sz="4" w:space="0" w:color="auto"/>
              <w:right w:val="nil"/>
            </w:tcBorders>
            <w:shd w:val="clear" w:color="auto" w:fill="auto"/>
            <w:vAlign w:val="center"/>
          </w:tcPr>
          <w:p w:rsidR="007977A0" w:rsidRPr="00A54716" w:rsidRDefault="007977A0" w:rsidP="00A54716">
            <w:pPr>
              <w:pStyle w:val="Tabletextcentredbold"/>
            </w:pPr>
            <w:r w:rsidRPr="00A54716">
              <w:t>U.S.</w:t>
            </w:r>
          </w:p>
        </w:tc>
        <w:tc>
          <w:tcPr>
            <w:tcW w:w="486" w:type="dxa"/>
            <w:tcBorders>
              <w:top w:val="single" w:sz="4" w:space="0" w:color="auto"/>
              <w:left w:val="nil"/>
              <w:bottom w:val="single" w:sz="4" w:space="0" w:color="auto"/>
              <w:right w:val="nil"/>
            </w:tcBorders>
            <w:shd w:val="clear" w:color="auto" w:fill="auto"/>
            <w:vAlign w:val="center"/>
            <w:hideMark/>
          </w:tcPr>
          <w:p w:rsidR="007977A0" w:rsidRPr="00A54716" w:rsidRDefault="007977A0" w:rsidP="00A54716">
            <w:pPr>
              <w:pStyle w:val="Tabletextcentredbold"/>
            </w:pPr>
          </w:p>
        </w:tc>
      </w:tr>
      <w:tr w:rsidR="00BE5B7B" w:rsidRPr="00A54716" w:rsidTr="00BE5B7B">
        <w:trPr>
          <w:trHeight w:hRule="exact" w:val="284"/>
          <w:jc w:val="center"/>
        </w:trPr>
        <w:tc>
          <w:tcPr>
            <w:tcW w:w="1644" w:type="dxa"/>
            <w:tcBorders>
              <w:top w:val="single" w:sz="4" w:space="0" w:color="auto"/>
              <w:left w:val="nil"/>
              <w:right w:val="nil"/>
            </w:tcBorders>
            <w:shd w:val="clear" w:color="auto" w:fill="auto"/>
            <w:noWrap/>
            <w:vAlign w:val="center"/>
            <w:hideMark/>
          </w:tcPr>
          <w:p w:rsidR="00A54716" w:rsidRPr="00A54716" w:rsidRDefault="00A54716" w:rsidP="00A54716">
            <w:pPr>
              <w:ind w:firstLine="0"/>
              <w:jc w:val="left"/>
              <w:rPr>
                <w:rFonts w:eastAsia="Times New Roman" w:cs="Times New Roman"/>
                <w:color w:val="000000"/>
                <w:sz w:val="20"/>
                <w:szCs w:val="20"/>
                <w:lang w:val="en-US"/>
              </w:rPr>
            </w:pPr>
            <w:r w:rsidRPr="00A54716">
              <w:rPr>
                <w:rFonts w:eastAsia="Times New Roman" w:cs="Times New Roman"/>
                <w:color w:val="000000"/>
                <w:sz w:val="20"/>
                <w:szCs w:val="20"/>
                <w:lang w:val="en-US"/>
              </w:rPr>
              <w:t>Full Sample</w:t>
            </w:r>
          </w:p>
        </w:tc>
        <w:tc>
          <w:tcPr>
            <w:tcW w:w="851" w:type="dxa"/>
            <w:tcBorders>
              <w:top w:val="single" w:sz="4" w:space="0" w:color="auto"/>
              <w:left w:val="nil"/>
              <w:right w:val="nil"/>
            </w:tcBorders>
            <w:vAlign w:val="bottom"/>
          </w:tcPr>
          <w:p w:rsidR="00E9071B" w:rsidRDefault="00BC5246">
            <w:pPr>
              <w:pStyle w:val="Tabletextright"/>
              <w:jc w:val="center"/>
            </w:pPr>
            <w:r w:rsidRPr="00BC5246">
              <w:t>0.17</w:t>
            </w:r>
          </w:p>
        </w:tc>
        <w:tc>
          <w:tcPr>
            <w:tcW w:w="447" w:type="dxa"/>
            <w:tcBorders>
              <w:top w:val="single" w:sz="4" w:space="0" w:color="auto"/>
              <w:left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single" w:sz="4" w:space="0" w:color="auto"/>
              <w:left w:val="nil"/>
              <w:right w:val="nil"/>
            </w:tcBorders>
            <w:shd w:val="clear" w:color="auto" w:fill="auto"/>
            <w:noWrap/>
            <w:vAlign w:val="bottom"/>
            <w:hideMark/>
          </w:tcPr>
          <w:p w:rsidR="00A54716" w:rsidRPr="00A54716" w:rsidRDefault="00BC5246" w:rsidP="00A54716">
            <w:pPr>
              <w:pStyle w:val="Tabletextright"/>
            </w:pPr>
            <w:r w:rsidRPr="00BC5246">
              <w:t>0.31</w:t>
            </w:r>
          </w:p>
        </w:tc>
        <w:tc>
          <w:tcPr>
            <w:tcW w:w="635" w:type="dxa"/>
            <w:tcBorders>
              <w:top w:val="single" w:sz="4" w:space="0" w:color="auto"/>
              <w:left w:val="nil"/>
              <w:right w:val="nil"/>
            </w:tcBorders>
            <w:shd w:val="clear" w:color="auto" w:fill="auto"/>
            <w:vAlign w:val="bottom"/>
            <w:hideMark/>
          </w:tcPr>
          <w:p w:rsidR="00A54716" w:rsidRPr="00A54716" w:rsidRDefault="00BC5246" w:rsidP="00A54716">
            <w:pPr>
              <w:pStyle w:val="Tabletextleft"/>
            </w:pPr>
            <w:r w:rsidRPr="00BC5246">
              <w:rPr>
                <w:color w:val="000000"/>
              </w:rPr>
              <w:t>***</w:t>
            </w:r>
          </w:p>
        </w:tc>
        <w:tc>
          <w:tcPr>
            <w:tcW w:w="1491" w:type="dxa"/>
            <w:tcBorders>
              <w:top w:val="single" w:sz="4" w:space="0" w:color="auto"/>
              <w:left w:val="nil"/>
              <w:right w:val="nil"/>
            </w:tcBorders>
            <w:vAlign w:val="bottom"/>
          </w:tcPr>
          <w:p w:rsidR="00A54716" w:rsidRPr="00A54716" w:rsidRDefault="00BC5246" w:rsidP="00A54716">
            <w:pPr>
              <w:pStyle w:val="Tabletextright"/>
            </w:pPr>
            <w:r w:rsidRPr="00BC5246">
              <w:t>0.22</w:t>
            </w:r>
          </w:p>
        </w:tc>
        <w:tc>
          <w:tcPr>
            <w:tcW w:w="1456" w:type="dxa"/>
            <w:tcBorders>
              <w:top w:val="single" w:sz="4" w:space="0" w:color="auto"/>
              <w:left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single" w:sz="4" w:space="0" w:color="auto"/>
              <w:left w:val="nil"/>
              <w:right w:val="nil"/>
            </w:tcBorders>
            <w:shd w:val="clear" w:color="auto" w:fill="auto"/>
            <w:vAlign w:val="bottom"/>
          </w:tcPr>
          <w:p w:rsidR="00A54716" w:rsidRPr="00A54716" w:rsidRDefault="00BC5246" w:rsidP="00A54716">
            <w:pPr>
              <w:pStyle w:val="Tabletextright"/>
            </w:pPr>
            <w:r w:rsidRPr="00BC5246">
              <w:t>0.3</w:t>
            </w:r>
          </w:p>
        </w:tc>
        <w:tc>
          <w:tcPr>
            <w:tcW w:w="486" w:type="dxa"/>
            <w:tcBorders>
              <w:top w:val="single" w:sz="4" w:space="0" w:color="auto"/>
              <w:left w:val="nil"/>
              <w:right w:val="nil"/>
            </w:tcBorders>
            <w:shd w:val="clear" w:color="auto" w:fill="auto"/>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left w:val="nil"/>
              <w:bottom w:val="single" w:sz="4" w:space="0" w:color="auto"/>
              <w:right w:val="nil"/>
            </w:tcBorders>
            <w:shd w:val="clear" w:color="auto" w:fill="auto"/>
            <w:noWrap/>
            <w:vAlign w:val="center"/>
            <w:hideMark/>
          </w:tcPr>
          <w:p w:rsidR="00A54716" w:rsidRPr="00A54716" w:rsidRDefault="00A54716" w:rsidP="00A54716">
            <w:pPr>
              <w:ind w:firstLine="0"/>
              <w:jc w:val="left"/>
              <w:rPr>
                <w:rFonts w:eastAsia="Times New Roman" w:cs="Times New Roman"/>
                <w:color w:val="000000"/>
                <w:sz w:val="20"/>
                <w:szCs w:val="20"/>
                <w:lang w:val="en-US"/>
              </w:rPr>
            </w:pPr>
          </w:p>
        </w:tc>
        <w:tc>
          <w:tcPr>
            <w:tcW w:w="851" w:type="dxa"/>
            <w:tcBorders>
              <w:left w:val="nil"/>
              <w:bottom w:val="single" w:sz="4" w:space="0" w:color="auto"/>
              <w:right w:val="nil"/>
            </w:tcBorders>
            <w:vAlign w:val="bottom"/>
          </w:tcPr>
          <w:p w:rsidR="00E9071B" w:rsidRDefault="00BC5246">
            <w:pPr>
              <w:pStyle w:val="Tabletextright"/>
              <w:jc w:val="center"/>
            </w:pPr>
            <w:r w:rsidRPr="00BC5246">
              <w:t>[86.31]</w:t>
            </w:r>
          </w:p>
        </w:tc>
        <w:tc>
          <w:tcPr>
            <w:tcW w:w="447" w:type="dxa"/>
            <w:tcBorders>
              <w:left w:val="nil"/>
              <w:bottom w:val="single" w:sz="4" w:space="0" w:color="auto"/>
              <w:right w:val="nil"/>
            </w:tcBorders>
            <w:vAlign w:val="bottom"/>
          </w:tcPr>
          <w:p w:rsidR="00A54716" w:rsidRPr="00A54716" w:rsidRDefault="00A54716" w:rsidP="00A54716">
            <w:pPr>
              <w:pStyle w:val="Tabletextleft"/>
            </w:pPr>
          </w:p>
        </w:tc>
        <w:tc>
          <w:tcPr>
            <w:tcW w:w="1276" w:type="dxa"/>
            <w:tcBorders>
              <w:left w:val="nil"/>
              <w:bottom w:val="single" w:sz="4" w:space="0" w:color="auto"/>
              <w:right w:val="nil"/>
            </w:tcBorders>
            <w:shd w:val="clear" w:color="auto" w:fill="auto"/>
            <w:noWrap/>
            <w:vAlign w:val="bottom"/>
            <w:hideMark/>
          </w:tcPr>
          <w:p w:rsidR="00A54716" w:rsidRPr="00A54716" w:rsidRDefault="00BC5246" w:rsidP="00A54716">
            <w:pPr>
              <w:pStyle w:val="Tabletextright"/>
            </w:pPr>
            <w:r w:rsidRPr="00BC5246">
              <w:t>[157.8]</w:t>
            </w:r>
          </w:p>
        </w:tc>
        <w:tc>
          <w:tcPr>
            <w:tcW w:w="635" w:type="dxa"/>
            <w:tcBorders>
              <w:left w:val="nil"/>
              <w:bottom w:val="single" w:sz="4" w:space="0" w:color="auto"/>
              <w:right w:val="nil"/>
            </w:tcBorders>
            <w:shd w:val="clear" w:color="auto" w:fill="auto"/>
            <w:vAlign w:val="bottom"/>
            <w:hideMark/>
          </w:tcPr>
          <w:p w:rsidR="00A54716" w:rsidRPr="00A54716" w:rsidRDefault="00A54716" w:rsidP="00A54716">
            <w:pPr>
              <w:pStyle w:val="Tabletextleft"/>
            </w:pPr>
          </w:p>
        </w:tc>
        <w:tc>
          <w:tcPr>
            <w:tcW w:w="1491" w:type="dxa"/>
            <w:tcBorders>
              <w:left w:val="nil"/>
              <w:bottom w:val="single" w:sz="4" w:space="0" w:color="auto"/>
              <w:right w:val="nil"/>
            </w:tcBorders>
            <w:vAlign w:val="bottom"/>
          </w:tcPr>
          <w:p w:rsidR="00A54716" w:rsidRPr="00A54716" w:rsidRDefault="00BC5246" w:rsidP="00A54716">
            <w:pPr>
              <w:pStyle w:val="Tabletextright"/>
            </w:pPr>
            <w:r w:rsidRPr="00BC5246">
              <w:t>[125.43]</w:t>
            </w:r>
          </w:p>
        </w:tc>
        <w:tc>
          <w:tcPr>
            <w:tcW w:w="1456" w:type="dxa"/>
            <w:tcBorders>
              <w:left w:val="nil"/>
              <w:bottom w:val="single" w:sz="4" w:space="0" w:color="auto"/>
              <w:right w:val="nil"/>
            </w:tcBorders>
            <w:vAlign w:val="bottom"/>
          </w:tcPr>
          <w:p w:rsidR="00A54716" w:rsidRPr="00A54716" w:rsidRDefault="00A54716" w:rsidP="00A54716">
            <w:pPr>
              <w:pStyle w:val="Tabletextleft"/>
            </w:pPr>
          </w:p>
        </w:tc>
        <w:tc>
          <w:tcPr>
            <w:tcW w:w="954" w:type="dxa"/>
            <w:tcBorders>
              <w:left w:val="nil"/>
              <w:bottom w:val="single" w:sz="4" w:space="0" w:color="auto"/>
              <w:right w:val="nil"/>
            </w:tcBorders>
            <w:shd w:val="clear" w:color="auto" w:fill="auto"/>
            <w:vAlign w:val="bottom"/>
          </w:tcPr>
          <w:p w:rsidR="00A54716" w:rsidRPr="00A54716" w:rsidRDefault="00BC5246" w:rsidP="00A54716">
            <w:pPr>
              <w:pStyle w:val="Tabletextright"/>
            </w:pPr>
            <w:r w:rsidRPr="00BC5246">
              <w:t>[134.48]</w:t>
            </w:r>
          </w:p>
        </w:tc>
        <w:tc>
          <w:tcPr>
            <w:tcW w:w="486" w:type="dxa"/>
            <w:tcBorders>
              <w:left w:val="nil"/>
              <w:bottom w:val="single" w:sz="4" w:space="0" w:color="auto"/>
              <w:right w:val="nil"/>
            </w:tcBorders>
            <w:shd w:val="clear" w:color="auto" w:fill="auto"/>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single" w:sz="4" w:space="0" w:color="auto"/>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1996</w:t>
            </w:r>
          </w:p>
        </w:tc>
        <w:tc>
          <w:tcPr>
            <w:tcW w:w="851" w:type="dxa"/>
            <w:tcBorders>
              <w:top w:val="single" w:sz="4" w:space="0" w:color="auto"/>
              <w:left w:val="nil"/>
              <w:bottom w:val="nil"/>
              <w:right w:val="nil"/>
            </w:tcBorders>
            <w:vAlign w:val="bottom"/>
          </w:tcPr>
          <w:p w:rsidR="00E9071B" w:rsidRDefault="00BC5246">
            <w:pPr>
              <w:pStyle w:val="Tabletextright"/>
              <w:jc w:val="center"/>
            </w:pPr>
            <w:r w:rsidRPr="00BC5246">
              <w:t>0.19</w:t>
            </w:r>
          </w:p>
        </w:tc>
        <w:tc>
          <w:tcPr>
            <w:tcW w:w="447" w:type="dxa"/>
            <w:tcBorders>
              <w:top w:val="single" w:sz="4" w:space="0" w:color="auto"/>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single" w:sz="4" w:space="0" w:color="auto"/>
              <w:left w:val="nil"/>
              <w:bottom w:val="nil"/>
              <w:right w:val="nil"/>
            </w:tcBorders>
            <w:shd w:val="clear" w:color="auto" w:fill="auto"/>
            <w:noWrap/>
            <w:vAlign w:val="bottom"/>
            <w:hideMark/>
          </w:tcPr>
          <w:p w:rsidR="00A54716" w:rsidRPr="00A54716" w:rsidRDefault="00BC5246" w:rsidP="00A54716">
            <w:pPr>
              <w:pStyle w:val="Tabletextright"/>
            </w:pPr>
            <w:r w:rsidRPr="00BC5246">
              <w:t>0.28</w:t>
            </w:r>
          </w:p>
        </w:tc>
        <w:tc>
          <w:tcPr>
            <w:tcW w:w="635" w:type="dxa"/>
            <w:tcBorders>
              <w:top w:val="single" w:sz="4" w:space="0" w:color="auto"/>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single" w:sz="4" w:space="0" w:color="auto"/>
              <w:left w:val="nil"/>
              <w:bottom w:val="nil"/>
              <w:right w:val="nil"/>
            </w:tcBorders>
            <w:vAlign w:val="bottom"/>
          </w:tcPr>
          <w:p w:rsidR="00A54716" w:rsidRPr="00A54716" w:rsidRDefault="00BC5246" w:rsidP="00A54716">
            <w:pPr>
              <w:pStyle w:val="Tabletextright"/>
            </w:pPr>
            <w:r w:rsidRPr="00BC5246">
              <w:t>0.18</w:t>
            </w:r>
          </w:p>
        </w:tc>
        <w:tc>
          <w:tcPr>
            <w:tcW w:w="1456" w:type="dxa"/>
            <w:tcBorders>
              <w:top w:val="single" w:sz="4" w:space="0" w:color="auto"/>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single" w:sz="4" w:space="0" w:color="auto"/>
              <w:left w:val="nil"/>
              <w:bottom w:val="nil"/>
              <w:right w:val="nil"/>
            </w:tcBorders>
            <w:vAlign w:val="bottom"/>
          </w:tcPr>
          <w:p w:rsidR="00A54716" w:rsidRPr="00A54716" w:rsidRDefault="00BC5246" w:rsidP="00A54716">
            <w:pPr>
              <w:pStyle w:val="Tabletextright"/>
            </w:pPr>
            <w:r w:rsidRPr="00BC5246">
              <w:t>0.35</w:t>
            </w:r>
          </w:p>
        </w:tc>
        <w:tc>
          <w:tcPr>
            <w:tcW w:w="486" w:type="dxa"/>
            <w:tcBorders>
              <w:top w:val="single" w:sz="4" w:space="0" w:color="auto"/>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[19.55]</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[33.24]</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[26.1]</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[35]</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1997</w:t>
            </w:r>
          </w:p>
        </w:tc>
        <w:tc>
          <w:tcPr>
            <w:tcW w:w="851" w:type="dxa"/>
            <w:tcBorders>
              <w:top w:val="nil"/>
              <w:left w:val="nil"/>
              <w:bottom w:val="nil"/>
              <w:right w:val="nil"/>
            </w:tcBorders>
            <w:vAlign w:val="bottom"/>
          </w:tcPr>
          <w:p w:rsidR="00E9071B" w:rsidRDefault="00BC5246">
            <w:pPr>
              <w:pStyle w:val="Tabletextright"/>
              <w:jc w:val="center"/>
            </w:pPr>
            <w:r w:rsidRPr="00BC5246">
              <w:t>0.18</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0.28</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0.19</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0.36</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[17.85]</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[31.64]</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[26.42]</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[33.41]</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1998</w:t>
            </w:r>
          </w:p>
        </w:tc>
        <w:tc>
          <w:tcPr>
            <w:tcW w:w="851" w:type="dxa"/>
            <w:tcBorders>
              <w:top w:val="nil"/>
              <w:left w:val="nil"/>
              <w:bottom w:val="nil"/>
              <w:right w:val="nil"/>
            </w:tcBorders>
            <w:vAlign w:val="bottom"/>
          </w:tcPr>
          <w:p w:rsidR="00E9071B" w:rsidRDefault="00BC5246">
            <w:pPr>
              <w:pStyle w:val="Tabletextright"/>
              <w:jc w:val="center"/>
            </w:pPr>
            <w:r w:rsidRPr="00BC5246">
              <w:t>0.22</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0.17</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0.31</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[22.88]</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[36.21]</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[25.76]</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[32.32]</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1999</w:t>
            </w:r>
          </w:p>
        </w:tc>
        <w:tc>
          <w:tcPr>
            <w:tcW w:w="851" w:type="dxa"/>
            <w:tcBorders>
              <w:top w:val="nil"/>
              <w:left w:val="nil"/>
              <w:bottom w:val="nil"/>
              <w:right w:val="nil"/>
            </w:tcBorders>
            <w:vAlign w:val="bottom"/>
          </w:tcPr>
          <w:p w:rsidR="00E9071B" w:rsidRDefault="00BC5246">
            <w:pPr>
              <w:pStyle w:val="Tabletextright"/>
              <w:jc w:val="center"/>
            </w:pPr>
            <w:r w:rsidRPr="00BC5246">
              <w:t>0.22</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0.18</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[24.96]</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[33.55]</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[24.8]</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[33.57]</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2000</w:t>
            </w:r>
          </w:p>
        </w:tc>
        <w:tc>
          <w:tcPr>
            <w:tcW w:w="851" w:type="dxa"/>
            <w:tcBorders>
              <w:top w:val="nil"/>
              <w:left w:val="nil"/>
              <w:bottom w:val="nil"/>
              <w:right w:val="nil"/>
            </w:tcBorders>
            <w:vAlign w:val="bottom"/>
          </w:tcPr>
          <w:p w:rsidR="00E9071B" w:rsidRDefault="00BC5246">
            <w:pPr>
              <w:pStyle w:val="Tabletextright"/>
              <w:jc w:val="center"/>
            </w:pPr>
            <w:r w:rsidRPr="00BC5246">
              <w:t>0.18</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0.21</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0.31</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[22.07]</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[35.99]</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[28.81]</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[33.76]</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2001</w:t>
            </w:r>
          </w:p>
        </w:tc>
        <w:tc>
          <w:tcPr>
            <w:tcW w:w="851" w:type="dxa"/>
            <w:tcBorders>
              <w:top w:val="nil"/>
              <w:left w:val="nil"/>
              <w:bottom w:val="nil"/>
              <w:right w:val="nil"/>
            </w:tcBorders>
            <w:vAlign w:val="bottom"/>
          </w:tcPr>
          <w:p w:rsidR="00E9071B" w:rsidRDefault="00BC5246">
            <w:pPr>
              <w:pStyle w:val="Tabletextright"/>
              <w:jc w:val="center"/>
            </w:pPr>
            <w:r w:rsidRPr="00BC5246">
              <w:t>0.19</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0.21</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[19.24]</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[35.9]</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[28.55]</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[28.49]</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2002</w:t>
            </w:r>
          </w:p>
        </w:tc>
        <w:tc>
          <w:tcPr>
            <w:tcW w:w="851" w:type="dxa"/>
            <w:tcBorders>
              <w:top w:val="nil"/>
              <w:left w:val="nil"/>
              <w:bottom w:val="nil"/>
              <w:right w:val="nil"/>
            </w:tcBorders>
            <w:vAlign w:val="bottom"/>
          </w:tcPr>
          <w:p w:rsidR="00E9071B" w:rsidRDefault="00BC5246">
            <w:pPr>
              <w:pStyle w:val="Tabletextright"/>
              <w:jc w:val="center"/>
            </w:pPr>
            <w:r w:rsidRPr="00BC5246">
              <w:t>0.18</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0.29</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0.21</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0.32</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[19.47]</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[33.88]</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[28.98]</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[27.1]</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2003</w:t>
            </w:r>
          </w:p>
        </w:tc>
        <w:tc>
          <w:tcPr>
            <w:tcW w:w="851" w:type="dxa"/>
            <w:tcBorders>
              <w:top w:val="nil"/>
              <w:left w:val="nil"/>
              <w:bottom w:val="nil"/>
              <w:right w:val="nil"/>
            </w:tcBorders>
            <w:vAlign w:val="bottom"/>
          </w:tcPr>
          <w:p w:rsidR="00E9071B" w:rsidRDefault="00BC5246">
            <w:pPr>
              <w:pStyle w:val="Tabletextright"/>
              <w:jc w:val="center"/>
            </w:pPr>
            <w:r w:rsidRPr="00BC5246">
              <w:t>0.17</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0.29</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0.24</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0.29</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[18.38]</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[39.11]</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[30.92]</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[34.58]</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2004</w:t>
            </w:r>
          </w:p>
        </w:tc>
        <w:tc>
          <w:tcPr>
            <w:tcW w:w="851" w:type="dxa"/>
            <w:tcBorders>
              <w:top w:val="nil"/>
              <w:left w:val="nil"/>
              <w:bottom w:val="nil"/>
              <w:right w:val="nil"/>
            </w:tcBorders>
            <w:vAlign w:val="bottom"/>
          </w:tcPr>
          <w:p w:rsidR="00E9071B" w:rsidRDefault="00BC5246">
            <w:pPr>
              <w:pStyle w:val="Tabletextright"/>
              <w:jc w:val="center"/>
            </w:pPr>
            <w:r w:rsidRPr="00BC5246">
              <w:t>0.16</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0.37</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0.22</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0.25</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[19.16]</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[40.05]</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[30.34]</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[32.91]</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2005</w:t>
            </w:r>
          </w:p>
        </w:tc>
        <w:tc>
          <w:tcPr>
            <w:tcW w:w="851" w:type="dxa"/>
            <w:tcBorders>
              <w:top w:val="nil"/>
              <w:left w:val="nil"/>
              <w:bottom w:val="nil"/>
              <w:right w:val="nil"/>
            </w:tcBorders>
            <w:vAlign w:val="bottom"/>
          </w:tcPr>
          <w:p w:rsidR="00E9071B" w:rsidRDefault="00BC5246">
            <w:pPr>
              <w:pStyle w:val="Tabletextright"/>
              <w:jc w:val="center"/>
            </w:pPr>
            <w:r w:rsidRPr="00BC5246">
              <w:t>0.17</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0.35</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0.22</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0.26</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[21.53]</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[44.24]</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[32.3]</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[32.98]</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2006</w:t>
            </w:r>
          </w:p>
        </w:tc>
        <w:tc>
          <w:tcPr>
            <w:tcW w:w="851" w:type="dxa"/>
            <w:tcBorders>
              <w:top w:val="nil"/>
              <w:left w:val="nil"/>
              <w:bottom w:val="nil"/>
              <w:right w:val="nil"/>
            </w:tcBorders>
            <w:vAlign w:val="bottom"/>
          </w:tcPr>
          <w:p w:rsidR="00E9071B" w:rsidRDefault="00BC5246">
            <w:pPr>
              <w:pStyle w:val="Tabletextright"/>
              <w:jc w:val="center"/>
            </w:pPr>
            <w:r w:rsidRPr="00BC5246">
              <w:t>0.18</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0.27</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0.26</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[22.28]</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[48]</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[38.31]</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[40.33]</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2007</w:t>
            </w:r>
          </w:p>
        </w:tc>
        <w:tc>
          <w:tcPr>
            <w:tcW w:w="851" w:type="dxa"/>
            <w:tcBorders>
              <w:top w:val="nil"/>
              <w:left w:val="nil"/>
              <w:bottom w:val="nil"/>
              <w:right w:val="nil"/>
            </w:tcBorders>
            <w:vAlign w:val="bottom"/>
          </w:tcPr>
          <w:p w:rsidR="00E9071B" w:rsidRDefault="00BC5246">
            <w:pPr>
              <w:pStyle w:val="Tabletextright"/>
              <w:jc w:val="center"/>
            </w:pPr>
            <w:r w:rsidRPr="00BC5246">
              <w:t>0.15</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0.24</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0.31</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[21.41]</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[44.08]</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[34.85]</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[37.75]</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2008</w:t>
            </w:r>
          </w:p>
        </w:tc>
        <w:tc>
          <w:tcPr>
            <w:tcW w:w="851" w:type="dxa"/>
            <w:tcBorders>
              <w:top w:val="nil"/>
              <w:left w:val="nil"/>
              <w:bottom w:val="nil"/>
              <w:right w:val="nil"/>
            </w:tcBorders>
            <w:vAlign w:val="bottom"/>
          </w:tcPr>
          <w:p w:rsidR="00E9071B" w:rsidRDefault="00BC5246">
            <w:pPr>
              <w:pStyle w:val="Tabletextright"/>
              <w:jc w:val="center"/>
              <w:rPr>
                <w:noProof/>
              </w:rPr>
            </w:pPr>
            <w:r w:rsidRPr="00BC5246">
              <w:t>0.15</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0.34</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0.23</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0.28</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[23.35]</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[49.77]</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[38.31]</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[38.16]</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2009</w:t>
            </w:r>
          </w:p>
        </w:tc>
        <w:tc>
          <w:tcPr>
            <w:tcW w:w="851" w:type="dxa"/>
            <w:tcBorders>
              <w:top w:val="nil"/>
              <w:left w:val="nil"/>
              <w:bottom w:val="nil"/>
              <w:right w:val="nil"/>
            </w:tcBorders>
            <w:vAlign w:val="bottom"/>
          </w:tcPr>
          <w:p w:rsidR="00E9071B" w:rsidRDefault="00BC5246">
            <w:pPr>
              <w:pStyle w:val="Tabletextright"/>
              <w:jc w:val="center"/>
            </w:pPr>
            <w:r w:rsidRPr="00BC5246">
              <w:t>0.14</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0.35</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0.23</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0.28</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[23.39]</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[46.92]</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[36.36]</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[38.19]</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2010</w:t>
            </w:r>
          </w:p>
        </w:tc>
        <w:tc>
          <w:tcPr>
            <w:tcW w:w="851" w:type="dxa"/>
            <w:tcBorders>
              <w:top w:val="nil"/>
              <w:left w:val="nil"/>
              <w:bottom w:val="nil"/>
              <w:right w:val="nil"/>
            </w:tcBorders>
            <w:vAlign w:val="bottom"/>
          </w:tcPr>
          <w:p w:rsidR="00E9071B" w:rsidRDefault="00BC5246">
            <w:pPr>
              <w:pStyle w:val="Tabletextright"/>
              <w:jc w:val="center"/>
            </w:pPr>
            <w:r w:rsidRPr="00BC5246">
              <w:t>0.15</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0.31</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0.24</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[26.76]</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[42.85]</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[33.74]</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[34.94]</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2011</w:t>
            </w:r>
          </w:p>
        </w:tc>
        <w:tc>
          <w:tcPr>
            <w:tcW w:w="851" w:type="dxa"/>
            <w:tcBorders>
              <w:top w:val="nil"/>
              <w:left w:val="nil"/>
              <w:bottom w:val="nil"/>
              <w:right w:val="nil"/>
            </w:tcBorders>
            <w:vAlign w:val="bottom"/>
          </w:tcPr>
          <w:p w:rsidR="00E9071B" w:rsidRDefault="00BC5246">
            <w:pPr>
              <w:pStyle w:val="Tabletextright"/>
              <w:jc w:val="center"/>
            </w:pPr>
            <w:r w:rsidRPr="00BC5246">
              <w:t>0.16</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0.31</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0.21</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0.31</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nil"/>
              <w:right w:val="nil"/>
            </w:tcBorders>
            <w:vAlign w:val="bottom"/>
          </w:tcPr>
          <w:p w:rsidR="00E9071B" w:rsidRDefault="00BC5246">
            <w:pPr>
              <w:pStyle w:val="Tabletextright"/>
              <w:jc w:val="center"/>
            </w:pPr>
            <w:r w:rsidRPr="00BC5246">
              <w:t>[25.44]</w:t>
            </w:r>
          </w:p>
        </w:tc>
        <w:tc>
          <w:tcPr>
            <w:tcW w:w="447" w:type="dxa"/>
            <w:tcBorders>
              <w:top w:val="nil"/>
              <w:left w:val="nil"/>
              <w:bottom w:val="nil"/>
              <w:right w:val="nil"/>
            </w:tcBorders>
            <w:vAlign w:val="bottom"/>
          </w:tcPr>
          <w:p w:rsidR="00A54716" w:rsidRPr="00A54716" w:rsidRDefault="00A54716" w:rsidP="00A54716">
            <w:pPr>
              <w:pStyle w:val="Tabletextleft"/>
            </w:pP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[42.03]</w:t>
            </w:r>
          </w:p>
        </w:tc>
        <w:tc>
          <w:tcPr>
            <w:tcW w:w="635"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nil"/>
              <w:right w:val="nil"/>
            </w:tcBorders>
            <w:vAlign w:val="bottom"/>
          </w:tcPr>
          <w:p w:rsidR="00A54716" w:rsidRPr="00A54716" w:rsidRDefault="00BC5246" w:rsidP="00A54716">
            <w:pPr>
              <w:pStyle w:val="Tabletextright"/>
            </w:pPr>
            <w:r w:rsidRPr="00BC5246">
              <w:t>[34.48]</w:t>
            </w:r>
          </w:p>
        </w:tc>
        <w:tc>
          <w:tcPr>
            <w:tcW w:w="1456" w:type="dxa"/>
            <w:tcBorders>
              <w:top w:val="nil"/>
              <w:left w:val="nil"/>
              <w:bottom w:val="nil"/>
              <w:right w:val="nil"/>
            </w:tcBorders>
            <w:vAlign w:val="bottom"/>
          </w:tcPr>
          <w:p w:rsidR="00A54716" w:rsidRPr="00A54716" w:rsidRDefault="00A54716" w:rsidP="00A54716">
            <w:pPr>
              <w:pStyle w:val="Tabletextleft"/>
            </w:pPr>
          </w:p>
        </w:tc>
        <w:tc>
          <w:tcPr>
            <w:tcW w:w="954" w:type="dxa"/>
            <w:tcBorders>
              <w:top w:val="nil"/>
              <w:left w:val="nil"/>
              <w:bottom w:val="nil"/>
              <w:right w:val="nil"/>
            </w:tcBorders>
            <w:vAlign w:val="bottom"/>
          </w:tcPr>
          <w:p w:rsidR="00A54716" w:rsidRPr="00A54716" w:rsidRDefault="00BC5246" w:rsidP="00A54716">
            <w:pPr>
              <w:pStyle w:val="Tabletextright"/>
            </w:pPr>
            <w:r w:rsidRPr="00BC5246">
              <w:t>[35.31]</w:t>
            </w:r>
          </w:p>
        </w:tc>
        <w:tc>
          <w:tcPr>
            <w:tcW w:w="486" w:type="dxa"/>
            <w:tcBorders>
              <w:top w:val="nil"/>
              <w:left w:val="nil"/>
              <w:bottom w:val="nil"/>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nil"/>
              <w:left w:val="nil"/>
              <w:bottom w:val="nil"/>
              <w:right w:val="nil"/>
            </w:tcBorders>
            <w:shd w:val="clear" w:color="auto" w:fill="auto"/>
            <w:noWrap/>
            <w:vAlign w:val="center"/>
            <w:hideMark/>
          </w:tcPr>
          <w:p w:rsidR="00A54716" w:rsidRPr="00A54716" w:rsidRDefault="00A54716" w:rsidP="00A54716">
            <w:pPr>
              <w:pStyle w:val="Tabletextleftbold"/>
              <w:rPr>
                <w:b w:val="0"/>
              </w:rPr>
            </w:pPr>
            <w:r w:rsidRPr="00A54716">
              <w:rPr>
                <w:b w:val="0"/>
              </w:rPr>
              <w:t>2012</w:t>
            </w:r>
          </w:p>
        </w:tc>
        <w:tc>
          <w:tcPr>
            <w:tcW w:w="851" w:type="dxa"/>
            <w:tcBorders>
              <w:top w:val="nil"/>
              <w:left w:val="nil"/>
              <w:bottom w:val="nil"/>
              <w:right w:val="nil"/>
            </w:tcBorders>
            <w:vAlign w:val="bottom"/>
          </w:tcPr>
          <w:p w:rsidR="00E9071B" w:rsidRDefault="00BC5246">
            <w:pPr>
              <w:pStyle w:val="Tabletextright"/>
              <w:jc w:val="center"/>
            </w:pPr>
            <w:r w:rsidRPr="00BC5246">
              <w:t>0.14</w:t>
            </w:r>
          </w:p>
        </w:tc>
        <w:tc>
          <w:tcPr>
            <w:tcW w:w="447"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1276" w:type="dxa"/>
            <w:tcBorders>
              <w:top w:val="nil"/>
              <w:left w:val="nil"/>
              <w:bottom w:val="nil"/>
              <w:right w:val="nil"/>
            </w:tcBorders>
            <w:shd w:val="clear" w:color="auto" w:fill="auto"/>
            <w:noWrap/>
            <w:vAlign w:val="bottom"/>
            <w:hideMark/>
          </w:tcPr>
          <w:p w:rsidR="00A54716" w:rsidRPr="00A54716" w:rsidRDefault="00BC5246" w:rsidP="00A54716">
            <w:pPr>
              <w:pStyle w:val="Tabletextright"/>
            </w:pPr>
            <w:r w:rsidRPr="00BC5246">
              <w:t>0.35</w:t>
            </w:r>
          </w:p>
        </w:tc>
        <w:tc>
          <w:tcPr>
            <w:tcW w:w="635"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c>
          <w:tcPr>
            <w:tcW w:w="1491" w:type="dxa"/>
            <w:tcBorders>
              <w:top w:val="nil"/>
              <w:left w:val="nil"/>
              <w:bottom w:val="nil"/>
              <w:right w:val="nil"/>
            </w:tcBorders>
            <w:vAlign w:val="bottom"/>
          </w:tcPr>
          <w:p w:rsidR="00A54716" w:rsidRPr="00A54716" w:rsidRDefault="00BC5246" w:rsidP="00A54716">
            <w:pPr>
              <w:pStyle w:val="Tabletextright"/>
            </w:pPr>
            <w:r w:rsidRPr="00BC5246">
              <w:t>0.23</w:t>
            </w:r>
          </w:p>
        </w:tc>
        <w:tc>
          <w:tcPr>
            <w:tcW w:w="1456" w:type="dxa"/>
            <w:tcBorders>
              <w:top w:val="nil"/>
              <w:left w:val="nil"/>
              <w:bottom w:val="nil"/>
              <w:right w:val="nil"/>
            </w:tcBorders>
            <w:vAlign w:val="bottom"/>
          </w:tcPr>
          <w:p w:rsidR="00A54716" w:rsidRPr="00A54716" w:rsidRDefault="00BC5246" w:rsidP="00A54716">
            <w:pPr>
              <w:pStyle w:val="Tabletextleft"/>
            </w:pPr>
            <w:r w:rsidRPr="00BC5246">
              <w:rPr>
                <w:color w:val="000000"/>
              </w:rPr>
              <w:t>***</w:t>
            </w:r>
          </w:p>
        </w:tc>
        <w:tc>
          <w:tcPr>
            <w:tcW w:w="954" w:type="dxa"/>
            <w:tcBorders>
              <w:top w:val="nil"/>
              <w:left w:val="nil"/>
              <w:bottom w:val="nil"/>
              <w:right w:val="nil"/>
            </w:tcBorders>
            <w:vAlign w:val="bottom"/>
          </w:tcPr>
          <w:p w:rsidR="00A54716" w:rsidRPr="00A54716" w:rsidRDefault="00BC5246" w:rsidP="00A54716">
            <w:pPr>
              <w:pStyle w:val="Tabletextright"/>
            </w:pPr>
            <w:r w:rsidRPr="00BC5246">
              <w:t>0.27</w:t>
            </w:r>
          </w:p>
        </w:tc>
        <w:tc>
          <w:tcPr>
            <w:tcW w:w="486" w:type="dxa"/>
            <w:tcBorders>
              <w:top w:val="nil"/>
              <w:left w:val="nil"/>
              <w:bottom w:val="nil"/>
              <w:right w:val="nil"/>
            </w:tcBorders>
            <w:shd w:val="clear" w:color="auto" w:fill="auto"/>
            <w:noWrap/>
            <w:vAlign w:val="bottom"/>
            <w:hideMark/>
          </w:tcPr>
          <w:p w:rsidR="00A54716" w:rsidRPr="00A54716" w:rsidRDefault="00BC5246" w:rsidP="00A54716">
            <w:pPr>
              <w:pStyle w:val="Tabletextleft"/>
            </w:pPr>
            <w:r w:rsidRPr="00BC5246">
              <w:rPr>
                <w:color w:val="000000"/>
              </w:rPr>
              <w:t>***</w:t>
            </w:r>
          </w:p>
        </w:tc>
      </w:tr>
      <w:tr w:rsidR="00BE5B7B" w:rsidRPr="00A54716" w:rsidTr="00BE5B7B">
        <w:trPr>
          <w:trHeight w:hRule="exact" w:val="284"/>
          <w:jc w:val="center"/>
        </w:trPr>
        <w:tc>
          <w:tcPr>
            <w:tcW w:w="1644" w:type="dxa"/>
            <w:tcBorders>
              <w:top w:val="nil"/>
              <w:left w:val="nil"/>
              <w:bottom w:val="single" w:sz="4" w:space="0" w:color="auto"/>
              <w:right w:val="nil"/>
            </w:tcBorders>
            <w:shd w:val="clear" w:color="auto" w:fill="auto"/>
            <w:noWrap/>
            <w:vAlign w:val="center"/>
            <w:hideMark/>
          </w:tcPr>
          <w:p w:rsidR="00A54716" w:rsidRPr="00A54716" w:rsidRDefault="00A54716" w:rsidP="00A54716">
            <w:pPr>
              <w:pStyle w:val="Tabletextleftbold"/>
              <w:rPr>
                <w:b w:val="0"/>
              </w:rPr>
            </w:pPr>
          </w:p>
        </w:tc>
        <w:tc>
          <w:tcPr>
            <w:tcW w:w="851" w:type="dxa"/>
            <w:tcBorders>
              <w:top w:val="nil"/>
              <w:left w:val="nil"/>
              <w:bottom w:val="single" w:sz="4" w:space="0" w:color="auto"/>
              <w:right w:val="nil"/>
            </w:tcBorders>
            <w:vAlign w:val="bottom"/>
          </w:tcPr>
          <w:p w:rsidR="00E9071B" w:rsidRDefault="00BC5246">
            <w:pPr>
              <w:pStyle w:val="Tabletextright"/>
              <w:jc w:val="center"/>
            </w:pPr>
            <w:r w:rsidRPr="00BC5246">
              <w:t>[25.9]</w:t>
            </w:r>
          </w:p>
        </w:tc>
        <w:tc>
          <w:tcPr>
            <w:tcW w:w="447" w:type="dxa"/>
            <w:tcBorders>
              <w:top w:val="nil"/>
              <w:left w:val="nil"/>
              <w:bottom w:val="single" w:sz="4" w:space="0" w:color="auto"/>
              <w:right w:val="nil"/>
            </w:tcBorders>
            <w:vAlign w:val="bottom"/>
          </w:tcPr>
          <w:p w:rsidR="00A54716" w:rsidRPr="00A54716" w:rsidRDefault="00A54716" w:rsidP="00A54716">
            <w:pPr>
              <w:pStyle w:val="Tabletextleft"/>
            </w:pPr>
          </w:p>
        </w:tc>
        <w:tc>
          <w:tcPr>
            <w:tcW w:w="1276" w:type="dxa"/>
            <w:tcBorders>
              <w:top w:val="nil"/>
              <w:left w:val="nil"/>
              <w:bottom w:val="single" w:sz="4" w:space="0" w:color="auto"/>
              <w:right w:val="nil"/>
            </w:tcBorders>
            <w:shd w:val="clear" w:color="auto" w:fill="auto"/>
            <w:noWrap/>
            <w:vAlign w:val="bottom"/>
            <w:hideMark/>
          </w:tcPr>
          <w:p w:rsidR="00A54716" w:rsidRPr="00A54716" w:rsidRDefault="00BC5246" w:rsidP="00A54716">
            <w:pPr>
              <w:pStyle w:val="Tabletextright"/>
            </w:pPr>
            <w:r w:rsidRPr="00BC5246">
              <w:t>[41.01]</w:t>
            </w:r>
          </w:p>
        </w:tc>
        <w:tc>
          <w:tcPr>
            <w:tcW w:w="635" w:type="dxa"/>
            <w:tcBorders>
              <w:top w:val="nil"/>
              <w:left w:val="nil"/>
              <w:bottom w:val="single" w:sz="4" w:space="0" w:color="auto"/>
              <w:right w:val="nil"/>
            </w:tcBorders>
            <w:shd w:val="clear" w:color="auto" w:fill="auto"/>
            <w:noWrap/>
            <w:vAlign w:val="bottom"/>
            <w:hideMark/>
          </w:tcPr>
          <w:p w:rsidR="00A54716" w:rsidRPr="00A54716" w:rsidRDefault="00A54716" w:rsidP="00A54716">
            <w:pPr>
              <w:pStyle w:val="Tabletextleft"/>
            </w:pPr>
          </w:p>
        </w:tc>
        <w:tc>
          <w:tcPr>
            <w:tcW w:w="1491" w:type="dxa"/>
            <w:tcBorders>
              <w:top w:val="nil"/>
              <w:left w:val="nil"/>
              <w:bottom w:val="single" w:sz="4" w:space="0" w:color="auto"/>
              <w:right w:val="nil"/>
            </w:tcBorders>
            <w:vAlign w:val="bottom"/>
          </w:tcPr>
          <w:p w:rsidR="00A54716" w:rsidRPr="00A54716" w:rsidRDefault="00BC5246" w:rsidP="00A54716">
            <w:pPr>
              <w:pStyle w:val="Tabletextright"/>
            </w:pPr>
            <w:r w:rsidRPr="00BC5246">
              <w:t>[32.53]</w:t>
            </w:r>
          </w:p>
        </w:tc>
        <w:tc>
          <w:tcPr>
            <w:tcW w:w="1456" w:type="dxa"/>
            <w:tcBorders>
              <w:top w:val="nil"/>
              <w:left w:val="nil"/>
              <w:bottom w:val="single" w:sz="4" w:space="0" w:color="auto"/>
              <w:right w:val="nil"/>
            </w:tcBorders>
            <w:vAlign w:val="bottom"/>
          </w:tcPr>
          <w:p w:rsidR="00A54716" w:rsidRPr="00A54716" w:rsidRDefault="00A54716" w:rsidP="00A54716">
            <w:pPr>
              <w:pStyle w:val="Tabletextleft"/>
            </w:pPr>
          </w:p>
        </w:tc>
        <w:tc>
          <w:tcPr>
            <w:tcW w:w="954" w:type="dxa"/>
            <w:tcBorders>
              <w:top w:val="nil"/>
              <w:left w:val="nil"/>
              <w:bottom w:val="single" w:sz="4" w:space="0" w:color="auto"/>
              <w:right w:val="nil"/>
            </w:tcBorders>
            <w:vAlign w:val="bottom"/>
          </w:tcPr>
          <w:p w:rsidR="00A54716" w:rsidRPr="00A54716" w:rsidRDefault="00BC5246" w:rsidP="00A54716">
            <w:pPr>
              <w:pStyle w:val="Tabletextright"/>
            </w:pPr>
            <w:r w:rsidRPr="00BC5246">
              <w:t>[27.75]</w:t>
            </w:r>
          </w:p>
        </w:tc>
        <w:tc>
          <w:tcPr>
            <w:tcW w:w="486" w:type="dxa"/>
            <w:tcBorders>
              <w:top w:val="nil"/>
              <w:left w:val="nil"/>
              <w:bottom w:val="single" w:sz="4" w:space="0" w:color="auto"/>
              <w:right w:val="nil"/>
            </w:tcBorders>
            <w:shd w:val="clear" w:color="auto" w:fill="auto"/>
            <w:noWrap/>
            <w:vAlign w:val="bottom"/>
            <w:hideMark/>
          </w:tcPr>
          <w:p w:rsidR="00A54716" w:rsidRPr="00A54716" w:rsidRDefault="00A54716" w:rsidP="00A54716">
            <w:pPr>
              <w:pStyle w:val="Tabletextleft"/>
            </w:pPr>
          </w:p>
        </w:tc>
      </w:tr>
      <w:tr w:rsidR="00BE5B7B" w:rsidRPr="00A54716" w:rsidTr="00BE5B7B">
        <w:trPr>
          <w:trHeight w:hRule="exact" w:val="284"/>
          <w:jc w:val="center"/>
        </w:trPr>
        <w:tc>
          <w:tcPr>
            <w:tcW w:w="1644" w:type="dxa"/>
            <w:tcBorders>
              <w:top w:val="single" w:sz="4" w:space="0" w:color="auto"/>
              <w:left w:val="nil"/>
              <w:right w:val="nil"/>
            </w:tcBorders>
            <w:shd w:val="clear" w:color="auto" w:fill="auto"/>
            <w:noWrap/>
            <w:vAlign w:val="center"/>
          </w:tcPr>
          <w:p w:rsidR="00A54716" w:rsidRPr="00A54716" w:rsidRDefault="00A54716">
            <w:pPr>
              <w:pStyle w:val="Tabletextleftbold"/>
              <w:rPr>
                <w:b w:val="0"/>
              </w:rPr>
            </w:pPr>
            <w:r w:rsidRPr="00A54716">
              <w:rPr>
                <w:b w:val="0"/>
              </w:rPr>
              <w:t>Ave</w:t>
            </w:r>
            <w:r w:rsidR="00126ECC">
              <w:rPr>
                <w:b w:val="0"/>
              </w:rPr>
              <w:t>rage</w:t>
            </w:r>
          </w:p>
        </w:tc>
        <w:tc>
          <w:tcPr>
            <w:tcW w:w="851" w:type="dxa"/>
            <w:tcBorders>
              <w:top w:val="single" w:sz="4" w:space="0" w:color="auto"/>
              <w:left w:val="nil"/>
              <w:right w:val="nil"/>
            </w:tcBorders>
            <w:vAlign w:val="center"/>
          </w:tcPr>
          <w:p w:rsidR="00E9071B" w:rsidRDefault="00126ECC">
            <w:pPr>
              <w:pStyle w:val="Tabletextright"/>
              <w:jc w:val="center"/>
            </w:pPr>
            <w:r>
              <w:t>0.17</w:t>
            </w:r>
          </w:p>
        </w:tc>
        <w:tc>
          <w:tcPr>
            <w:tcW w:w="447" w:type="dxa"/>
            <w:tcBorders>
              <w:top w:val="single" w:sz="4" w:space="0" w:color="auto"/>
              <w:left w:val="nil"/>
              <w:right w:val="nil"/>
            </w:tcBorders>
            <w:vAlign w:val="center"/>
          </w:tcPr>
          <w:p w:rsidR="00A54716" w:rsidRPr="00A54716" w:rsidRDefault="00A54716">
            <w:pPr>
              <w:pStyle w:val="Tabletextright"/>
            </w:pPr>
          </w:p>
        </w:tc>
        <w:tc>
          <w:tcPr>
            <w:tcW w:w="1276" w:type="dxa"/>
            <w:tcBorders>
              <w:top w:val="single" w:sz="4" w:space="0" w:color="auto"/>
              <w:left w:val="nil"/>
              <w:right w:val="nil"/>
            </w:tcBorders>
            <w:shd w:val="clear" w:color="auto" w:fill="auto"/>
            <w:noWrap/>
            <w:vAlign w:val="center"/>
          </w:tcPr>
          <w:p w:rsidR="00A54716" w:rsidRPr="00A54716" w:rsidRDefault="00126ECC">
            <w:pPr>
              <w:pStyle w:val="Tabletextright"/>
            </w:pPr>
            <w:r>
              <w:t>0.31</w:t>
            </w:r>
          </w:p>
        </w:tc>
        <w:tc>
          <w:tcPr>
            <w:tcW w:w="635" w:type="dxa"/>
            <w:tcBorders>
              <w:top w:val="single" w:sz="4" w:space="0" w:color="auto"/>
              <w:left w:val="nil"/>
              <w:right w:val="nil"/>
            </w:tcBorders>
            <w:shd w:val="clear" w:color="auto" w:fill="auto"/>
            <w:noWrap/>
            <w:vAlign w:val="center"/>
          </w:tcPr>
          <w:p w:rsidR="00A54716" w:rsidRPr="00A54716" w:rsidRDefault="00A54716">
            <w:pPr>
              <w:pStyle w:val="Tabletextright"/>
            </w:pPr>
          </w:p>
        </w:tc>
        <w:tc>
          <w:tcPr>
            <w:tcW w:w="1491" w:type="dxa"/>
            <w:tcBorders>
              <w:top w:val="single" w:sz="4" w:space="0" w:color="auto"/>
              <w:left w:val="nil"/>
              <w:right w:val="nil"/>
            </w:tcBorders>
            <w:vAlign w:val="center"/>
          </w:tcPr>
          <w:p w:rsidR="00A54716" w:rsidRPr="00A54716" w:rsidRDefault="00126ECC">
            <w:pPr>
              <w:pStyle w:val="Tabletextright"/>
            </w:pPr>
            <w:r>
              <w:t>0.22</w:t>
            </w:r>
          </w:p>
        </w:tc>
        <w:tc>
          <w:tcPr>
            <w:tcW w:w="1456" w:type="dxa"/>
            <w:tcBorders>
              <w:top w:val="single" w:sz="4" w:space="0" w:color="auto"/>
              <w:left w:val="nil"/>
              <w:right w:val="nil"/>
            </w:tcBorders>
            <w:vAlign w:val="center"/>
          </w:tcPr>
          <w:p w:rsidR="00A54716" w:rsidRPr="00A54716" w:rsidRDefault="00A54716">
            <w:pPr>
              <w:pStyle w:val="Tabletextright"/>
            </w:pPr>
          </w:p>
        </w:tc>
        <w:tc>
          <w:tcPr>
            <w:tcW w:w="954" w:type="dxa"/>
            <w:tcBorders>
              <w:top w:val="single" w:sz="4" w:space="0" w:color="auto"/>
              <w:left w:val="nil"/>
              <w:right w:val="nil"/>
            </w:tcBorders>
            <w:vAlign w:val="center"/>
          </w:tcPr>
          <w:p w:rsidR="00A54716" w:rsidRPr="00A54716" w:rsidRDefault="00126ECC">
            <w:pPr>
              <w:pStyle w:val="Tabletextright"/>
            </w:pPr>
            <w:r>
              <w:t>0.30</w:t>
            </w:r>
          </w:p>
        </w:tc>
        <w:tc>
          <w:tcPr>
            <w:tcW w:w="486" w:type="dxa"/>
            <w:tcBorders>
              <w:top w:val="single" w:sz="4" w:space="0" w:color="auto"/>
              <w:left w:val="nil"/>
              <w:right w:val="nil"/>
            </w:tcBorders>
            <w:shd w:val="clear" w:color="auto" w:fill="auto"/>
            <w:noWrap/>
            <w:vAlign w:val="center"/>
          </w:tcPr>
          <w:p w:rsidR="00E9071B" w:rsidRDefault="00E9071B">
            <w:pPr>
              <w:pStyle w:val="Tabletextleft"/>
              <w:spacing w:line="240" w:lineRule="auto"/>
            </w:pPr>
          </w:p>
        </w:tc>
      </w:tr>
      <w:tr w:rsidR="00BE5B7B" w:rsidRPr="00A54716" w:rsidTr="00BE5B7B">
        <w:trPr>
          <w:trHeight w:hRule="exact" w:val="284"/>
          <w:jc w:val="center"/>
        </w:trPr>
        <w:tc>
          <w:tcPr>
            <w:tcW w:w="1644" w:type="dxa"/>
            <w:tcBorders>
              <w:left w:val="nil"/>
              <w:bottom w:val="nil"/>
              <w:right w:val="nil"/>
            </w:tcBorders>
            <w:shd w:val="clear" w:color="auto" w:fill="auto"/>
            <w:noWrap/>
            <w:vAlign w:val="center"/>
          </w:tcPr>
          <w:p w:rsidR="00BE5B7B" w:rsidRPr="00A54716" w:rsidRDefault="008F2727">
            <w:pPr>
              <w:pStyle w:val="Tabletextleftbold"/>
              <w:rPr>
                <w:b w:val="0"/>
              </w:rPr>
            </w:pPr>
            <w:r>
              <w:rPr>
                <w:b w:val="0"/>
              </w:rPr>
              <w:t>St Dev</w:t>
            </w:r>
          </w:p>
        </w:tc>
        <w:tc>
          <w:tcPr>
            <w:tcW w:w="851" w:type="dxa"/>
            <w:tcBorders>
              <w:left w:val="nil"/>
              <w:bottom w:val="nil"/>
              <w:right w:val="nil"/>
            </w:tcBorders>
            <w:vAlign w:val="center"/>
          </w:tcPr>
          <w:p w:rsidR="00BE5B7B" w:rsidRPr="00A54716" w:rsidRDefault="00126ECC">
            <w:pPr>
              <w:pStyle w:val="Tabletextright"/>
              <w:jc w:val="center"/>
            </w:pPr>
            <w:r>
              <w:t>0.024</w:t>
            </w:r>
          </w:p>
        </w:tc>
        <w:tc>
          <w:tcPr>
            <w:tcW w:w="447" w:type="dxa"/>
            <w:tcBorders>
              <w:left w:val="nil"/>
              <w:bottom w:val="nil"/>
              <w:right w:val="nil"/>
            </w:tcBorders>
            <w:vAlign w:val="center"/>
          </w:tcPr>
          <w:p w:rsidR="00BE5B7B" w:rsidRPr="00A54716" w:rsidRDefault="00BE5B7B">
            <w:pPr>
              <w:pStyle w:val="Tabletextright"/>
            </w:pPr>
          </w:p>
        </w:tc>
        <w:tc>
          <w:tcPr>
            <w:tcW w:w="1276" w:type="dxa"/>
            <w:tcBorders>
              <w:left w:val="nil"/>
              <w:bottom w:val="nil"/>
              <w:right w:val="nil"/>
            </w:tcBorders>
            <w:shd w:val="clear" w:color="auto" w:fill="auto"/>
            <w:noWrap/>
            <w:vAlign w:val="center"/>
          </w:tcPr>
          <w:p w:rsidR="00BE5B7B" w:rsidRPr="00A54716" w:rsidRDefault="00126ECC">
            <w:pPr>
              <w:pStyle w:val="Tabletextright"/>
            </w:pPr>
            <w:r>
              <w:t>0.030</w:t>
            </w:r>
          </w:p>
        </w:tc>
        <w:tc>
          <w:tcPr>
            <w:tcW w:w="635" w:type="dxa"/>
            <w:tcBorders>
              <w:left w:val="nil"/>
              <w:bottom w:val="nil"/>
              <w:right w:val="nil"/>
            </w:tcBorders>
            <w:shd w:val="clear" w:color="auto" w:fill="auto"/>
            <w:noWrap/>
            <w:vAlign w:val="center"/>
          </w:tcPr>
          <w:p w:rsidR="00BE5B7B" w:rsidRPr="00A54716" w:rsidRDefault="00BE5B7B">
            <w:pPr>
              <w:pStyle w:val="Tabletextright"/>
            </w:pPr>
          </w:p>
        </w:tc>
        <w:tc>
          <w:tcPr>
            <w:tcW w:w="1491" w:type="dxa"/>
            <w:tcBorders>
              <w:left w:val="nil"/>
              <w:bottom w:val="nil"/>
              <w:right w:val="nil"/>
            </w:tcBorders>
            <w:vAlign w:val="center"/>
          </w:tcPr>
          <w:p w:rsidR="00BE5B7B" w:rsidRPr="00A54716" w:rsidRDefault="00126ECC">
            <w:pPr>
              <w:pStyle w:val="Tabletextright"/>
            </w:pPr>
            <w:r>
              <w:t>0.025</w:t>
            </w:r>
          </w:p>
        </w:tc>
        <w:tc>
          <w:tcPr>
            <w:tcW w:w="1456" w:type="dxa"/>
            <w:tcBorders>
              <w:left w:val="nil"/>
              <w:bottom w:val="nil"/>
              <w:right w:val="nil"/>
            </w:tcBorders>
            <w:vAlign w:val="center"/>
          </w:tcPr>
          <w:p w:rsidR="00BE5B7B" w:rsidRPr="00A54716" w:rsidRDefault="00BE5B7B">
            <w:pPr>
              <w:pStyle w:val="Tabletextright"/>
            </w:pPr>
          </w:p>
        </w:tc>
        <w:tc>
          <w:tcPr>
            <w:tcW w:w="954" w:type="dxa"/>
            <w:tcBorders>
              <w:left w:val="nil"/>
              <w:bottom w:val="nil"/>
              <w:right w:val="nil"/>
            </w:tcBorders>
            <w:vAlign w:val="center"/>
          </w:tcPr>
          <w:p w:rsidR="00BE5B7B" w:rsidRPr="00A54716" w:rsidRDefault="00126ECC">
            <w:pPr>
              <w:pStyle w:val="Tabletextright"/>
            </w:pPr>
            <w:r>
              <w:t>0.028</w:t>
            </w:r>
          </w:p>
        </w:tc>
        <w:tc>
          <w:tcPr>
            <w:tcW w:w="486" w:type="dxa"/>
            <w:tcBorders>
              <w:left w:val="nil"/>
              <w:bottom w:val="nil"/>
              <w:right w:val="nil"/>
            </w:tcBorders>
            <w:shd w:val="clear" w:color="auto" w:fill="auto"/>
            <w:noWrap/>
            <w:vAlign w:val="center"/>
          </w:tcPr>
          <w:p w:rsidR="00E9071B" w:rsidRDefault="00E9071B">
            <w:pPr>
              <w:pStyle w:val="Tabletextleft"/>
              <w:spacing w:line="240" w:lineRule="auto"/>
            </w:pPr>
          </w:p>
        </w:tc>
      </w:tr>
      <w:tr w:rsidR="00225D59" w:rsidRPr="00A54716" w:rsidTr="00225D59">
        <w:trPr>
          <w:trHeight w:hRule="exact" w:val="284"/>
          <w:jc w:val="center"/>
        </w:trPr>
        <w:tc>
          <w:tcPr>
            <w:tcW w:w="1644" w:type="dxa"/>
            <w:tcBorders>
              <w:left w:val="nil"/>
              <w:right w:val="nil"/>
            </w:tcBorders>
            <w:shd w:val="clear" w:color="auto" w:fill="auto"/>
            <w:noWrap/>
            <w:vAlign w:val="center"/>
          </w:tcPr>
          <w:p w:rsidR="00225D59" w:rsidRDefault="00225D59" w:rsidP="008F2727">
            <w:pPr>
              <w:pStyle w:val="Tabletextleftbold"/>
              <w:rPr>
                <w:b w:val="0"/>
              </w:rPr>
            </w:pPr>
            <w:r>
              <w:rPr>
                <w:b w:val="0"/>
              </w:rPr>
              <w:t>Per Hour IS</w:t>
            </w:r>
          </w:p>
        </w:tc>
        <w:tc>
          <w:tcPr>
            <w:tcW w:w="851" w:type="dxa"/>
            <w:tcBorders>
              <w:left w:val="nil"/>
              <w:right w:val="nil"/>
            </w:tcBorders>
            <w:vAlign w:val="center"/>
          </w:tcPr>
          <w:p w:rsidR="00225D59" w:rsidRDefault="00225D59" w:rsidP="008F2727">
            <w:pPr>
              <w:pStyle w:val="Tabletextright"/>
              <w:jc w:val="center"/>
            </w:pPr>
            <w:r>
              <w:t>0.021</w:t>
            </w:r>
          </w:p>
        </w:tc>
        <w:tc>
          <w:tcPr>
            <w:tcW w:w="447" w:type="dxa"/>
            <w:tcBorders>
              <w:left w:val="nil"/>
              <w:right w:val="nil"/>
            </w:tcBorders>
            <w:vAlign w:val="center"/>
          </w:tcPr>
          <w:p w:rsidR="00225D59" w:rsidRPr="00A54716" w:rsidRDefault="00225D59" w:rsidP="008F2727">
            <w:pPr>
              <w:pStyle w:val="Tabletextright"/>
            </w:pPr>
          </w:p>
        </w:tc>
        <w:tc>
          <w:tcPr>
            <w:tcW w:w="1276" w:type="dxa"/>
            <w:tcBorders>
              <w:left w:val="nil"/>
              <w:right w:val="nil"/>
            </w:tcBorders>
            <w:shd w:val="clear" w:color="auto" w:fill="auto"/>
            <w:noWrap/>
            <w:vAlign w:val="center"/>
          </w:tcPr>
          <w:p w:rsidR="00225D59" w:rsidRDefault="00225D59" w:rsidP="008F2727">
            <w:pPr>
              <w:pStyle w:val="Tabletextright"/>
            </w:pPr>
            <w:r>
              <w:t>0.044</w:t>
            </w:r>
          </w:p>
        </w:tc>
        <w:tc>
          <w:tcPr>
            <w:tcW w:w="635" w:type="dxa"/>
            <w:tcBorders>
              <w:left w:val="nil"/>
              <w:right w:val="nil"/>
            </w:tcBorders>
            <w:shd w:val="clear" w:color="auto" w:fill="auto"/>
            <w:noWrap/>
            <w:vAlign w:val="center"/>
          </w:tcPr>
          <w:p w:rsidR="00225D59" w:rsidRPr="00A54716" w:rsidRDefault="00225D59" w:rsidP="008F2727">
            <w:pPr>
              <w:pStyle w:val="Tabletextright"/>
            </w:pPr>
          </w:p>
        </w:tc>
        <w:tc>
          <w:tcPr>
            <w:tcW w:w="1491" w:type="dxa"/>
            <w:tcBorders>
              <w:left w:val="nil"/>
              <w:right w:val="nil"/>
            </w:tcBorders>
            <w:vAlign w:val="center"/>
          </w:tcPr>
          <w:p w:rsidR="00225D59" w:rsidRDefault="00225D59" w:rsidP="008F2727">
            <w:pPr>
              <w:pStyle w:val="Tabletextright"/>
            </w:pPr>
            <w:r>
              <w:t>0.11</w:t>
            </w:r>
          </w:p>
        </w:tc>
        <w:tc>
          <w:tcPr>
            <w:tcW w:w="1456" w:type="dxa"/>
            <w:tcBorders>
              <w:left w:val="nil"/>
              <w:right w:val="nil"/>
            </w:tcBorders>
            <w:vAlign w:val="center"/>
          </w:tcPr>
          <w:p w:rsidR="00225D59" w:rsidRPr="00A54716" w:rsidRDefault="00225D59" w:rsidP="008F2727">
            <w:pPr>
              <w:pStyle w:val="Tabletextright"/>
            </w:pPr>
          </w:p>
        </w:tc>
        <w:tc>
          <w:tcPr>
            <w:tcW w:w="954" w:type="dxa"/>
            <w:tcBorders>
              <w:left w:val="nil"/>
              <w:right w:val="nil"/>
            </w:tcBorders>
            <w:vAlign w:val="center"/>
          </w:tcPr>
          <w:p w:rsidR="00225D59" w:rsidRDefault="00225D59" w:rsidP="008F2727">
            <w:pPr>
              <w:pStyle w:val="Tabletextright"/>
            </w:pPr>
            <w:r>
              <w:t>0.043</w:t>
            </w:r>
          </w:p>
        </w:tc>
        <w:tc>
          <w:tcPr>
            <w:tcW w:w="486" w:type="dxa"/>
            <w:tcBorders>
              <w:left w:val="nil"/>
              <w:right w:val="nil"/>
            </w:tcBorders>
            <w:shd w:val="clear" w:color="auto" w:fill="auto"/>
            <w:noWrap/>
            <w:vAlign w:val="center"/>
          </w:tcPr>
          <w:p w:rsidR="00225D59" w:rsidRPr="00A54716" w:rsidRDefault="00225D59" w:rsidP="008F2727">
            <w:pPr>
              <w:pStyle w:val="Tabletextleft"/>
              <w:spacing w:line="240" w:lineRule="auto"/>
            </w:pPr>
          </w:p>
        </w:tc>
      </w:tr>
      <w:tr w:rsidR="00225D59" w:rsidRPr="00A54716" w:rsidTr="00225D59">
        <w:trPr>
          <w:trHeight w:hRule="exact" w:val="284"/>
          <w:jc w:val="center"/>
        </w:trPr>
        <w:tc>
          <w:tcPr>
            <w:tcW w:w="1644" w:type="dxa"/>
            <w:tcBorders>
              <w:left w:val="nil"/>
              <w:bottom w:val="single" w:sz="4" w:space="0" w:color="auto"/>
              <w:right w:val="nil"/>
            </w:tcBorders>
            <w:shd w:val="clear" w:color="auto" w:fill="auto"/>
            <w:noWrap/>
            <w:vAlign w:val="center"/>
          </w:tcPr>
          <w:p w:rsidR="00225D59" w:rsidRDefault="00225D59" w:rsidP="008F2727">
            <w:pPr>
              <w:pStyle w:val="Tabletextleftbold"/>
              <w:rPr>
                <w:b w:val="0"/>
              </w:rPr>
            </w:pPr>
            <w:r w:rsidRPr="00373E9E">
              <w:rPr>
                <w:b w:val="0"/>
                <w:i/>
              </w:rPr>
              <w:t>t</w:t>
            </w:r>
            <w:r>
              <w:rPr>
                <w:b w:val="0"/>
              </w:rPr>
              <w:t>-stat</w:t>
            </w:r>
            <w:r w:rsidR="00373E9E">
              <w:rPr>
                <w:b w:val="0"/>
              </w:rPr>
              <w:t>istic</w:t>
            </w:r>
          </w:p>
        </w:tc>
        <w:tc>
          <w:tcPr>
            <w:tcW w:w="851" w:type="dxa"/>
            <w:tcBorders>
              <w:left w:val="nil"/>
              <w:bottom w:val="single" w:sz="4" w:space="0" w:color="auto"/>
              <w:right w:val="nil"/>
            </w:tcBorders>
            <w:vAlign w:val="center"/>
          </w:tcPr>
          <w:p w:rsidR="00225D59" w:rsidRDefault="00225D59" w:rsidP="008F2727">
            <w:pPr>
              <w:pStyle w:val="Tabletextright"/>
              <w:jc w:val="center"/>
            </w:pPr>
            <w:r>
              <w:t>[2.50]</w:t>
            </w:r>
          </w:p>
        </w:tc>
        <w:tc>
          <w:tcPr>
            <w:tcW w:w="447" w:type="dxa"/>
            <w:tcBorders>
              <w:left w:val="nil"/>
              <w:bottom w:val="single" w:sz="4" w:space="0" w:color="auto"/>
              <w:right w:val="nil"/>
            </w:tcBorders>
            <w:vAlign w:val="center"/>
          </w:tcPr>
          <w:p w:rsidR="00225D59" w:rsidRPr="00A54716" w:rsidRDefault="00225D59" w:rsidP="008F2727">
            <w:pPr>
              <w:pStyle w:val="Tabletextright"/>
            </w:pPr>
          </w:p>
        </w:tc>
        <w:tc>
          <w:tcPr>
            <w:tcW w:w="1276" w:type="dxa"/>
            <w:tcBorders>
              <w:left w:val="nil"/>
              <w:bottom w:val="single" w:sz="4" w:space="0" w:color="auto"/>
              <w:right w:val="nil"/>
            </w:tcBorders>
            <w:shd w:val="clear" w:color="auto" w:fill="auto"/>
            <w:noWrap/>
            <w:vAlign w:val="center"/>
          </w:tcPr>
          <w:p w:rsidR="00225D59" w:rsidRDefault="00225D59" w:rsidP="008F2727">
            <w:pPr>
              <w:pStyle w:val="Tabletextright"/>
            </w:pPr>
            <w:r>
              <w:t>[3.91]</w:t>
            </w:r>
          </w:p>
        </w:tc>
        <w:tc>
          <w:tcPr>
            <w:tcW w:w="635" w:type="dxa"/>
            <w:tcBorders>
              <w:left w:val="nil"/>
              <w:bottom w:val="single" w:sz="4" w:space="0" w:color="auto"/>
              <w:right w:val="nil"/>
            </w:tcBorders>
            <w:shd w:val="clear" w:color="auto" w:fill="auto"/>
            <w:noWrap/>
            <w:vAlign w:val="center"/>
          </w:tcPr>
          <w:p w:rsidR="00225D59" w:rsidRPr="00A54716" w:rsidRDefault="00225D59" w:rsidP="008F2727">
            <w:pPr>
              <w:pStyle w:val="Tabletextright"/>
            </w:pPr>
          </w:p>
        </w:tc>
        <w:tc>
          <w:tcPr>
            <w:tcW w:w="1491" w:type="dxa"/>
            <w:tcBorders>
              <w:left w:val="nil"/>
              <w:bottom w:val="single" w:sz="4" w:space="0" w:color="auto"/>
              <w:right w:val="nil"/>
            </w:tcBorders>
            <w:vAlign w:val="center"/>
          </w:tcPr>
          <w:p w:rsidR="00225D59" w:rsidRDefault="00225D59" w:rsidP="008F2727">
            <w:pPr>
              <w:pStyle w:val="Tabletextright"/>
            </w:pPr>
            <w:r>
              <w:t>[6.22]</w:t>
            </w:r>
          </w:p>
        </w:tc>
        <w:tc>
          <w:tcPr>
            <w:tcW w:w="1456" w:type="dxa"/>
            <w:tcBorders>
              <w:left w:val="nil"/>
              <w:bottom w:val="single" w:sz="4" w:space="0" w:color="auto"/>
              <w:right w:val="nil"/>
            </w:tcBorders>
            <w:vAlign w:val="center"/>
          </w:tcPr>
          <w:p w:rsidR="00225D59" w:rsidRPr="00A54716" w:rsidRDefault="00225D59" w:rsidP="008F2727">
            <w:pPr>
              <w:pStyle w:val="Tabletextright"/>
            </w:pPr>
          </w:p>
        </w:tc>
        <w:tc>
          <w:tcPr>
            <w:tcW w:w="954" w:type="dxa"/>
            <w:tcBorders>
              <w:left w:val="nil"/>
              <w:bottom w:val="single" w:sz="4" w:space="0" w:color="auto"/>
              <w:right w:val="nil"/>
            </w:tcBorders>
            <w:vAlign w:val="center"/>
          </w:tcPr>
          <w:p w:rsidR="00225D59" w:rsidRDefault="00225D59" w:rsidP="008F2727">
            <w:pPr>
              <w:pStyle w:val="Tabletextright"/>
            </w:pPr>
            <w:r>
              <w:t>[4.05]</w:t>
            </w:r>
          </w:p>
        </w:tc>
        <w:tc>
          <w:tcPr>
            <w:tcW w:w="486" w:type="dxa"/>
            <w:tcBorders>
              <w:left w:val="nil"/>
              <w:bottom w:val="single" w:sz="4" w:space="0" w:color="auto"/>
              <w:right w:val="nil"/>
            </w:tcBorders>
            <w:shd w:val="clear" w:color="auto" w:fill="auto"/>
            <w:noWrap/>
            <w:vAlign w:val="center"/>
          </w:tcPr>
          <w:p w:rsidR="00225D59" w:rsidRPr="00A54716" w:rsidRDefault="00225D59" w:rsidP="008F2727">
            <w:pPr>
              <w:pStyle w:val="Tabletextleft"/>
              <w:spacing w:line="240" w:lineRule="auto"/>
            </w:pPr>
          </w:p>
        </w:tc>
      </w:tr>
    </w:tbl>
    <w:p w:rsidR="003703FF" w:rsidRDefault="003703FF" w:rsidP="003E6367">
      <w:pPr>
        <w:pStyle w:val="Tabletextleft"/>
        <w:spacing w:line="240" w:lineRule="auto"/>
        <w:jc w:val="both"/>
      </w:pPr>
    </w:p>
    <w:p w:rsidR="00A54716" w:rsidRDefault="00A54716">
      <w:pPr>
        <w:spacing w:after="200" w:line="276" w:lineRule="auto"/>
        <w:ind w:firstLine="0"/>
        <w:jc w:val="left"/>
        <w:rPr>
          <w:rFonts w:eastAsiaTheme="minorEastAsia" w:cs="Times New Roman"/>
          <w:sz w:val="20"/>
          <w:szCs w:val="20"/>
          <w:lang w:val="en-US"/>
        </w:rPr>
      </w:pPr>
      <w:r>
        <w:rPr>
          <w:rFonts w:eastAsiaTheme="minorEastAsia" w:cs="Times New Roman"/>
          <w:sz w:val="20"/>
          <w:szCs w:val="20"/>
          <w:lang w:val="en-US"/>
        </w:rPr>
        <w:br w:type="page"/>
      </w:r>
    </w:p>
    <w:bookmarkEnd w:id="54"/>
    <w:bookmarkEnd w:id="55"/>
    <w:bookmarkEnd w:id="56"/>
    <w:p w:rsidR="00AD4D46" w:rsidRDefault="00AD4D46" w:rsidP="00BA61B4">
      <w:pPr>
        <w:pStyle w:val="Caption"/>
      </w:pPr>
      <w:r>
        <w:lastRenderedPageBreak/>
        <w:t>Table IV</w:t>
      </w:r>
    </w:p>
    <w:p w:rsidR="00E9071B" w:rsidRDefault="00BC5246">
      <w:pPr>
        <w:ind w:firstLine="0"/>
        <w:jc w:val="center"/>
      </w:pPr>
      <w:r w:rsidRPr="00BC5246">
        <w:rPr>
          <w:b/>
        </w:rPr>
        <w:t>Weighted Price Contributions</w:t>
      </w:r>
    </w:p>
    <w:p w:rsidR="00E9071B" w:rsidRDefault="00AC4472">
      <w:pPr>
        <w:spacing w:line="240" w:lineRule="auto"/>
        <w:ind w:firstLine="0"/>
        <w:jc w:val="left"/>
      </w:pPr>
      <w:r>
        <w:t xml:space="preserve">The </w:t>
      </w:r>
      <w:r w:rsidRPr="00373E9E">
        <w:rPr>
          <w:i/>
        </w:rPr>
        <w:t>t</w:t>
      </w:r>
      <w:r>
        <w:t xml:space="preserve">-statistics for the average per-hour information share are based on the time-series standard deviations divided by the square root of the number of hours in each market.   </w:t>
      </w:r>
    </w:p>
    <w:p w:rsidR="00E9071B" w:rsidRDefault="00E9071B">
      <w:pPr>
        <w:spacing w:line="240" w:lineRule="auto"/>
        <w:ind w:firstLine="0"/>
        <w:jc w:val="left"/>
      </w:pPr>
    </w:p>
    <w:tbl>
      <w:tblPr>
        <w:tblpPr w:leftFromText="180" w:rightFromText="180" w:vertAnchor="text" w:tblpXSpec="center" w:tblpY="1"/>
        <w:tblOverlap w:val="never"/>
        <w:tblW w:w="6610" w:type="dxa"/>
        <w:tblLayout w:type="fixed"/>
        <w:tblLook w:val="04A0" w:firstRow="1" w:lastRow="0" w:firstColumn="1" w:lastColumn="0" w:noHBand="0" w:noVBand="1"/>
      </w:tblPr>
      <w:tblGrid>
        <w:gridCol w:w="1219"/>
        <w:gridCol w:w="1258"/>
        <w:gridCol w:w="1015"/>
        <w:gridCol w:w="1701"/>
        <w:gridCol w:w="1417"/>
      </w:tblGrid>
      <w:tr w:rsidR="00AD4D46" w:rsidRPr="00AD4D46" w:rsidTr="00AC4472">
        <w:trPr>
          <w:trHeight w:val="576"/>
        </w:trPr>
        <w:tc>
          <w:tcPr>
            <w:tcW w:w="1219" w:type="dxa"/>
            <w:tcBorders>
              <w:top w:val="single" w:sz="4" w:space="0" w:color="auto"/>
              <w:bottom w:val="single" w:sz="4" w:space="0" w:color="auto"/>
            </w:tcBorders>
            <w:shd w:val="clear" w:color="auto" w:fill="auto"/>
            <w:hideMark/>
          </w:tcPr>
          <w:p w:rsidR="00E9071B" w:rsidRDefault="00E9071B">
            <w:pPr>
              <w:spacing w:line="240" w:lineRule="auto"/>
              <w:ind w:firstLine="0"/>
              <w:contextualSpacing/>
              <w:jc w:val="center"/>
              <w:rPr>
                <w:rFonts w:eastAsia="Times New Roman" w:cs="Times New Roman"/>
                <w:b/>
                <w:bCs/>
                <w:color w:val="000000"/>
                <w:lang w:eastAsia="en-AU"/>
              </w:rPr>
            </w:pPr>
            <w:r>
              <w:rPr>
                <w:rFonts w:eastAsia="Times New Roman" w:cs="Times New Roman"/>
                <w:b/>
                <w:bCs/>
                <w:noProof/>
                <w:color w:val="000000"/>
                <w:sz w:val="22"/>
                <w:lang w:eastAsia="en-AU"/>
              </w:rPr>
              <w:drawing>
                <wp:anchor distT="0" distB="0" distL="114300" distR="114300" simplePos="0" relativeHeight="251662848" behindDoc="0" locked="0" layoutInCell="1" allowOverlap="1" wp14:anchorId="4F827B3D" wp14:editId="5BBEB564">
                  <wp:simplePos x="0" y="0"/>
                  <wp:positionH relativeFrom="column">
                    <wp:posOffset>0</wp:posOffset>
                  </wp:positionH>
                  <wp:positionV relativeFrom="paragraph">
                    <wp:posOffset>0</wp:posOffset>
                  </wp:positionV>
                  <wp:extent cx="190500" cy="144780"/>
                  <wp:effectExtent l="0" t="0" r="0" b="7620"/>
                  <wp:wrapNone/>
                  <wp:docPr id="11" name="Picture 1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 hidden="1"/>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pic:spPr>
                      </pic:pic>
                    </a:graphicData>
                  </a:graphic>
                </wp:anchor>
              </w:drawing>
            </w:r>
            <w:bookmarkStart w:id="57" w:name="RANGE!A1"/>
            <w:r w:rsidR="00BC5246" w:rsidRPr="00BC5246">
              <w:rPr>
                <w:rFonts w:eastAsia="Times New Roman" w:cs="Times New Roman"/>
                <w:b/>
                <w:bCs/>
                <w:color w:val="000000"/>
                <w:sz w:val="22"/>
                <w:lang w:eastAsia="en-AU"/>
              </w:rPr>
              <w:t>year</w:t>
            </w:r>
            <w:bookmarkEnd w:id="57"/>
          </w:p>
        </w:tc>
        <w:tc>
          <w:tcPr>
            <w:tcW w:w="1258" w:type="dxa"/>
            <w:tcBorders>
              <w:top w:val="single" w:sz="4" w:space="0" w:color="auto"/>
              <w:bottom w:val="single" w:sz="4" w:space="0" w:color="auto"/>
            </w:tcBorders>
            <w:shd w:val="clear" w:color="auto" w:fill="auto"/>
            <w:hideMark/>
          </w:tcPr>
          <w:p w:rsidR="00E9071B" w:rsidRDefault="00BC5246">
            <w:pPr>
              <w:spacing w:line="240" w:lineRule="auto"/>
              <w:ind w:firstLine="0"/>
              <w:contextualSpacing/>
              <w:jc w:val="center"/>
              <w:rPr>
                <w:rFonts w:eastAsia="Times New Roman" w:cs="Times New Roman"/>
                <w:b/>
                <w:bCs/>
                <w:color w:val="000000"/>
                <w:lang w:eastAsia="en-AU"/>
              </w:rPr>
            </w:pPr>
            <w:r w:rsidRPr="00BC5246">
              <w:rPr>
                <w:rFonts w:eastAsia="Times New Roman" w:cs="Times New Roman"/>
                <w:b/>
                <w:bCs/>
                <w:color w:val="000000"/>
                <w:sz w:val="22"/>
                <w:lang w:eastAsia="en-AU"/>
              </w:rPr>
              <w:t>Asia</w:t>
            </w:r>
          </w:p>
        </w:tc>
        <w:tc>
          <w:tcPr>
            <w:tcW w:w="1015" w:type="dxa"/>
            <w:tcBorders>
              <w:top w:val="single" w:sz="4" w:space="0" w:color="auto"/>
              <w:bottom w:val="single" w:sz="4" w:space="0" w:color="auto"/>
            </w:tcBorders>
            <w:shd w:val="clear" w:color="auto" w:fill="auto"/>
            <w:hideMark/>
          </w:tcPr>
          <w:p w:rsidR="00E9071B" w:rsidRDefault="00BC5246">
            <w:pPr>
              <w:spacing w:line="240" w:lineRule="auto"/>
              <w:ind w:firstLine="0"/>
              <w:contextualSpacing/>
              <w:jc w:val="center"/>
              <w:rPr>
                <w:rFonts w:eastAsia="Times New Roman" w:cs="Times New Roman"/>
                <w:b/>
                <w:bCs/>
                <w:color w:val="000000"/>
                <w:lang w:eastAsia="en-AU"/>
              </w:rPr>
            </w:pPr>
            <w:r w:rsidRPr="00BC5246">
              <w:rPr>
                <w:rFonts w:eastAsia="Times New Roman" w:cs="Times New Roman"/>
                <w:b/>
                <w:bCs/>
                <w:color w:val="000000"/>
                <w:sz w:val="22"/>
                <w:lang w:eastAsia="en-AU"/>
              </w:rPr>
              <w:t>Euro</w:t>
            </w:r>
          </w:p>
        </w:tc>
        <w:tc>
          <w:tcPr>
            <w:tcW w:w="1701" w:type="dxa"/>
            <w:tcBorders>
              <w:top w:val="single" w:sz="4" w:space="0" w:color="auto"/>
              <w:bottom w:val="single" w:sz="4" w:space="0" w:color="auto"/>
            </w:tcBorders>
            <w:shd w:val="clear" w:color="auto" w:fill="auto"/>
            <w:hideMark/>
          </w:tcPr>
          <w:p w:rsidR="00E9071B" w:rsidRDefault="00BC5246">
            <w:pPr>
              <w:spacing w:line="240" w:lineRule="auto"/>
              <w:ind w:firstLine="0"/>
              <w:contextualSpacing/>
              <w:jc w:val="center"/>
              <w:rPr>
                <w:rFonts w:eastAsia="Times New Roman" w:cs="Times New Roman"/>
                <w:b/>
                <w:bCs/>
                <w:color w:val="000000"/>
                <w:lang w:eastAsia="en-AU"/>
              </w:rPr>
            </w:pPr>
            <w:r w:rsidRPr="00BC5246">
              <w:rPr>
                <w:rFonts w:eastAsia="Times New Roman" w:cs="Times New Roman"/>
                <w:b/>
                <w:bCs/>
                <w:color w:val="000000"/>
                <w:sz w:val="22"/>
                <w:lang w:eastAsia="en-AU"/>
              </w:rPr>
              <w:t>London/N</w:t>
            </w:r>
            <w:r w:rsidR="007977A0">
              <w:rPr>
                <w:rFonts w:eastAsia="Times New Roman" w:cs="Times New Roman"/>
                <w:b/>
                <w:bCs/>
                <w:color w:val="000000"/>
                <w:sz w:val="22"/>
                <w:lang w:eastAsia="en-AU"/>
              </w:rPr>
              <w:t>ew York</w:t>
            </w:r>
          </w:p>
        </w:tc>
        <w:tc>
          <w:tcPr>
            <w:tcW w:w="1417" w:type="dxa"/>
            <w:tcBorders>
              <w:top w:val="single" w:sz="4" w:space="0" w:color="auto"/>
              <w:bottom w:val="single" w:sz="4" w:space="0" w:color="auto"/>
            </w:tcBorders>
            <w:shd w:val="clear" w:color="auto" w:fill="auto"/>
            <w:hideMark/>
          </w:tcPr>
          <w:p w:rsidR="00E9071B" w:rsidRDefault="00BC5246">
            <w:pPr>
              <w:spacing w:line="240" w:lineRule="auto"/>
              <w:ind w:firstLine="0"/>
              <w:contextualSpacing/>
              <w:jc w:val="center"/>
              <w:rPr>
                <w:rFonts w:eastAsia="Times New Roman" w:cs="Times New Roman"/>
                <w:b/>
                <w:bCs/>
                <w:color w:val="000000"/>
                <w:lang w:eastAsia="en-AU"/>
              </w:rPr>
            </w:pPr>
            <w:r w:rsidRPr="00BC5246">
              <w:rPr>
                <w:rFonts w:eastAsia="Times New Roman" w:cs="Times New Roman"/>
                <w:b/>
                <w:bCs/>
                <w:color w:val="000000"/>
                <w:sz w:val="22"/>
                <w:lang w:eastAsia="en-AU"/>
              </w:rPr>
              <w:t>US</w:t>
            </w:r>
          </w:p>
        </w:tc>
      </w:tr>
      <w:tr w:rsidR="00AD4D46" w:rsidRPr="00AD4D46" w:rsidTr="00AC4472">
        <w:trPr>
          <w:trHeight w:val="288"/>
        </w:trPr>
        <w:tc>
          <w:tcPr>
            <w:tcW w:w="1219" w:type="dxa"/>
            <w:tcBorders>
              <w:top w:val="single" w:sz="4" w:space="0" w:color="auto"/>
            </w:tcBorders>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1996</w:t>
            </w:r>
          </w:p>
        </w:tc>
        <w:tc>
          <w:tcPr>
            <w:tcW w:w="1258" w:type="dxa"/>
            <w:tcBorders>
              <w:top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0.051</w:t>
            </w:r>
          </w:p>
        </w:tc>
        <w:tc>
          <w:tcPr>
            <w:tcW w:w="1015" w:type="dxa"/>
            <w:tcBorders>
              <w:top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0.435</w:t>
            </w:r>
          </w:p>
        </w:tc>
        <w:tc>
          <w:tcPr>
            <w:tcW w:w="1701" w:type="dxa"/>
            <w:tcBorders>
              <w:top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0.036</w:t>
            </w:r>
          </w:p>
        </w:tc>
        <w:tc>
          <w:tcPr>
            <w:tcW w:w="1417" w:type="dxa"/>
            <w:tcBorders>
              <w:top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0.479</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1997</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0.197</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0.298</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0.119</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0.387</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1998</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0.229</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0.277</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0.187</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0.307</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1999</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0.320</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0.263</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0.188</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0.229</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2000</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0.192</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0.240</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0.175</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0.393</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2001</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0.219</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0.317</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0.193</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0.271</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2002</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0.146</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0.291</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0.173</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0.389</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2003</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0.176</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0.248</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0.262</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0.313</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2004</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0.203</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0.329</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0.268</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0.199</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2005</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0.242</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0.306</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0.260</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0.191</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2006</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0.211</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0.290</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0.213</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0.286</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2007</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0.223</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0.341</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0.234</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0.202</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2008</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0.126</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0.319</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0.279</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0.276</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2009</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0.177</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0.337</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0.212</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0.274</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2010</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0.205</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0.273</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0.252</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0.270</w:t>
            </w:r>
          </w:p>
        </w:tc>
      </w:tr>
      <w:tr w:rsidR="00AD4D46" w:rsidRPr="00AD4D46" w:rsidTr="00AC4472">
        <w:trPr>
          <w:trHeight w:val="288"/>
        </w:trPr>
        <w:tc>
          <w:tcPr>
            <w:tcW w:w="1219" w:type="dxa"/>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2011</w:t>
            </w:r>
          </w:p>
        </w:tc>
        <w:tc>
          <w:tcPr>
            <w:tcW w:w="1258"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0.307</w:t>
            </w:r>
          </w:p>
        </w:tc>
        <w:tc>
          <w:tcPr>
            <w:tcW w:w="1015"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0.257</w:t>
            </w:r>
          </w:p>
        </w:tc>
        <w:tc>
          <w:tcPr>
            <w:tcW w:w="1701"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0.160</w:t>
            </w:r>
          </w:p>
        </w:tc>
        <w:tc>
          <w:tcPr>
            <w:tcW w:w="1417" w:type="dxa"/>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0.276</w:t>
            </w:r>
          </w:p>
        </w:tc>
      </w:tr>
      <w:tr w:rsidR="00AD4D46" w:rsidRPr="00AD4D46" w:rsidTr="00AC4472">
        <w:trPr>
          <w:trHeight w:val="300"/>
        </w:trPr>
        <w:tc>
          <w:tcPr>
            <w:tcW w:w="1219" w:type="dxa"/>
            <w:tcBorders>
              <w:bottom w:val="single" w:sz="4" w:space="0" w:color="auto"/>
            </w:tcBorders>
            <w:shd w:val="clear" w:color="auto" w:fill="auto"/>
            <w:hideMark/>
          </w:tcPr>
          <w:p w:rsidR="00E9071B"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2012</w:t>
            </w:r>
          </w:p>
        </w:tc>
        <w:tc>
          <w:tcPr>
            <w:tcW w:w="1258" w:type="dxa"/>
            <w:tcBorders>
              <w:bottom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0.267</w:t>
            </w:r>
          </w:p>
        </w:tc>
        <w:tc>
          <w:tcPr>
            <w:tcW w:w="1015" w:type="dxa"/>
            <w:tcBorders>
              <w:bottom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0.327</w:t>
            </w:r>
          </w:p>
        </w:tc>
        <w:tc>
          <w:tcPr>
            <w:tcW w:w="1701" w:type="dxa"/>
            <w:tcBorders>
              <w:bottom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0.171</w:t>
            </w:r>
          </w:p>
        </w:tc>
        <w:tc>
          <w:tcPr>
            <w:tcW w:w="1417" w:type="dxa"/>
            <w:tcBorders>
              <w:bottom w:val="single" w:sz="4" w:space="0" w:color="auto"/>
            </w:tcBorders>
            <w:shd w:val="clear" w:color="auto" w:fill="auto"/>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0.235</w:t>
            </w:r>
          </w:p>
        </w:tc>
      </w:tr>
      <w:tr w:rsidR="00AD4D46" w:rsidRPr="00AD4D46" w:rsidTr="00AC4472">
        <w:trPr>
          <w:trHeight w:val="288"/>
        </w:trPr>
        <w:tc>
          <w:tcPr>
            <w:tcW w:w="1219" w:type="dxa"/>
            <w:tcBorders>
              <w:top w:val="single" w:sz="4" w:space="0" w:color="auto"/>
            </w:tcBorders>
            <w:shd w:val="clear" w:color="auto" w:fill="auto"/>
            <w:noWrap/>
            <w:vAlign w:val="bottom"/>
            <w:hideMark/>
          </w:tcPr>
          <w:p w:rsidR="00E9071B" w:rsidRDefault="00AD4D46">
            <w:pPr>
              <w:spacing w:line="240" w:lineRule="auto"/>
              <w:ind w:firstLine="0"/>
              <w:jc w:val="center"/>
              <w:rPr>
                <w:rFonts w:eastAsia="Times New Roman" w:cs="Times New Roman"/>
                <w:color w:val="000000"/>
                <w:lang w:eastAsia="en-AU"/>
              </w:rPr>
            </w:pPr>
            <w:r>
              <w:rPr>
                <w:rFonts w:eastAsia="Times New Roman" w:cs="Times New Roman"/>
                <w:color w:val="000000"/>
                <w:sz w:val="22"/>
                <w:lang w:eastAsia="en-AU"/>
              </w:rPr>
              <w:t>Average</w:t>
            </w:r>
          </w:p>
        </w:tc>
        <w:tc>
          <w:tcPr>
            <w:tcW w:w="1258" w:type="dxa"/>
            <w:tcBorders>
              <w:top w:val="single" w:sz="4" w:space="0" w:color="auto"/>
            </w:tcBorders>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0.205</w:t>
            </w:r>
          </w:p>
        </w:tc>
        <w:tc>
          <w:tcPr>
            <w:tcW w:w="1015" w:type="dxa"/>
            <w:tcBorders>
              <w:top w:val="single" w:sz="4" w:space="0" w:color="auto"/>
            </w:tcBorders>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0.303</w:t>
            </w:r>
          </w:p>
        </w:tc>
        <w:tc>
          <w:tcPr>
            <w:tcW w:w="1701" w:type="dxa"/>
            <w:tcBorders>
              <w:top w:val="single" w:sz="4" w:space="0" w:color="auto"/>
            </w:tcBorders>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0.199</w:t>
            </w:r>
          </w:p>
        </w:tc>
        <w:tc>
          <w:tcPr>
            <w:tcW w:w="1417" w:type="dxa"/>
            <w:tcBorders>
              <w:top w:val="single" w:sz="4" w:space="0" w:color="auto"/>
            </w:tcBorders>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0.293</w:t>
            </w:r>
          </w:p>
        </w:tc>
      </w:tr>
      <w:tr w:rsidR="008F2727" w:rsidRPr="00AD4D46" w:rsidTr="00AC4472">
        <w:trPr>
          <w:trHeight w:val="288"/>
        </w:trPr>
        <w:tc>
          <w:tcPr>
            <w:tcW w:w="1219" w:type="dxa"/>
            <w:shd w:val="clear" w:color="auto" w:fill="auto"/>
            <w:noWrap/>
            <w:vAlign w:val="bottom"/>
          </w:tcPr>
          <w:p w:rsidR="008F2727" w:rsidRDefault="008F2727" w:rsidP="00AD4D46">
            <w:pPr>
              <w:spacing w:line="240" w:lineRule="auto"/>
              <w:ind w:firstLine="0"/>
              <w:jc w:val="center"/>
              <w:rPr>
                <w:rFonts w:eastAsia="Times New Roman" w:cs="Times New Roman"/>
                <w:color w:val="000000"/>
                <w:lang w:eastAsia="en-AU"/>
              </w:rPr>
            </w:pPr>
            <w:r>
              <w:rPr>
                <w:rFonts w:eastAsia="Times New Roman" w:cs="Times New Roman"/>
                <w:color w:val="000000"/>
                <w:sz w:val="22"/>
                <w:lang w:eastAsia="en-AU"/>
              </w:rPr>
              <w:t>St Dev</w:t>
            </w:r>
          </w:p>
        </w:tc>
        <w:tc>
          <w:tcPr>
            <w:tcW w:w="1258" w:type="dxa"/>
            <w:shd w:val="clear" w:color="auto" w:fill="auto"/>
            <w:noWrap/>
            <w:vAlign w:val="bottom"/>
          </w:tcPr>
          <w:p w:rsidR="008F2727" w:rsidRPr="008F2727"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0.064</w:t>
            </w:r>
          </w:p>
        </w:tc>
        <w:tc>
          <w:tcPr>
            <w:tcW w:w="1015" w:type="dxa"/>
            <w:shd w:val="clear" w:color="auto" w:fill="auto"/>
            <w:noWrap/>
            <w:vAlign w:val="bottom"/>
          </w:tcPr>
          <w:p w:rsidR="008F2727" w:rsidRPr="008F2727"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0.046</w:t>
            </w:r>
          </w:p>
        </w:tc>
        <w:tc>
          <w:tcPr>
            <w:tcW w:w="1701" w:type="dxa"/>
            <w:shd w:val="clear" w:color="auto" w:fill="auto"/>
            <w:noWrap/>
            <w:vAlign w:val="bottom"/>
          </w:tcPr>
          <w:p w:rsidR="008F2727" w:rsidRPr="008F2727"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0.061</w:t>
            </w:r>
          </w:p>
        </w:tc>
        <w:tc>
          <w:tcPr>
            <w:tcW w:w="1417" w:type="dxa"/>
            <w:shd w:val="clear" w:color="auto" w:fill="auto"/>
            <w:noWrap/>
            <w:vAlign w:val="bottom"/>
          </w:tcPr>
          <w:p w:rsidR="008F2727" w:rsidRPr="008F2727"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0.079</w:t>
            </w:r>
          </w:p>
        </w:tc>
      </w:tr>
      <w:tr w:rsidR="008F2727" w:rsidRPr="00AD4D46" w:rsidTr="00AC4472">
        <w:trPr>
          <w:trHeight w:val="288"/>
        </w:trPr>
        <w:tc>
          <w:tcPr>
            <w:tcW w:w="1219" w:type="dxa"/>
            <w:shd w:val="clear" w:color="auto" w:fill="auto"/>
            <w:noWrap/>
            <w:vAlign w:val="bottom"/>
            <w:hideMark/>
          </w:tcPr>
          <w:p w:rsidR="00E9071B" w:rsidRDefault="00AD4D46">
            <w:pPr>
              <w:spacing w:line="240" w:lineRule="auto"/>
              <w:ind w:firstLine="0"/>
              <w:jc w:val="center"/>
              <w:rPr>
                <w:rFonts w:eastAsia="Times New Roman" w:cs="Times New Roman"/>
                <w:color w:val="000000"/>
                <w:lang w:eastAsia="en-AU"/>
              </w:rPr>
            </w:pPr>
            <w:r>
              <w:rPr>
                <w:rFonts w:eastAsia="Times New Roman" w:cs="Times New Roman"/>
                <w:color w:val="000000"/>
                <w:sz w:val="22"/>
                <w:lang w:eastAsia="en-AU"/>
              </w:rPr>
              <w:t>Per-hour</w:t>
            </w:r>
          </w:p>
        </w:tc>
        <w:tc>
          <w:tcPr>
            <w:tcW w:w="1258" w:type="dxa"/>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0.026</w:t>
            </w:r>
          </w:p>
        </w:tc>
        <w:tc>
          <w:tcPr>
            <w:tcW w:w="1015" w:type="dxa"/>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0.043</w:t>
            </w:r>
          </w:p>
        </w:tc>
        <w:tc>
          <w:tcPr>
            <w:tcW w:w="1701" w:type="dxa"/>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0.099</w:t>
            </w:r>
          </w:p>
        </w:tc>
        <w:tc>
          <w:tcPr>
            <w:tcW w:w="1417" w:type="dxa"/>
            <w:shd w:val="clear" w:color="auto" w:fill="auto"/>
            <w:noWrap/>
            <w:vAlign w:val="bottom"/>
            <w:hideMark/>
          </w:tcPr>
          <w:p w:rsidR="00AD4D46" w:rsidRPr="00AD4D46" w:rsidRDefault="00BC5246">
            <w:pPr>
              <w:spacing w:line="240" w:lineRule="auto"/>
              <w:ind w:firstLine="0"/>
              <w:jc w:val="center"/>
              <w:rPr>
                <w:rFonts w:eastAsia="Times New Roman" w:cs="Times New Roman"/>
                <w:color w:val="000000"/>
                <w:lang w:eastAsia="en-AU"/>
              </w:rPr>
            </w:pPr>
            <w:r w:rsidRPr="00BC5246">
              <w:rPr>
                <w:rFonts w:eastAsia="Times New Roman" w:cs="Times New Roman"/>
                <w:color w:val="000000"/>
                <w:sz w:val="22"/>
                <w:lang w:eastAsia="en-AU"/>
              </w:rPr>
              <w:t>0.042</w:t>
            </w:r>
          </w:p>
        </w:tc>
      </w:tr>
      <w:tr w:rsidR="00AC4472" w:rsidRPr="00AD4D46" w:rsidTr="00AC4472">
        <w:trPr>
          <w:trHeight w:val="288"/>
        </w:trPr>
        <w:tc>
          <w:tcPr>
            <w:tcW w:w="1219" w:type="dxa"/>
            <w:tcBorders>
              <w:bottom w:val="single" w:sz="4" w:space="0" w:color="auto"/>
            </w:tcBorders>
            <w:shd w:val="clear" w:color="auto" w:fill="auto"/>
            <w:noWrap/>
            <w:vAlign w:val="bottom"/>
          </w:tcPr>
          <w:p w:rsidR="00AC4472" w:rsidRDefault="00AC4472" w:rsidP="00AD4D46">
            <w:pPr>
              <w:spacing w:line="240" w:lineRule="auto"/>
              <w:ind w:firstLine="0"/>
              <w:jc w:val="center"/>
              <w:rPr>
                <w:rFonts w:eastAsia="Times New Roman" w:cs="Times New Roman"/>
                <w:color w:val="000000"/>
                <w:lang w:eastAsia="en-AU"/>
              </w:rPr>
            </w:pPr>
            <w:r w:rsidRPr="00373E9E">
              <w:rPr>
                <w:rFonts w:eastAsia="Times New Roman" w:cs="Times New Roman"/>
                <w:i/>
                <w:color w:val="000000"/>
                <w:sz w:val="22"/>
                <w:lang w:eastAsia="en-AU"/>
              </w:rPr>
              <w:t>t</w:t>
            </w:r>
            <w:r w:rsidR="00373E9E">
              <w:rPr>
                <w:rFonts w:eastAsia="Times New Roman" w:cs="Times New Roman"/>
                <w:color w:val="000000"/>
                <w:sz w:val="22"/>
                <w:lang w:eastAsia="en-AU"/>
              </w:rPr>
              <w:t>-statistic</w:t>
            </w:r>
          </w:p>
        </w:tc>
        <w:tc>
          <w:tcPr>
            <w:tcW w:w="1258" w:type="dxa"/>
            <w:tcBorders>
              <w:bottom w:val="single" w:sz="4" w:space="0" w:color="auto"/>
            </w:tcBorders>
            <w:shd w:val="clear" w:color="auto" w:fill="auto"/>
            <w:noWrap/>
            <w:vAlign w:val="bottom"/>
          </w:tcPr>
          <w:p w:rsidR="00AC4472" w:rsidRPr="00AC4472"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1.15</w:t>
            </w:r>
          </w:p>
        </w:tc>
        <w:tc>
          <w:tcPr>
            <w:tcW w:w="1015" w:type="dxa"/>
            <w:tcBorders>
              <w:bottom w:val="single" w:sz="4" w:space="0" w:color="auto"/>
            </w:tcBorders>
            <w:shd w:val="clear" w:color="auto" w:fill="auto"/>
            <w:noWrap/>
            <w:vAlign w:val="bottom"/>
          </w:tcPr>
          <w:p w:rsidR="00AC4472" w:rsidRPr="00AC4472"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2.47</w:t>
            </w:r>
          </w:p>
        </w:tc>
        <w:tc>
          <w:tcPr>
            <w:tcW w:w="1701" w:type="dxa"/>
            <w:tcBorders>
              <w:bottom w:val="single" w:sz="4" w:space="0" w:color="auto"/>
            </w:tcBorders>
            <w:shd w:val="clear" w:color="auto" w:fill="auto"/>
            <w:noWrap/>
            <w:vAlign w:val="bottom"/>
          </w:tcPr>
          <w:p w:rsidR="00AC4472" w:rsidRPr="00AC4472"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2.30</w:t>
            </w:r>
          </w:p>
        </w:tc>
        <w:tc>
          <w:tcPr>
            <w:tcW w:w="1417" w:type="dxa"/>
            <w:tcBorders>
              <w:bottom w:val="single" w:sz="4" w:space="0" w:color="auto"/>
            </w:tcBorders>
            <w:shd w:val="clear" w:color="auto" w:fill="auto"/>
            <w:noWrap/>
            <w:vAlign w:val="bottom"/>
          </w:tcPr>
          <w:p w:rsidR="00AC4472" w:rsidRPr="00AC4472" w:rsidRDefault="00BC5246" w:rsidP="00AD4D46">
            <w:pPr>
              <w:spacing w:line="240" w:lineRule="auto"/>
              <w:ind w:firstLine="0"/>
              <w:jc w:val="center"/>
              <w:rPr>
                <w:rFonts w:eastAsia="Times New Roman" w:cs="Times New Roman"/>
                <w:color w:val="000000"/>
                <w:lang w:eastAsia="en-AU"/>
              </w:rPr>
            </w:pPr>
            <w:r w:rsidRPr="00BC5246">
              <w:rPr>
                <w:rFonts w:cs="Times New Roman"/>
                <w:color w:val="000000"/>
                <w:sz w:val="22"/>
              </w:rPr>
              <w:t>1.41</w:t>
            </w:r>
          </w:p>
        </w:tc>
      </w:tr>
    </w:tbl>
    <w:p w:rsidR="00E9071B" w:rsidRDefault="00AD4D46">
      <w:pPr>
        <w:spacing w:line="240" w:lineRule="auto"/>
        <w:ind w:firstLine="0"/>
        <w:jc w:val="center"/>
      </w:pPr>
      <w:r>
        <w:rPr>
          <w:b/>
        </w:rPr>
        <w:br w:type="textWrapping" w:clear="all"/>
      </w:r>
    </w:p>
    <w:p w:rsidR="00AD4D46" w:rsidRDefault="00AD4D46">
      <w:pPr>
        <w:spacing w:after="200" w:line="276" w:lineRule="auto"/>
        <w:ind w:firstLine="0"/>
        <w:jc w:val="left"/>
        <w:rPr>
          <w:b/>
          <w:bCs/>
          <w:szCs w:val="18"/>
        </w:rPr>
      </w:pPr>
      <w:r>
        <w:br w:type="page"/>
      </w:r>
    </w:p>
    <w:p w:rsidR="00BA61B4" w:rsidRDefault="00BA61B4" w:rsidP="00BA61B4">
      <w:pPr>
        <w:pStyle w:val="Caption"/>
        <w:rPr>
          <w:noProof/>
        </w:rPr>
      </w:pPr>
      <w:r w:rsidRPr="000D4040">
        <w:lastRenderedPageBreak/>
        <w:t xml:space="preserve">Table </w:t>
      </w:r>
      <w:r>
        <w:rPr>
          <w:noProof/>
        </w:rPr>
        <w:t>V</w:t>
      </w:r>
    </w:p>
    <w:p w:rsidR="00BA61B4" w:rsidRPr="00117E6E" w:rsidRDefault="00BA61B4" w:rsidP="00BA61B4">
      <w:pPr>
        <w:pStyle w:val="Caption"/>
        <w:rPr>
          <w:rFonts w:eastAsiaTheme="minorEastAsia" w:cs="Times New Roman"/>
          <w:szCs w:val="24"/>
          <w:lang w:val="en-US"/>
        </w:rPr>
      </w:pPr>
      <w:r>
        <w:rPr>
          <w:rFonts w:eastAsiaTheme="minorEastAsia" w:cs="Times New Roman"/>
          <w:szCs w:val="24"/>
          <w:lang w:val="en-US"/>
        </w:rPr>
        <w:t>Two-scale Realized Variance Dynamics and Determinants</w:t>
      </w:r>
    </w:p>
    <w:p w:rsidR="00BA61B4" w:rsidRPr="00155B78" w:rsidRDefault="00BA61B4" w:rsidP="00BA61B4">
      <w:pPr>
        <w:suppressAutoHyphens/>
        <w:spacing w:line="240" w:lineRule="auto"/>
        <w:ind w:firstLine="0"/>
        <w:rPr>
          <w:rFonts w:eastAsia="Times New Roman" w:cs="Times New Roman"/>
          <w:sz w:val="16"/>
          <w:szCs w:val="16"/>
          <w:lang w:val="en-US"/>
        </w:rPr>
      </w:pPr>
    </w:p>
    <w:p w:rsidR="00BA61B4" w:rsidRPr="00373E9E" w:rsidRDefault="00BA61B4" w:rsidP="00373E9E">
      <w:pPr>
        <w:suppressAutoHyphens/>
        <w:spacing w:line="240" w:lineRule="auto"/>
        <w:ind w:firstLine="0"/>
        <w:rPr>
          <w:rFonts w:eastAsia="Times New Roman" w:cs="Times New Roman"/>
          <w:sz w:val="20"/>
          <w:szCs w:val="20"/>
          <w:lang w:val="en-US"/>
        </w:rPr>
      </w:pPr>
      <w:r w:rsidRPr="00BA61B4">
        <w:rPr>
          <w:rFonts w:eastAsia="Times New Roman" w:cs="Times New Roman"/>
          <w:sz w:val="20"/>
          <w:szCs w:val="20"/>
          <w:lang w:val="en-US"/>
        </w:rPr>
        <w:t xml:space="preserve">This </w:t>
      </w:r>
      <w:r w:rsidRPr="00373E9E">
        <w:rPr>
          <w:rFonts w:eastAsia="Times New Roman" w:cs="Times New Roman"/>
          <w:sz w:val="20"/>
          <w:szCs w:val="20"/>
          <w:lang w:val="en-US"/>
        </w:rPr>
        <w:t>table reports coefficient estimates of equation 5 for Asia (Panel A), Europe (Panel B)</w:t>
      </w:r>
      <w:r w:rsidR="007977A0" w:rsidRPr="00373E9E">
        <w:rPr>
          <w:rFonts w:eastAsia="Times New Roman" w:cs="Times New Roman"/>
          <w:sz w:val="20"/>
          <w:szCs w:val="20"/>
          <w:lang w:val="en-US"/>
        </w:rPr>
        <w:t>, London/New York (Panel C)</w:t>
      </w:r>
      <w:r w:rsidRPr="00373E9E">
        <w:rPr>
          <w:rFonts w:eastAsia="Times New Roman" w:cs="Times New Roman"/>
          <w:sz w:val="20"/>
          <w:szCs w:val="20"/>
          <w:lang w:val="en-US"/>
        </w:rPr>
        <w:t xml:space="preserve"> and U.S. (Panel </w:t>
      </w:r>
      <w:r w:rsidR="00EF3BA1" w:rsidRPr="00373E9E">
        <w:rPr>
          <w:rFonts w:eastAsia="Times New Roman" w:cs="Times New Roman"/>
          <w:sz w:val="20"/>
          <w:szCs w:val="20"/>
          <w:lang w:val="en-US"/>
        </w:rPr>
        <w:t>D</w:t>
      </w:r>
      <w:r w:rsidR="00373E9E" w:rsidRPr="00373E9E">
        <w:rPr>
          <w:rFonts w:eastAsia="Times New Roman" w:cs="Times New Roman"/>
          <w:sz w:val="20"/>
          <w:szCs w:val="20"/>
          <w:lang w:val="en-US"/>
        </w:rPr>
        <w:t xml:space="preserve">). </w:t>
      </w:r>
      <w:r w:rsidRPr="00373E9E">
        <w:rPr>
          <w:sz w:val="20"/>
          <w:szCs w:val="20"/>
        </w:rPr>
        <w:t xml:space="preserve">The </w:t>
      </w:r>
      <w:r w:rsidRPr="00373E9E">
        <w:rPr>
          <w:i/>
          <w:sz w:val="20"/>
          <w:szCs w:val="20"/>
        </w:rPr>
        <w:t>t-</w:t>
      </w:r>
      <w:r w:rsidRPr="00373E9E">
        <w:rPr>
          <w:sz w:val="20"/>
          <w:szCs w:val="20"/>
        </w:rPr>
        <w:t>statistics are in the square brackets with asterisks ***, **, and * indicating significant at 1%, 5%, and 10% respectively.</w:t>
      </w:r>
      <w:r w:rsidRPr="00BA61B4">
        <w:t xml:space="preserve">  </w:t>
      </w:r>
    </w:p>
    <w:tbl>
      <w:tblPr>
        <w:tblW w:w="5000" w:type="pct"/>
        <w:tblLayout w:type="fixed"/>
        <w:tblCellMar>
          <w:left w:w="0" w:type="dxa"/>
          <w:right w:w="0" w:type="dxa"/>
        </w:tblCellMar>
        <w:tblLook w:val="04A0" w:firstRow="1" w:lastRow="0" w:firstColumn="1" w:lastColumn="0" w:noHBand="0" w:noVBand="1"/>
      </w:tblPr>
      <w:tblGrid>
        <w:gridCol w:w="2850"/>
        <w:gridCol w:w="1700"/>
        <w:gridCol w:w="1704"/>
        <w:gridCol w:w="1702"/>
        <w:gridCol w:w="1713"/>
      </w:tblGrid>
      <w:tr w:rsidR="00BA61B4" w:rsidRPr="00BA61B4" w:rsidTr="00BA2932">
        <w:trPr>
          <w:trHeight w:hRule="exact" w:val="255"/>
        </w:trPr>
        <w:tc>
          <w:tcPr>
            <w:tcW w:w="1474"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rPr>
                <w:b/>
              </w:rPr>
            </w:pPr>
            <w:r w:rsidRPr="00BA61B4">
              <w:rPr>
                <w:b/>
              </w:rPr>
              <w:t>Panel A. Asia</w:t>
            </w:r>
          </w:p>
          <w:p w:rsidR="00BA61B4" w:rsidRPr="00BA61B4" w:rsidRDefault="00BA61B4" w:rsidP="00BA2932">
            <w:pPr>
              <w:pStyle w:val="Tabletextcentredbold"/>
              <w:rPr>
                <w:b w:val="0"/>
              </w:rPr>
            </w:pPr>
          </w:p>
        </w:tc>
        <w:tc>
          <w:tcPr>
            <w:tcW w:w="879"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p>
        </w:tc>
        <w:tc>
          <w:tcPr>
            <w:tcW w:w="881"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p>
        </w:tc>
        <w:tc>
          <w:tcPr>
            <w:tcW w:w="886"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p>
        </w:tc>
      </w:tr>
      <w:tr w:rsidR="00BA61B4" w:rsidRPr="00BA61B4" w:rsidTr="00BA2932">
        <w:trPr>
          <w:trHeight w:hRule="exact" w:val="255"/>
        </w:trPr>
        <w:tc>
          <w:tcPr>
            <w:tcW w:w="1474"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jc w:val="left"/>
              <w:rPr>
                <w:b w:val="0"/>
              </w:rPr>
            </w:pPr>
            <w:r w:rsidRPr="00BA61B4">
              <w:rPr>
                <w:b w:val="0"/>
              </w:rPr>
              <w:t>Variable</w:t>
            </w:r>
          </w:p>
        </w:tc>
        <w:tc>
          <w:tcPr>
            <w:tcW w:w="879"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1996 to 1999</w:t>
            </w:r>
          </w:p>
        </w:tc>
        <w:tc>
          <w:tcPr>
            <w:tcW w:w="881"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2000 to 2007</w:t>
            </w: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2008 to 2012</w:t>
            </w:r>
          </w:p>
        </w:tc>
        <w:tc>
          <w:tcPr>
            <w:tcW w:w="886"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Full Sample</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Intercept</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-3.56***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-2.51***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-2.32***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-2.07***</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[-6.25]</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[-9.11]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[-8.18]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[-16.73]</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Europe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0.11***</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0.09**</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0.11***</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[3.02]</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[3.61]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[2.37]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[4.96]</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London/New York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0.01</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[2.11]</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[0.73]</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U.S.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0.05</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[1.62]</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[2.48]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[5.77]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Asia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0.25***</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[5.75]</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[8.58]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[9.18]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[15.2]</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Weekly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0.35***</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0.31***</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[5.48]</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[7.04]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[3.93]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[9.19]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Monthly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0.18***</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[3.94]</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[6.06]</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[6.8]</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Expected Trades</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0.23***</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-0.03***</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[3.64]</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[1.14]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[-3.79]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Unexpected Trades</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0.64***</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0.49***</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0.48***</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[12.96]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[15.79]</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[5.41]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[20.78]</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jc w:val="left"/>
            </w:pPr>
            <w:r w:rsidRPr="00BA61B4">
              <w:t>Expected Order Imbalance</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25.78</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15.02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0.74</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jc w:val="left"/>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[1.25]</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[0.58]</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jc w:val="left"/>
            </w:pPr>
            <w:r w:rsidRPr="00BA61B4">
              <w:t>Unexpected Order Imbalance</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-0.34***</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[-0.66]</w:t>
            </w:r>
          </w:p>
        </w:tc>
        <w:tc>
          <w:tcPr>
            <w:tcW w:w="881"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[-3.15]</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[-3.07]</w:t>
            </w:r>
          </w:p>
        </w:tc>
      </w:tr>
      <w:tr w:rsidR="00BA61B4" w:rsidRPr="00BA61B4" w:rsidTr="00BA2932">
        <w:trPr>
          <w:trHeight w:hRule="exact" w:val="255"/>
        </w:trPr>
        <w:tc>
          <w:tcPr>
            <w:tcW w:w="1474"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7D7521" w:rsidP="00BA2932">
            <w:pPr>
              <w:pStyle w:val="Tableblurb"/>
            </w:pPr>
            <m:oMathPara>
              <m:oMathParaPr>
                <m:jc m:val="left"/>
              </m:oMathPara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m:oMathPara>
          </w:p>
        </w:tc>
        <w:tc>
          <w:tcPr>
            <w:tcW w:w="879"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pPr>
            <w:r w:rsidRPr="00BA61B4">
              <w:t>0.62</w:t>
            </w:r>
          </w:p>
        </w:tc>
        <w:tc>
          <w:tcPr>
            <w:tcW w:w="881"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pPr>
            <w:r w:rsidRPr="00BA61B4">
              <w:t>0.48</w:t>
            </w:r>
          </w:p>
        </w:tc>
        <w:tc>
          <w:tcPr>
            <w:tcW w:w="880"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pPr>
            <w:r w:rsidRPr="00BA61B4">
              <w:t>0.64</w:t>
            </w:r>
          </w:p>
        </w:tc>
        <w:tc>
          <w:tcPr>
            <w:tcW w:w="886"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pPr>
            <w:r w:rsidRPr="00BA61B4">
              <w:t>0.60</w:t>
            </w:r>
          </w:p>
        </w:tc>
      </w:tr>
    </w:tbl>
    <w:p w:rsidR="00BA61B4" w:rsidRPr="00BA61B4" w:rsidRDefault="00BA61B4" w:rsidP="00BA61B4">
      <w:pPr>
        <w:spacing w:line="240" w:lineRule="auto"/>
        <w:ind w:firstLine="0"/>
        <w:rPr>
          <w:rFonts w:cs="Times New Roman"/>
          <w:b/>
          <w:sz w:val="20"/>
          <w:szCs w:val="20"/>
          <w:lang w:val="en-US"/>
        </w:rPr>
      </w:pPr>
      <w:r w:rsidRPr="00DA32FC">
        <w:rPr>
          <w:rFonts w:cs="Times New Roman"/>
          <w:b/>
          <w:sz w:val="20"/>
          <w:szCs w:val="20"/>
        </w:rPr>
        <w:t>Panel B. Europe</w:t>
      </w:r>
    </w:p>
    <w:tbl>
      <w:tblPr>
        <w:tblW w:w="5000" w:type="pct"/>
        <w:tblLayout w:type="fixed"/>
        <w:tblCellMar>
          <w:left w:w="0" w:type="dxa"/>
          <w:right w:w="0" w:type="dxa"/>
        </w:tblCellMar>
        <w:tblLook w:val="04A0" w:firstRow="1" w:lastRow="0" w:firstColumn="1" w:lastColumn="0" w:noHBand="0" w:noVBand="1"/>
      </w:tblPr>
      <w:tblGrid>
        <w:gridCol w:w="2850"/>
        <w:gridCol w:w="1700"/>
        <w:gridCol w:w="1702"/>
        <w:gridCol w:w="1702"/>
        <w:gridCol w:w="1715"/>
      </w:tblGrid>
      <w:tr w:rsidR="00BA61B4" w:rsidRPr="00BA61B4" w:rsidTr="00BA2932">
        <w:trPr>
          <w:cantSplit/>
          <w:trHeight w:hRule="exact" w:val="255"/>
        </w:trPr>
        <w:tc>
          <w:tcPr>
            <w:tcW w:w="1474" w:type="pc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leftbold"/>
              <w:rPr>
                <w:b w:val="0"/>
              </w:rPr>
            </w:pPr>
            <w:r w:rsidRPr="00BA61B4">
              <w:rPr>
                <w:b w:val="0"/>
              </w:rPr>
              <w:t>Variable</w:t>
            </w:r>
          </w:p>
        </w:tc>
        <w:tc>
          <w:tcPr>
            <w:tcW w:w="879" w:type="pc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1996 to 1999</w:t>
            </w:r>
          </w:p>
        </w:tc>
        <w:tc>
          <w:tcPr>
            <w:tcW w:w="880" w:type="pc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2000 to 2007</w:t>
            </w:r>
          </w:p>
        </w:tc>
        <w:tc>
          <w:tcPr>
            <w:tcW w:w="880" w:type="pc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2008 to 2012</w:t>
            </w:r>
          </w:p>
        </w:tc>
        <w:tc>
          <w:tcPr>
            <w:tcW w:w="887" w:type="pct"/>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centredbold"/>
              <w:rPr>
                <w:b w:val="0"/>
              </w:rPr>
            </w:pPr>
            <w:r w:rsidRPr="00BA61B4">
              <w:rPr>
                <w:b w:val="0"/>
              </w:rPr>
              <w:t>Full Sample</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Intercept</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-3.15***</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-2.77***</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-0.84**</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-1.88***</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[-8.69]</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[-16.17]</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[-2.48]</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[-18.95]</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Europe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0.18***</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[3.95]</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[5.61]</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[4.8]</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[10.64]</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London/New York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0.02</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0.04***</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[1.14]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[1.37]</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[0.57]</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[2.91]</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U.S.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0.03**</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[-1.51]</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[3.89]</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[1.97]</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Asia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0.32***</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0.21***</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[8.9]</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[9.9]</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[12.53]</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[16.66]</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Weekly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0.03</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0.23***</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[7.33]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[6.23]</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[0.64]</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[8.64]</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Monthly Lag</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0.39***</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0.26***</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[4.21]</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[5.35]</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[9.01]</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[11.9]</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Expected Trades</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0.26***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-0.05</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0.02***</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[4.69]</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[2.46]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[-1.3]</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[3.42]</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Unexpected Trades</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0.78***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0.48***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0.08</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0.5***</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[17.62]</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[17.36]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[1.35]</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[23.15]</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Expected Order Imbalance</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14.54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-9.98**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-0.92*</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-1.08*</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[0.87]</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[-1.97]</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[-1.66]</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[-1.83]</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Unexpected Order Imbalance</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-0.92</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-1.04**</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-0.17***</w:t>
            </w:r>
          </w:p>
        </w:tc>
      </w:tr>
      <w:tr w:rsidR="00BA61B4" w:rsidRPr="00BA61B4" w:rsidTr="00BA2932">
        <w:trPr>
          <w:cantSplit/>
          <w:trHeight w:hRule="exact" w:val="255"/>
        </w:trPr>
        <w:tc>
          <w:tcPr>
            <w:tcW w:w="1474" w:type="pct"/>
            <w:tcBorders>
              <w:top w:val="nil"/>
              <w:left w:val="nil"/>
              <w:bottom w:val="nil"/>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[-0.6]</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[-2.28]</w:t>
            </w:r>
          </w:p>
        </w:tc>
        <w:tc>
          <w:tcPr>
            <w:tcW w:w="880"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[-3.1]</w:t>
            </w:r>
          </w:p>
        </w:tc>
        <w:tc>
          <w:tcPr>
            <w:tcW w:w="887" w:type="pct"/>
            <w:tcBorders>
              <w:top w:val="nil"/>
              <w:left w:val="nil"/>
              <w:bottom w:val="nil"/>
              <w:right w:val="nil"/>
            </w:tcBorders>
            <w:shd w:val="clear" w:color="auto" w:fill="auto"/>
            <w:noWrap/>
            <w:tcMar>
              <w:top w:w="15" w:type="dxa"/>
              <w:left w:w="15" w:type="dxa"/>
              <w:bottom w:w="0" w:type="dxa"/>
              <w:right w:w="15" w:type="dxa"/>
            </w:tcMar>
            <w:vAlign w:val="bottom"/>
            <w:hideMark/>
          </w:tcPr>
          <w:p w:rsidR="00BA61B4" w:rsidRPr="00BA61B4" w:rsidRDefault="00BC5246" w:rsidP="00BA2932">
            <w:pPr>
              <w:pStyle w:val="Tabletext"/>
            </w:pPr>
            <w:r w:rsidRPr="00BC5246">
              <w:t>[-3.08]</w:t>
            </w:r>
          </w:p>
        </w:tc>
      </w:tr>
      <w:tr w:rsidR="00BA61B4" w:rsidRPr="00BA61B4" w:rsidTr="00BA2932">
        <w:trPr>
          <w:cantSplit/>
          <w:trHeight w:hRule="exact" w:val="255"/>
        </w:trPr>
        <w:tc>
          <w:tcPr>
            <w:tcW w:w="1474"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7D7521" w:rsidP="00BA2932">
            <w:pPr>
              <w:pStyle w:val="Tableblurb"/>
            </w:pPr>
            <m:oMathPara>
              <m:oMathParaPr>
                <m:jc m:val="left"/>
              </m:oMathPara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m:oMathPara>
          </w:p>
        </w:tc>
        <w:tc>
          <w:tcPr>
            <w:tcW w:w="879"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
            </w:pPr>
            <w:r w:rsidRPr="00BA61B4">
              <w:t>0.65</w:t>
            </w:r>
          </w:p>
        </w:tc>
        <w:tc>
          <w:tcPr>
            <w:tcW w:w="880"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
            </w:pPr>
            <w:r w:rsidRPr="00BA61B4">
              <w:t>0.47</w:t>
            </w:r>
          </w:p>
        </w:tc>
        <w:tc>
          <w:tcPr>
            <w:tcW w:w="880"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
            </w:pPr>
            <w:r w:rsidRPr="00BA61B4">
              <w:t>0.59</w:t>
            </w:r>
          </w:p>
        </w:tc>
        <w:tc>
          <w:tcPr>
            <w:tcW w:w="887" w:type="pc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BA61B4" w:rsidRPr="00BA61B4" w:rsidRDefault="00BA61B4" w:rsidP="00BA2932">
            <w:pPr>
              <w:pStyle w:val="Tabletext"/>
            </w:pPr>
            <w:r w:rsidRPr="00BA61B4">
              <w:t>0.64</w:t>
            </w:r>
          </w:p>
        </w:tc>
      </w:tr>
    </w:tbl>
    <w:p w:rsidR="00BA61B4" w:rsidRPr="00BA61B4" w:rsidRDefault="00BA61B4" w:rsidP="00BA61B4">
      <w:pPr>
        <w:spacing w:line="240" w:lineRule="auto"/>
        <w:contextualSpacing/>
        <w:jc w:val="center"/>
        <w:rPr>
          <w:rFonts w:cs="Times New Roman"/>
          <w:sz w:val="20"/>
          <w:szCs w:val="20"/>
        </w:rPr>
      </w:pPr>
    </w:p>
    <w:tbl>
      <w:tblPr>
        <w:tblW w:w="5000" w:type="pct"/>
        <w:tblLayout w:type="fixed"/>
        <w:tblCellMar>
          <w:left w:w="0" w:type="dxa"/>
          <w:right w:w="0" w:type="dxa"/>
        </w:tblCellMar>
        <w:tblLook w:val="04A0" w:firstRow="1" w:lastRow="0" w:firstColumn="1" w:lastColumn="0" w:noHBand="0" w:noVBand="1"/>
      </w:tblPr>
      <w:tblGrid>
        <w:gridCol w:w="2850"/>
        <w:gridCol w:w="1700"/>
        <w:gridCol w:w="1702"/>
        <w:gridCol w:w="1702"/>
        <w:gridCol w:w="1715"/>
      </w:tblGrid>
      <w:tr w:rsidR="00BA61B4" w:rsidRPr="00BA61B4" w:rsidTr="00BA2932">
        <w:trPr>
          <w:trHeight w:hRule="exact" w:val="255"/>
        </w:trPr>
        <w:tc>
          <w:tcPr>
            <w:tcW w:w="1474"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spacing w:line="240" w:lineRule="auto"/>
              <w:ind w:firstLine="0"/>
              <w:contextualSpacing/>
              <w:rPr>
                <w:rFonts w:eastAsiaTheme="minorEastAsia" w:cs="Times New Roman"/>
                <w:b/>
                <w:sz w:val="20"/>
                <w:szCs w:val="20"/>
                <w:lang w:val="en-US"/>
              </w:rPr>
            </w:pPr>
            <w:r w:rsidRPr="00BA61B4">
              <w:rPr>
                <w:rFonts w:eastAsiaTheme="minorEastAsia" w:cs="Times New Roman"/>
                <w:b/>
                <w:sz w:val="20"/>
                <w:szCs w:val="20"/>
                <w:lang w:val="en-US"/>
              </w:rPr>
              <w:lastRenderedPageBreak/>
              <w:t>Panel C: London/New York</w:t>
            </w:r>
          </w:p>
          <w:p w:rsidR="00BA61B4" w:rsidRPr="00BA61B4" w:rsidRDefault="00BA61B4" w:rsidP="00BA2932">
            <w:pPr>
              <w:pStyle w:val="Tabletextleftbold"/>
              <w:rPr>
                <w:rFonts w:eastAsiaTheme="minorEastAsia"/>
                <w:b w:val="0"/>
              </w:rPr>
            </w:pPr>
          </w:p>
        </w:tc>
        <w:tc>
          <w:tcPr>
            <w:tcW w:w="879"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p>
        </w:tc>
        <w:tc>
          <w:tcPr>
            <w:tcW w:w="887"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i/>
              </w:rPr>
            </w:pPr>
            <w:r w:rsidRPr="00BA61B4">
              <w:rPr>
                <w:rFonts w:eastAsiaTheme="minorEastAsia"/>
                <w:b w:val="0"/>
                <w:i/>
              </w:rPr>
              <w:t>Table IV continued</w:t>
            </w:r>
          </w:p>
        </w:tc>
      </w:tr>
      <w:tr w:rsidR="00BA61B4" w:rsidRPr="00BA61B4" w:rsidTr="00BA2932">
        <w:trPr>
          <w:trHeight w:hRule="exact" w:val="255"/>
        </w:trPr>
        <w:tc>
          <w:tcPr>
            <w:tcW w:w="1474"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leftbold"/>
              <w:rPr>
                <w:rFonts w:eastAsiaTheme="minorEastAsia"/>
                <w:b w:val="0"/>
              </w:rPr>
            </w:pPr>
            <w:r w:rsidRPr="00BA61B4">
              <w:rPr>
                <w:rFonts w:eastAsiaTheme="minorEastAsia"/>
                <w:b w:val="0"/>
              </w:rPr>
              <w:t>Variable</w:t>
            </w:r>
          </w:p>
        </w:tc>
        <w:tc>
          <w:tcPr>
            <w:tcW w:w="879"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1996 to 1999</w:t>
            </w: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2000 to 2007</w:t>
            </w:r>
          </w:p>
        </w:tc>
        <w:tc>
          <w:tcPr>
            <w:tcW w:w="88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2008 to 2012</w:t>
            </w:r>
          </w:p>
        </w:tc>
        <w:tc>
          <w:tcPr>
            <w:tcW w:w="887"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Full Sample</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Intercept</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-2.01***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-1.64***</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-1.65***</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[-8.76]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[-4.27]</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[-11.75]</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Europe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0.51***</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[6.23]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[12.34]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[12.99]</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[19.24]</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London/New York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0.05</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[2.31]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[1.42]</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[3.42]</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U.S.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0.07***</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0.07**</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0.08***</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[2.13]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[3.11]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[2.28]</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[4.49]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Asia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0.09***</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[1.52]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[3.74]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[2.74]</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[3.75]</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Weekly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0.13**</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[4.89]</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[3.53]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[2.4]</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[6.36]</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Monthly Lag</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0.21***</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[3.13]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[1.79]</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[7.56]</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Expected Trades</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0.17***</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0.05</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w:t>
            </w:r>
            <w:r w:rsidR="00D413F0">
              <w:t>.00</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[2.78]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[1.98]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[0.89]</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[-0.09]</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Unexpected Trades</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0.53***</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0.31***</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0.47***</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0.35***</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[12.86]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[14.55]</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[7.86]</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[19.74]</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Expected Order Imbalance</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2.08</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0.8</w:t>
            </w:r>
            <w:r w:rsidR="00D413F0">
              <w:t>0</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0.73</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[0.75]</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[0.67]</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Unexpected Order Imbalance</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-0.26</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-0.02</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-0.37***</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-0.34***</w:t>
            </w:r>
          </w:p>
        </w:tc>
      </w:tr>
      <w:tr w:rsidR="00BA61B4" w:rsidRPr="00BA61B4" w:rsidTr="00BA2932">
        <w:trPr>
          <w:trHeight w:hRule="exact" w:val="255"/>
        </w:trPr>
        <w:tc>
          <w:tcPr>
            <w:tcW w:w="1474"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79"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0"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[-3.75]</w:t>
            </w:r>
          </w:p>
        </w:tc>
        <w:tc>
          <w:tcPr>
            <w:tcW w:w="887"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[-3.39]</w:t>
            </w:r>
          </w:p>
        </w:tc>
      </w:tr>
      <w:tr w:rsidR="00BA61B4" w:rsidRPr="00BA61B4" w:rsidTr="00BA2932">
        <w:trPr>
          <w:trHeight w:hRule="exact" w:val="255"/>
        </w:trPr>
        <w:tc>
          <w:tcPr>
            <w:tcW w:w="1474"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7D7521" w:rsidP="00BA2932">
            <w:pPr>
              <w:pStyle w:val="Tableblurb"/>
            </w:pPr>
            <m:oMathPara>
              <m:oMathParaPr>
                <m:jc m:val="left"/>
              </m:oMathPara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m:oMathPara>
          </w:p>
        </w:tc>
        <w:tc>
          <w:tcPr>
            <w:tcW w:w="879"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0.54</w:t>
            </w:r>
          </w:p>
        </w:tc>
        <w:tc>
          <w:tcPr>
            <w:tcW w:w="880"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0.44</w:t>
            </w:r>
          </w:p>
        </w:tc>
        <w:tc>
          <w:tcPr>
            <w:tcW w:w="880"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0.54</w:t>
            </w:r>
          </w:p>
        </w:tc>
        <w:tc>
          <w:tcPr>
            <w:tcW w:w="887"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0.56</w:t>
            </w:r>
          </w:p>
        </w:tc>
      </w:tr>
    </w:tbl>
    <w:p w:rsidR="00BA61B4" w:rsidRPr="00BA61B4" w:rsidRDefault="00BA61B4" w:rsidP="00BA61B4">
      <w:pPr>
        <w:spacing w:line="240" w:lineRule="auto"/>
        <w:ind w:firstLine="0"/>
        <w:contextualSpacing/>
        <w:rPr>
          <w:rFonts w:eastAsiaTheme="minorEastAsia" w:cs="Times New Roman"/>
          <w:b/>
          <w:sz w:val="20"/>
          <w:szCs w:val="20"/>
          <w:lang w:val="en-US"/>
        </w:rPr>
      </w:pPr>
      <w:r w:rsidRPr="00BA61B4">
        <w:rPr>
          <w:rFonts w:eastAsiaTheme="minorEastAsia" w:cs="Times New Roman"/>
          <w:b/>
          <w:sz w:val="20"/>
          <w:szCs w:val="20"/>
          <w:lang w:val="en-US"/>
        </w:rPr>
        <w:t>Panel D: United States</w:t>
      </w:r>
    </w:p>
    <w:tbl>
      <w:tblPr>
        <w:tblW w:w="5000" w:type="pct"/>
        <w:tblCellMar>
          <w:left w:w="0" w:type="dxa"/>
          <w:right w:w="0" w:type="dxa"/>
        </w:tblCellMar>
        <w:tblLook w:val="04A0" w:firstRow="1" w:lastRow="0" w:firstColumn="1" w:lastColumn="0" w:noHBand="0" w:noVBand="1"/>
      </w:tblPr>
      <w:tblGrid>
        <w:gridCol w:w="2824"/>
        <w:gridCol w:w="1713"/>
        <w:gridCol w:w="1713"/>
        <w:gridCol w:w="1713"/>
        <w:gridCol w:w="1706"/>
      </w:tblGrid>
      <w:tr w:rsidR="00BA61B4" w:rsidRPr="00BA61B4" w:rsidTr="00BA2932">
        <w:trPr>
          <w:trHeight w:hRule="exact" w:val="255"/>
        </w:trPr>
        <w:tc>
          <w:tcPr>
            <w:tcW w:w="1460"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leftbold"/>
              <w:rPr>
                <w:rFonts w:eastAsiaTheme="minorEastAsia"/>
                <w:b w:val="0"/>
              </w:rPr>
            </w:pPr>
            <w:r w:rsidRPr="00BA61B4">
              <w:rPr>
                <w:rFonts w:eastAsiaTheme="minorEastAsia"/>
                <w:b w:val="0"/>
              </w:rPr>
              <w:t>Variable</w:t>
            </w:r>
          </w:p>
        </w:tc>
        <w:tc>
          <w:tcPr>
            <w:tcW w:w="886"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1996 to 1999</w:t>
            </w:r>
          </w:p>
        </w:tc>
        <w:tc>
          <w:tcPr>
            <w:tcW w:w="886"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2000 to 2007</w:t>
            </w:r>
          </w:p>
        </w:tc>
        <w:tc>
          <w:tcPr>
            <w:tcW w:w="886"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2008 to 2012</w:t>
            </w:r>
          </w:p>
        </w:tc>
        <w:tc>
          <w:tcPr>
            <w:tcW w:w="882" w:type="pct"/>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centredbold"/>
              <w:rPr>
                <w:rFonts w:eastAsiaTheme="minorEastAsia"/>
                <w:b w:val="0"/>
              </w:rPr>
            </w:pPr>
            <w:r w:rsidRPr="00BA61B4">
              <w:rPr>
                <w:rFonts w:eastAsiaTheme="minorEastAsia"/>
                <w:b w:val="0"/>
              </w:rPr>
              <w:t>Full Sample</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Intercept</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-2.21***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-1.34***</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[-8.99]</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[-9.91]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[-1.23]</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[-10.84]</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Europe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0.22***</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0.16***</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[2.46]</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[6.89]</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[5.31]</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[8.38]</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London/New York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0.38***</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0.31***</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[7.41]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[13.94]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[12.35]</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[19.66]</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U.S.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0.12***</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[1.32]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[3.95]</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[3.56]</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[7.87]</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Asia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0.06***</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0.11***</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[3.87]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[2.97]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[4.82]</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[6.99]</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Weekly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0.05</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[4.07]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[2.75]</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[0.98]</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[3.49]</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Monthly Lag</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0.03</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0.05*</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[3.81]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[1.77]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[0.62]</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[1.88]</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Expected Trades</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0.22***</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0.16***</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0.01</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[4.54]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[6.48]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[0.07]</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[1.29]</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Unexpected Trades</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0.36***</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0.44***</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[18.27]</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[23.3]</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[6.24]</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[28.28]</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Expected Order Imbalance</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-1.34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-5.51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-0.63</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-0.74</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[-0.26]</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[-1.55]</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[-0.86]</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[-1.03]</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Unexpected Order Imbalance</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-0.45</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-1.71***</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-0.25***</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-0.31***</w:t>
            </w:r>
          </w:p>
        </w:tc>
      </w:tr>
      <w:tr w:rsidR="00BA61B4" w:rsidRPr="00BA61B4" w:rsidTr="00BA2932">
        <w:trPr>
          <w:trHeight w:hRule="exact" w:val="255"/>
        </w:trPr>
        <w:tc>
          <w:tcPr>
            <w:tcW w:w="1460" w:type="pct"/>
            <w:tcBorders>
              <w:top w:val="nil"/>
              <w:left w:val="nil"/>
              <w:bottom w:val="nil"/>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blurb"/>
            </w:pPr>
            <w:r w:rsidRPr="00BA61B4">
              <w:t> </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[-0.68]</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[-3.4]</w:t>
            </w:r>
          </w:p>
        </w:tc>
        <w:tc>
          <w:tcPr>
            <w:tcW w:w="886"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[-2.67]</w:t>
            </w:r>
          </w:p>
        </w:tc>
        <w:tc>
          <w:tcPr>
            <w:tcW w:w="882" w:type="pct"/>
            <w:tcBorders>
              <w:top w:val="nil"/>
              <w:left w:val="nil"/>
              <w:bottom w:val="nil"/>
              <w:right w:val="nil"/>
            </w:tcBorders>
            <w:shd w:val="clear" w:color="auto" w:fill="auto"/>
            <w:tcMar>
              <w:top w:w="15" w:type="dxa"/>
              <w:left w:w="15" w:type="dxa"/>
              <w:bottom w:w="0" w:type="dxa"/>
              <w:right w:w="15" w:type="dxa"/>
            </w:tcMar>
            <w:vAlign w:val="bottom"/>
            <w:hideMark/>
          </w:tcPr>
          <w:p w:rsidR="00BA61B4" w:rsidRPr="00BA61B4" w:rsidRDefault="00BC5246" w:rsidP="00BA2932">
            <w:pPr>
              <w:pStyle w:val="Tabletext"/>
            </w:pPr>
            <w:r w:rsidRPr="00BC5246">
              <w:t>[-3.38]</w:t>
            </w:r>
          </w:p>
        </w:tc>
      </w:tr>
      <w:tr w:rsidR="00BA61B4" w:rsidRPr="00BA61B4" w:rsidTr="00BA2932">
        <w:trPr>
          <w:trHeight w:hRule="exact" w:val="255"/>
        </w:trPr>
        <w:tc>
          <w:tcPr>
            <w:tcW w:w="1460"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7D7521" w:rsidP="00BA2932">
            <w:pPr>
              <w:pStyle w:val="Tableblurb"/>
            </w:pPr>
            <m:oMathPara>
              <m:oMathParaPr>
                <m:jc m:val="left"/>
              </m:oMathParaPr>
              <m:oMath>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2</m:t>
                    </m:r>
                  </m:sup>
                </m:sSup>
              </m:oMath>
            </m:oMathPara>
          </w:p>
        </w:tc>
        <w:tc>
          <w:tcPr>
            <w:tcW w:w="886"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0.62</w:t>
            </w:r>
          </w:p>
        </w:tc>
        <w:tc>
          <w:tcPr>
            <w:tcW w:w="886"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0.55</w:t>
            </w:r>
          </w:p>
        </w:tc>
        <w:tc>
          <w:tcPr>
            <w:tcW w:w="886"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0.61</w:t>
            </w:r>
          </w:p>
        </w:tc>
        <w:tc>
          <w:tcPr>
            <w:tcW w:w="882" w:type="pct"/>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BA61B4" w:rsidRPr="00BA61B4" w:rsidRDefault="00BA61B4" w:rsidP="00BA2932">
            <w:pPr>
              <w:pStyle w:val="Tabletext"/>
              <w:rPr>
                <w:rFonts w:eastAsiaTheme="minorEastAsia"/>
              </w:rPr>
            </w:pPr>
            <w:r w:rsidRPr="00BA61B4">
              <w:rPr>
                <w:rFonts w:eastAsiaTheme="minorEastAsia"/>
              </w:rPr>
              <w:t>0.60</w:t>
            </w:r>
          </w:p>
        </w:tc>
      </w:tr>
    </w:tbl>
    <w:p w:rsidR="00BA61B4" w:rsidRPr="00BA61B4" w:rsidRDefault="00BA61B4" w:rsidP="00BA61B4">
      <w:pPr>
        <w:pStyle w:val="EndNoteBibliography"/>
        <w:rPr>
          <w:rFonts w:ascii="Times New Roman" w:hAnsi="Times New Roman" w:cs="Times New Roman"/>
          <w:sz w:val="20"/>
          <w:szCs w:val="20"/>
        </w:rPr>
      </w:pPr>
    </w:p>
    <w:p w:rsidR="00BA61B4" w:rsidRDefault="00BA61B4">
      <w:pPr>
        <w:spacing w:after="200" w:line="276" w:lineRule="auto"/>
        <w:ind w:firstLine="0"/>
        <w:jc w:val="left"/>
        <w:rPr>
          <w:rFonts w:cs="Times New Roman"/>
          <w:b/>
          <w:szCs w:val="24"/>
        </w:rPr>
      </w:pPr>
      <w:r>
        <w:rPr>
          <w:rFonts w:cs="Times New Roman"/>
          <w:b/>
          <w:szCs w:val="24"/>
        </w:rPr>
        <w:br w:type="page"/>
      </w:r>
    </w:p>
    <w:p w:rsidR="00E9071B" w:rsidRDefault="00E9071B">
      <w:pPr>
        <w:spacing w:line="240" w:lineRule="auto"/>
        <w:ind w:firstLine="0"/>
        <w:contextualSpacing/>
        <w:jc w:val="center"/>
        <w:rPr>
          <w:rFonts w:cs="Times New Roman"/>
          <w:sz w:val="20"/>
          <w:szCs w:val="20"/>
        </w:rPr>
      </w:pPr>
    </w:p>
    <w:p w:rsidR="00BA61B4" w:rsidRDefault="00BA61B4" w:rsidP="00BA61B4">
      <w:pPr>
        <w:spacing w:line="240" w:lineRule="auto"/>
        <w:ind w:firstLine="0"/>
        <w:contextualSpacing/>
        <w:jc w:val="center"/>
        <w:rPr>
          <w:rFonts w:cs="Times New Roman"/>
          <w:b/>
          <w:szCs w:val="24"/>
        </w:rPr>
      </w:pPr>
      <w:r w:rsidRPr="00B864A4">
        <w:rPr>
          <w:rFonts w:cs="Times New Roman"/>
          <w:b/>
          <w:szCs w:val="24"/>
        </w:rPr>
        <w:t xml:space="preserve">Table </w:t>
      </w:r>
      <w:r>
        <w:rPr>
          <w:rFonts w:cs="Times New Roman"/>
          <w:b/>
          <w:szCs w:val="24"/>
        </w:rPr>
        <w:t>V</w:t>
      </w:r>
      <w:r w:rsidR="00FB7338">
        <w:rPr>
          <w:rFonts w:cs="Times New Roman"/>
          <w:b/>
          <w:szCs w:val="24"/>
        </w:rPr>
        <w:t>I</w:t>
      </w:r>
    </w:p>
    <w:p w:rsidR="00E9071B" w:rsidRDefault="00B07A52">
      <w:pPr>
        <w:spacing w:line="240" w:lineRule="auto"/>
        <w:ind w:firstLine="0"/>
        <w:jc w:val="center"/>
        <w:rPr>
          <w:b/>
        </w:rPr>
      </w:pPr>
      <w:r>
        <w:rPr>
          <w:b/>
        </w:rPr>
        <w:t>Private Information Shares</w:t>
      </w:r>
    </w:p>
    <w:p w:rsidR="00944C4F" w:rsidRDefault="00944C4F">
      <w:pPr>
        <w:spacing w:line="240" w:lineRule="auto"/>
        <w:ind w:firstLine="0"/>
        <w:jc w:val="center"/>
        <w:rPr>
          <w:b/>
        </w:rPr>
      </w:pPr>
    </w:p>
    <w:p w:rsidR="00E9071B" w:rsidRPr="00916502" w:rsidRDefault="009F315B">
      <w:pPr>
        <w:pStyle w:val="Tableblurb"/>
      </w:pPr>
      <w:r w:rsidRPr="00916502">
        <w:t>This table reports the average private information flows in different markets (Asia, Europe</w:t>
      </w:r>
      <w:r w:rsidR="00C12110" w:rsidRPr="00916502">
        <w:t>, London/New York</w:t>
      </w:r>
      <w:r w:rsidRPr="00916502">
        <w:t xml:space="preserve"> or U.S.) and sub periods. We first estimate coefficient estimates from equation </w:t>
      </w:r>
      <w:r w:rsidR="00944C4F" w:rsidRPr="00916502">
        <w:t>(5)</w:t>
      </w:r>
      <w:r w:rsidRPr="00916502">
        <w:t xml:space="preserve">. </w:t>
      </w:r>
      <w:r w:rsidR="001912F4" w:rsidRPr="00916502">
        <w:t>D</w:t>
      </w:r>
      <w:r w:rsidRPr="00916502">
        <w:t>aily private information flow by exp(</w:t>
      </w:r>
      <m:oMath>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i,T</m:t>
            </m:r>
          </m:sub>
          <m:sup>
            <m:r>
              <w:rPr>
                <w:rFonts w:ascii="Cambria Math" w:hAnsi="Cambria Math"/>
              </w:rPr>
              <m:t>u</m:t>
            </m:r>
          </m:sup>
        </m:sSubSup>
        <m:sSubSup>
          <m:sSubSupPr>
            <m:ctrlPr>
              <w:rPr>
                <w:rFonts w:ascii="Cambria Math" w:hAnsi="Cambria Math"/>
              </w:rPr>
            </m:ctrlPr>
          </m:sSubSupPr>
          <m:e>
            <m:r>
              <m:rPr>
                <m:sty m:val="p"/>
              </m:rPr>
              <w:rPr>
                <w:rFonts w:ascii="Cambria Math" w:hAnsi="Cambria Math"/>
              </w:rPr>
              <m:t>T</m:t>
            </m:r>
          </m:e>
          <m:sub>
            <m:r>
              <m:rPr>
                <m:sty m:val="p"/>
              </m:rPr>
              <w:rPr>
                <w:rFonts w:ascii="Cambria Math" w:hAnsi="Cambria Math"/>
              </w:rPr>
              <m:t>i,t</m:t>
            </m:r>
          </m:sub>
          <m:sup>
            <m:r>
              <w:rPr>
                <w:rFonts w:ascii="Cambria Math" w:hAnsi="Cambria Math"/>
              </w:rPr>
              <m:t>u</m:t>
            </m:r>
            <m:r>
              <m:rPr>
                <m:sty m:val="p"/>
              </m:rPr>
              <w:rPr>
                <w:rFonts w:ascii="Cambria Math" w:hAnsi="Cambria Math"/>
              </w:rPr>
              <m:t xml:space="preserve"> </m:t>
            </m:r>
          </m:sup>
        </m:sSubSup>
      </m:oMath>
      <w:r w:rsidRPr="00916502">
        <w:t>+</w:t>
      </w:r>
      <m:oMath>
        <m:r>
          <w:rPr>
            <w:rFonts w:ascii="Cambria Math" w:hAnsi="Cambria Math"/>
          </w:rPr>
          <m:t xml:space="preserve"> </m:t>
        </m:r>
        <m:sSubSup>
          <m:sSubSupPr>
            <m:ctrlPr>
              <w:rPr>
                <w:rFonts w:ascii="Cambria Math" w:hAnsi="Cambria Math"/>
              </w:rPr>
            </m:ctrlPr>
          </m:sSubSupPr>
          <m:e>
            <m:acc>
              <m:accPr>
                <m:ctrlPr>
                  <w:rPr>
                    <w:rFonts w:ascii="Cambria Math" w:hAnsi="Cambria Math"/>
                  </w:rPr>
                </m:ctrlPr>
              </m:accPr>
              <m:e>
                <m:r>
                  <m:rPr>
                    <m:sty m:val="p"/>
                  </m:rPr>
                  <w:rPr>
                    <w:rFonts w:ascii="Cambria Math" w:hAnsi="Cambria Math"/>
                  </w:rPr>
                  <m:t>β</m:t>
                </m:r>
              </m:e>
            </m:acc>
          </m:e>
          <m:sub>
            <m:r>
              <m:rPr>
                <m:sty m:val="p"/>
              </m:rPr>
              <w:rPr>
                <w:rFonts w:ascii="Cambria Math" w:hAnsi="Cambria Math"/>
              </w:rPr>
              <m:t>i,Z</m:t>
            </m:r>
          </m:sub>
          <m:sup>
            <m:r>
              <w:rPr>
                <w:rFonts w:ascii="Cambria Math" w:hAnsi="Cambria Math"/>
              </w:rPr>
              <m:t>u</m:t>
            </m:r>
          </m:sup>
        </m:sSubSup>
        <m:sSubSup>
          <m:sSubSupPr>
            <m:ctrlPr>
              <w:rPr>
                <w:rFonts w:ascii="Cambria Math" w:hAnsi="Cambria Math"/>
              </w:rPr>
            </m:ctrlPr>
          </m:sSubSupPr>
          <m:e>
            <m:r>
              <m:rPr>
                <m:sty m:val="p"/>
              </m:rPr>
              <w:rPr>
                <w:rFonts w:ascii="Cambria Math" w:hAnsi="Cambria Math"/>
              </w:rPr>
              <m:t>Z</m:t>
            </m:r>
          </m:e>
          <m:sub>
            <m:r>
              <m:rPr>
                <m:sty m:val="p"/>
              </m:rPr>
              <w:rPr>
                <w:rFonts w:ascii="Cambria Math" w:hAnsi="Cambria Math"/>
              </w:rPr>
              <m:t>i,t</m:t>
            </m:r>
          </m:sub>
          <m:sup>
            <m:r>
              <w:rPr>
                <w:rFonts w:ascii="Cambria Math" w:hAnsi="Cambria Math"/>
              </w:rPr>
              <m:t>u</m:t>
            </m:r>
          </m:sup>
        </m:sSubSup>
      </m:oMath>
      <w:r w:rsidRPr="00916502">
        <w:t>). Panel A reports p</w:t>
      </w:r>
      <w:r w:rsidR="001912F4" w:rsidRPr="00916502">
        <w:t>rivate information flows.</w:t>
      </w:r>
      <w:r w:rsidRPr="00916502">
        <w:t xml:space="preserve"> </w:t>
      </w:r>
      <w:r w:rsidR="001912F4" w:rsidRPr="00916502">
        <w:t xml:space="preserve">Panel B reports hourly information shares of the private information flows and Panel C reports the statistical differences between markets of hourly information shares of private information flows. </w:t>
      </w:r>
      <w:r w:rsidRPr="00916502">
        <w:t xml:space="preserve">The </w:t>
      </w:r>
      <w:r w:rsidRPr="00916502">
        <w:rPr>
          <w:i/>
        </w:rPr>
        <w:t>t-</w:t>
      </w:r>
      <w:r w:rsidRPr="00916502">
        <w:t xml:space="preserve">statistics are in the square brackets with asterisks ***, **, and * indicating significant at 1%, 5%, and 10% respectively.  </w:t>
      </w:r>
    </w:p>
    <w:p w:rsidR="00E9071B" w:rsidRDefault="00E9071B">
      <w:pPr>
        <w:spacing w:line="240" w:lineRule="auto"/>
        <w:ind w:firstLine="0"/>
        <w:jc w:val="center"/>
        <w:rPr>
          <w:b/>
        </w:rPr>
      </w:pPr>
    </w:p>
    <w:tbl>
      <w:tblPr>
        <w:tblW w:w="4683" w:type="pct"/>
        <w:jc w:val="center"/>
        <w:tblLayout w:type="fixed"/>
        <w:tblLook w:val="04A0" w:firstRow="1" w:lastRow="0" w:firstColumn="1" w:lastColumn="0" w:noHBand="0" w:noVBand="1"/>
      </w:tblPr>
      <w:tblGrid>
        <w:gridCol w:w="3150"/>
        <w:gridCol w:w="1593"/>
        <w:gridCol w:w="1593"/>
        <w:gridCol w:w="1591"/>
        <w:gridCol w:w="1303"/>
      </w:tblGrid>
      <w:tr w:rsidR="00A322AE" w:rsidRPr="00C86CC0" w:rsidTr="008019E6">
        <w:trPr>
          <w:trHeight w:hRule="exact" w:val="268"/>
          <w:jc w:val="center"/>
        </w:trPr>
        <w:tc>
          <w:tcPr>
            <w:tcW w:w="1706" w:type="pct"/>
            <w:tcBorders>
              <w:top w:val="single" w:sz="4" w:space="0" w:color="auto"/>
              <w:left w:val="nil"/>
              <w:bottom w:val="single" w:sz="4" w:space="0" w:color="auto"/>
              <w:right w:val="nil"/>
            </w:tcBorders>
            <w:shd w:val="clear" w:color="auto" w:fill="auto"/>
            <w:noWrap/>
            <w:vAlign w:val="center"/>
            <w:hideMark/>
          </w:tcPr>
          <w:p w:rsidR="00E9071B" w:rsidRPr="00C86CC0" w:rsidRDefault="00E9071B">
            <w:pPr>
              <w:pStyle w:val="Tabletextcentred"/>
              <w:jc w:val="left"/>
              <w:rPr>
                <w:sz w:val="24"/>
                <w:szCs w:val="24"/>
                <w:lang w:eastAsia="en-AU"/>
              </w:rPr>
            </w:pPr>
          </w:p>
        </w:tc>
        <w:tc>
          <w:tcPr>
            <w:tcW w:w="863" w:type="pct"/>
            <w:tcBorders>
              <w:top w:val="single" w:sz="4" w:space="0" w:color="auto"/>
              <w:left w:val="nil"/>
              <w:bottom w:val="single" w:sz="4" w:space="0" w:color="auto"/>
              <w:right w:val="nil"/>
            </w:tcBorders>
            <w:shd w:val="clear" w:color="auto" w:fill="auto"/>
            <w:noWrap/>
            <w:vAlign w:val="center"/>
            <w:hideMark/>
          </w:tcPr>
          <w:p w:rsidR="00B07A52" w:rsidRPr="00C86CC0" w:rsidRDefault="00B07A52">
            <w:pPr>
              <w:pStyle w:val="Tabletextcentred"/>
              <w:rPr>
                <w:sz w:val="24"/>
                <w:szCs w:val="24"/>
                <w:lang w:eastAsia="en-AU"/>
              </w:rPr>
            </w:pPr>
            <w:r w:rsidRPr="00C86CC0">
              <w:rPr>
                <w:sz w:val="24"/>
                <w:szCs w:val="24"/>
                <w:lang w:eastAsia="en-AU"/>
              </w:rPr>
              <w:t>Asia</w:t>
            </w:r>
          </w:p>
        </w:tc>
        <w:tc>
          <w:tcPr>
            <w:tcW w:w="863" w:type="pct"/>
            <w:tcBorders>
              <w:top w:val="single" w:sz="4" w:space="0" w:color="auto"/>
              <w:left w:val="nil"/>
              <w:bottom w:val="single" w:sz="4" w:space="0" w:color="auto"/>
              <w:right w:val="nil"/>
            </w:tcBorders>
            <w:shd w:val="clear" w:color="auto" w:fill="auto"/>
            <w:noWrap/>
            <w:vAlign w:val="center"/>
            <w:hideMark/>
          </w:tcPr>
          <w:p w:rsidR="00B07A52" w:rsidRPr="00C86CC0" w:rsidRDefault="00B07A52">
            <w:pPr>
              <w:pStyle w:val="Tabletextcentred"/>
              <w:rPr>
                <w:sz w:val="24"/>
                <w:szCs w:val="24"/>
                <w:lang w:eastAsia="en-AU"/>
              </w:rPr>
            </w:pPr>
            <w:r w:rsidRPr="00C86CC0">
              <w:rPr>
                <w:sz w:val="24"/>
                <w:szCs w:val="24"/>
                <w:lang w:eastAsia="en-AU"/>
              </w:rPr>
              <w:t>Europe</w:t>
            </w:r>
          </w:p>
        </w:tc>
        <w:tc>
          <w:tcPr>
            <w:tcW w:w="862" w:type="pct"/>
            <w:tcBorders>
              <w:top w:val="single" w:sz="4" w:space="0" w:color="auto"/>
              <w:left w:val="nil"/>
              <w:bottom w:val="single" w:sz="4" w:space="0" w:color="auto"/>
              <w:right w:val="nil"/>
            </w:tcBorders>
            <w:vAlign w:val="center"/>
          </w:tcPr>
          <w:p w:rsidR="00B07A52" w:rsidRPr="00C86CC0" w:rsidRDefault="00B07A52">
            <w:pPr>
              <w:pStyle w:val="Tabletextcentred"/>
              <w:rPr>
                <w:sz w:val="24"/>
                <w:szCs w:val="24"/>
                <w:lang w:eastAsia="en-AU"/>
              </w:rPr>
            </w:pPr>
            <w:r w:rsidRPr="00C86CC0">
              <w:rPr>
                <w:sz w:val="24"/>
                <w:szCs w:val="24"/>
                <w:lang w:eastAsia="en-AU"/>
              </w:rPr>
              <w:t>LNY</w:t>
            </w:r>
          </w:p>
        </w:tc>
        <w:tc>
          <w:tcPr>
            <w:tcW w:w="706" w:type="pct"/>
            <w:tcBorders>
              <w:top w:val="single" w:sz="4" w:space="0" w:color="auto"/>
              <w:left w:val="nil"/>
              <w:bottom w:val="single" w:sz="4" w:space="0" w:color="auto"/>
              <w:right w:val="nil"/>
            </w:tcBorders>
            <w:shd w:val="clear" w:color="auto" w:fill="auto"/>
            <w:noWrap/>
            <w:vAlign w:val="center"/>
            <w:hideMark/>
          </w:tcPr>
          <w:p w:rsidR="00B07A52" w:rsidRPr="00C86CC0" w:rsidRDefault="00B07A52">
            <w:pPr>
              <w:pStyle w:val="Tabletextcentred"/>
              <w:rPr>
                <w:sz w:val="24"/>
                <w:szCs w:val="24"/>
                <w:lang w:eastAsia="en-AU"/>
              </w:rPr>
            </w:pPr>
            <w:r w:rsidRPr="00C86CC0">
              <w:rPr>
                <w:sz w:val="24"/>
                <w:szCs w:val="24"/>
                <w:lang w:eastAsia="en-AU"/>
              </w:rPr>
              <w:t>U.S.</w:t>
            </w:r>
          </w:p>
        </w:tc>
      </w:tr>
      <w:tr w:rsidR="00CE4E8B" w:rsidRPr="00C86CC0" w:rsidTr="008019E6">
        <w:trPr>
          <w:trHeight w:hRule="exact" w:val="268"/>
          <w:jc w:val="center"/>
        </w:trPr>
        <w:tc>
          <w:tcPr>
            <w:tcW w:w="2569" w:type="pct"/>
            <w:gridSpan w:val="2"/>
            <w:tcBorders>
              <w:top w:val="single" w:sz="4" w:space="0" w:color="auto"/>
              <w:left w:val="nil"/>
              <w:bottom w:val="nil"/>
              <w:right w:val="nil"/>
            </w:tcBorders>
            <w:shd w:val="clear" w:color="auto" w:fill="auto"/>
            <w:noWrap/>
            <w:vAlign w:val="center"/>
          </w:tcPr>
          <w:p w:rsidR="00E9071B" w:rsidRPr="00C86CC0" w:rsidRDefault="00A322AE">
            <w:pPr>
              <w:pStyle w:val="Tabletextcentred"/>
              <w:jc w:val="left"/>
              <w:rPr>
                <w:sz w:val="24"/>
                <w:szCs w:val="24"/>
              </w:rPr>
            </w:pPr>
            <w:r w:rsidRPr="00C86CC0">
              <w:rPr>
                <w:sz w:val="24"/>
                <w:szCs w:val="24"/>
                <w:lang w:eastAsia="en-AU"/>
              </w:rPr>
              <w:t xml:space="preserve">Panel A: </w:t>
            </w:r>
            <w:r w:rsidR="00C86CC0">
              <w:rPr>
                <w:sz w:val="24"/>
                <w:szCs w:val="24"/>
                <w:lang w:eastAsia="en-AU"/>
              </w:rPr>
              <w:t xml:space="preserve">Average </w:t>
            </w:r>
            <w:r w:rsidRPr="00C86CC0">
              <w:rPr>
                <w:sz w:val="24"/>
                <w:szCs w:val="24"/>
                <w:lang w:eastAsia="en-AU"/>
              </w:rPr>
              <w:t>Private Information Flow</w:t>
            </w:r>
          </w:p>
        </w:tc>
        <w:tc>
          <w:tcPr>
            <w:tcW w:w="863" w:type="pct"/>
            <w:tcBorders>
              <w:top w:val="single" w:sz="4" w:space="0" w:color="auto"/>
              <w:left w:val="nil"/>
              <w:bottom w:val="nil"/>
              <w:right w:val="nil"/>
            </w:tcBorders>
            <w:shd w:val="clear" w:color="auto" w:fill="auto"/>
            <w:noWrap/>
            <w:vAlign w:val="center"/>
          </w:tcPr>
          <w:p w:rsidR="00A322AE" w:rsidRPr="00C86CC0" w:rsidRDefault="00A322AE">
            <w:pPr>
              <w:pStyle w:val="Tabletextcentred"/>
              <w:rPr>
                <w:sz w:val="24"/>
                <w:szCs w:val="24"/>
              </w:rPr>
            </w:pPr>
          </w:p>
        </w:tc>
        <w:tc>
          <w:tcPr>
            <w:tcW w:w="862" w:type="pct"/>
            <w:tcBorders>
              <w:top w:val="single" w:sz="4" w:space="0" w:color="auto"/>
              <w:left w:val="nil"/>
              <w:bottom w:val="nil"/>
              <w:right w:val="nil"/>
            </w:tcBorders>
            <w:vAlign w:val="center"/>
          </w:tcPr>
          <w:p w:rsidR="00A322AE" w:rsidRPr="00C86CC0" w:rsidRDefault="00A322AE">
            <w:pPr>
              <w:pStyle w:val="Tabletextcentred"/>
              <w:rPr>
                <w:sz w:val="24"/>
                <w:szCs w:val="24"/>
              </w:rPr>
            </w:pPr>
          </w:p>
        </w:tc>
        <w:tc>
          <w:tcPr>
            <w:tcW w:w="706" w:type="pct"/>
            <w:tcBorders>
              <w:top w:val="single" w:sz="4" w:space="0" w:color="auto"/>
              <w:left w:val="nil"/>
              <w:bottom w:val="nil"/>
              <w:right w:val="nil"/>
            </w:tcBorders>
            <w:shd w:val="clear" w:color="auto" w:fill="auto"/>
            <w:noWrap/>
            <w:vAlign w:val="center"/>
          </w:tcPr>
          <w:p w:rsidR="00A322AE" w:rsidRPr="00C86CC0" w:rsidRDefault="00A322AE">
            <w:pPr>
              <w:pStyle w:val="Tabletextcentred"/>
              <w:rPr>
                <w:sz w:val="24"/>
                <w:szCs w:val="24"/>
              </w:rPr>
            </w:pPr>
          </w:p>
        </w:tc>
      </w:tr>
      <w:tr w:rsidR="00A0213D" w:rsidRPr="00C86CC0" w:rsidTr="00D91C7C">
        <w:trPr>
          <w:trHeight w:hRule="exact" w:val="268"/>
          <w:jc w:val="center"/>
        </w:trPr>
        <w:tc>
          <w:tcPr>
            <w:tcW w:w="1706" w:type="pct"/>
            <w:tcBorders>
              <w:top w:val="nil"/>
              <w:left w:val="nil"/>
              <w:bottom w:val="nil"/>
              <w:right w:val="nil"/>
            </w:tcBorders>
            <w:shd w:val="clear" w:color="auto" w:fill="auto"/>
            <w:noWrap/>
            <w:vAlign w:val="center"/>
            <w:hideMark/>
          </w:tcPr>
          <w:p w:rsidR="00A0213D" w:rsidRPr="00C86CC0" w:rsidRDefault="00A0213D">
            <w:pPr>
              <w:pStyle w:val="Tabletextcentred"/>
              <w:rPr>
                <w:sz w:val="24"/>
                <w:szCs w:val="24"/>
                <w:lang w:eastAsia="en-AU"/>
              </w:rPr>
            </w:pPr>
            <w:r w:rsidRPr="00C86CC0">
              <w:rPr>
                <w:sz w:val="24"/>
                <w:szCs w:val="24"/>
                <w:lang w:eastAsia="en-AU"/>
              </w:rPr>
              <w:t>1996-1999</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0.901</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1.102</w:t>
            </w:r>
          </w:p>
        </w:tc>
        <w:tc>
          <w:tcPr>
            <w:tcW w:w="862" w:type="pct"/>
            <w:tcBorders>
              <w:top w:val="nil"/>
              <w:left w:val="nil"/>
              <w:bottom w:val="nil"/>
              <w:right w:val="nil"/>
            </w:tcBorders>
            <w:vAlign w:val="bottom"/>
          </w:tcPr>
          <w:p w:rsidR="00A0213D" w:rsidRPr="00A0213D" w:rsidRDefault="00A0213D" w:rsidP="00D91C7C">
            <w:pPr>
              <w:pStyle w:val="Tabletextcentred"/>
              <w:rPr>
                <w:sz w:val="24"/>
              </w:rPr>
            </w:pPr>
            <w:r w:rsidRPr="00A0213D">
              <w:rPr>
                <w:sz w:val="24"/>
              </w:rPr>
              <w:t>0.979</w:t>
            </w:r>
          </w:p>
        </w:tc>
        <w:tc>
          <w:tcPr>
            <w:tcW w:w="706"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1.082</w:t>
            </w:r>
          </w:p>
        </w:tc>
      </w:tr>
      <w:tr w:rsidR="00A0213D" w:rsidRPr="00C86CC0" w:rsidTr="00D91C7C">
        <w:trPr>
          <w:trHeight w:hRule="exact" w:val="268"/>
          <w:jc w:val="center"/>
        </w:trPr>
        <w:tc>
          <w:tcPr>
            <w:tcW w:w="1706" w:type="pct"/>
            <w:tcBorders>
              <w:top w:val="nil"/>
              <w:left w:val="nil"/>
              <w:bottom w:val="nil"/>
              <w:right w:val="nil"/>
            </w:tcBorders>
            <w:shd w:val="clear" w:color="auto" w:fill="auto"/>
            <w:noWrap/>
            <w:vAlign w:val="center"/>
            <w:hideMark/>
          </w:tcPr>
          <w:p w:rsidR="00A0213D" w:rsidRPr="00C86CC0" w:rsidRDefault="00A0213D">
            <w:pPr>
              <w:pStyle w:val="Tabletextcentred"/>
              <w:rPr>
                <w:sz w:val="24"/>
                <w:szCs w:val="24"/>
                <w:lang w:eastAsia="en-AU"/>
              </w:rPr>
            </w:pPr>
            <w:r w:rsidRPr="00C86CC0">
              <w:rPr>
                <w:sz w:val="24"/>
                <w:szCs w:val="24"/>
                <w:lang w:eastAsia="en-AU"/>
              </w:rPr>
              <w:t>2000-2007</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0.898</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1.104</w:t>
            </w:r>
          </w:p>
        </w:tc>
        <w:tc>
          <w:tcPr>
            <w:tcW w:w="862" w:type="pct"/>
            <w:tcBorders>
              <w:top w:val="nil"/>
              <w:left w:val="nil"/>
              <w:bottom w:val="nil"/>
              <w:right w:val="nil"/>
            </w:tcBorders>
            <w:vAlign w:val="bottom"/>
          </w:tcPr>
          <w:p w:rsidR="00A0213D" w:rsidRPr="00A0213D" w:rsidRDefault="00A0213D" w:rsidP="00D91C7C">
            <w:pPr>
              <w:pStyle w:val="Tabletextcentred"/>
              <w:rPr>
                <w:sz w:val="24"/>
              </w:rPr>
            </w:pPr>
            <w:r w:rsidRPr="00A0213D">
              <w:rPr>
                <w:sz w:val="24"/>
              </w:rPr>
              <w:t>0.979</w:t>
            </w:r>
          </w:p>
        </w:tc>
        <w:tc>
          <w:tcPr>
            <w:tcW w:w="706"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1.079</w:t>
            </w:r>
          </w:p>
        </w:tc>
      </w:tr>
      <w:tr w:rsidR="00A0213D" w:rsidRPr="00C86CC0" w:rsidTr="00D91C7C">
        <w:trPr>
          <w:trHeight w:hRule="exact" w:val="268"/>
          <w:jc w:val="center"/>
        </w:trPr>
        <w:tc>
          <w:tcPr>
            <w:tcW w:w="1706" w:type="pct"/>
            <w:tcBorders>
              <w:top w:val="nil"/>
              <w:left w:val="nil"/>
              <w:right w:val="nil"/>
            </w:tcBorders>
            <w:shd w:val="clear" w:color="auto" w:fill="auto"/>
            <w:noWrap/>
            <w:vAlign w:val="center"/>
            <w:hideMark/>
          </w:tcPr>
          <w:p w:rsidR="00A0213D" w:rsidRPr="00C86CC0" w:rsidRDefault="00A0213D">
            <w:pPr>
              <w:pStyle w:val="Tabletextcentred"/>
              <w:rPr>
                <w:sz w:val="24"/>
                <w:szCs w:val="24"/>
                <w:lang w:eastAsia="en-AU"/>
              </w:rPr>
            </w:pPr>
            <w:r w:rsidRPr="00C86CC0">
              <w:rPr>
                <w:sz w:val="24"/>
                <w:szCs w:val="24"/>
                <w:lang w:eastAsia="en-AU"/>
              </w:rPr>
              <w:t>2008-2012</w:t>
            </w:r>
          </w:p>
        </w:tc>
        <w:tc>
          <w:tcPr>
            <w:tcW w:w="863" w:type="pct"/>
            <w:tcBorders>
              <w:top w:val="nil"/>
              <w:left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0.833</w:t>
            </w:r>
          </w:p>
        </w:tc>
        <w:tc>
          <w:tcPr>
            <w:tcW w:w="863" w:type="pct"/>
            <w:tcBorders>
              <w:top w:val="nil"/>
              <w:left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1.171</w:t>
            </w:r>
          </w:p>
        </w:tc>
        <w:tc>
          <w:tcPr>
            <w:tcW w:w="862" w:type="pct"/>
            <w:tcBorders>
              <w:top w:val="nil"/>
              <w:left w:val="nil"/>
              <w:right w:val="nil"/>
            </w:tcBorders>
            <w:vAlign w:val="bottom"/>
          </w:tcPr>
          <w:p w:rsidR="00A0213D" w:rsidRPr="00A0213D" w:rsidRDefault="00A0213D" w:rsidP="00D91C7C">
            <w:pPr>
              <w:pStyle w:val="Tabletextcentred"/>
              <w:rPr>
                <w:sz w:val="24"/>
              </w:rPr>
            </w:pPr>
            <w:r w:rsidRPr="00A0213D">
              <w:rPr>
                <w:sz w:val="24"/>
              </w:rPr>
              <w:t>0.972</w:t>
            </w:r>
          </w:p>
        </w:tc>
        <w:tc>
          <w:tcPr>
            <w:tcW w:w="706" w:type="pct"/>
            <w:tcBorders>
              <w:top w:val="nil"/>
              <w:left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1.113</w:t>
            </w:r>
          </w:p>
        </w:tc>
      </w:tr>
      <w:tr w:rsidR="00A0213D" w:rsidRPr="00C86CC0" w:rsidTr="00D91C7C">
        <w:trPr>
          <w:trHeight w:hRule="exact" w:val="268"/>
          <w:jc w:val="center"/>
        </w:trPr>
        <w:tc>
          <w:tcPr>
            <w:tcW w:w="1706" w:type="pct"/>
            <w:tcBorders>
              <w:top w:val="nil"/>
              <w:left w:val="nil"/>
              <w:bottom w:val="nil"/>
              <w:right w:val="nil"/>
            </w:tcBorders>
            <w:shd w:val="clear" w:color="auto" w:fill="auto"/>
            <w:noWrap/>
            <w:vAlign w:val="center"/>
            <w:hideMark/>
          </w:tcPr>
          <w:p w:rsidR="00A0213D" w:rsidRPr="00C86CC0" w:rsidRDefault="00A0213D">
            <w:pPr>
              <w:pStyle w:val="Tabletextcentred"/>
              <w:rPr>
                <w:sz w:val="24"/>
                <w:szCs w:val="24"/>
                <w:lang w:eastAsia="en-AU"/>
              </w:rPr>
            </w:pPr>
            <w:r w:rsidRPr="00C86CC0">
              <w:rPr>
                <w:sz w:val="24"/>
                <w:szCs w:val="24"/>
                <w:lang w:eastAsia="en-AU"/>
              </w:rPr>
              <w:t>Full Sample</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0.88</w:t>
            </w:r>
          </w:p>
        </w:tc>
        <w:tc>
          <w:tcPr>
            <w:tcW w:w="863"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1.123</w:t>
            </w:r>
          </w:p>
        </w:tc>
        <w:tc>
          <w:tcPr>
            <w:tcW w:w="862" w:type="pct"/>
            <w:tcBorders>
              <w:top w:val="nil"/>
              <w:left w:val="nil"/>
              <w:bottom w:val="nil"/>
              <w:right w:val="nil"/>
            </w:tcBorders>
            <w:vAlign w:val="bottom"/>
          </w:tcPr>
          <w:p w:rsidR="00A0213D" w:rsidRPr="00A0213D" w:rsidRDefault="00A0213D" w:rsidP="00D91C7C">
            <w:pPr>
              <w:pStyle w:val="Tabletextcentred"/>
              <w:rPr>
                <w:sz w:val="24"/>
              </w:rPr>
            </w:pPr>
            <w:r w:rsidRPr="00A0213D">
              <w:rPr>
                <w:sz w:val="24"/>
              </w:rPr>
              <w:t>0.977</w:t>
            </w:r>
          </w:p>
        </w:tc>
        <w:tc>
          <w:tcPr>
            <w:tcW w:w="706" w:type="pct"/>
            <w:tcBorders>
              <w:top w:val="nil"/>
              <w:left w:val="nil"/>
              <w:bottom w:val="nil"/>
              <w:right w:val="nil"/>
            </w:tcBorders>
            <w:shd w:val="clear" w:color="auto" w:fill="auto"/>
            <w:noWrap/>
            <w:vAlign w:val="bottom"/>
            <w:hideMark/>
          </w:tcPr>
          <w:p w:rsidR="00A0213D" w:rsidRPr="00A0213D" w:rsidRDefault="00A0213D" w:rsidP="00D91C7C">
            <w:pPr>
              <w:pStyle w:val="Tabletextcentred"/>
              <w:rPr>
                <w:sz w:val="24"/>
              </w:rPr>
            </w:pPr>
            <w:r w:rsidRPr="00A0213D">
              <w:rPr>
                <w:sz w:val="24"/>
              </w:rPr>
              <w:t>1.09</w:t>
            </w:r>
          </w:p>
        </w:tc>
      </w:tr>
      <w:tr w:rsidR="00742FFD" w:rsidRPr="00C86CC0" w:rsidTr="008019E6">
        <w:trPr>
          <w:trHeight w:hRule="exact" w:val="268"/>
          <w:jc w:val="center"/>
        </w:trPr>
        <w:tc>
          <w:tcPr>
            <w:tcW w:w="1706" w:type="pct"/>
            <w:tcBorders>
              <w:top w:val="nil"/>
              <w:left w:val="nil"/>
              <w:bottom w:val="nil"/>
              <w:right w:val="nil"/>
            </w:tcBorders>
            <w:shd w:val="clear" w:color="auto" w:fill="auto"/>
            <w:noWrap/>
            <w:vAlign w:val="center"/>
          </w:tcPr>
          <w:p w:rsidR="00742FFD" w:rsidRPr="00C86CC0" w:rsidRDefault="00742FFD" w:rsidP="00D91C7C">
            <w:pPr>
              <w:pStyle w:val="Tabletextcentred"/>
              <w:rPr>
                <w:sz w:val="24"/>
                <w:szCs w:val="24"/>
                <w:lang w:eastAsia="en-AU"/>
              </w:rPr>
            </w:pPr>
          </w:p>
        </w:tc>
        <w:tc>
          <w:tcPr>
            <w:tcW w:w="863" w:type="pct"/>
            <w:tcBorders>
              <w:top w:val="nil"/>
              <w:left w:val="nil"/>
              <w:bottom w:val="nil"/>
              <w:right w:val="nil"/>
            </w:tcBorders>
            <w:shd w:val="clear" w:color="auto" w:fill="auto"/>
            <w:noWrap/>
            <w:vAlign w:val="center"/>
          </w:tcPr>
          <w:p w:rsidR="00742FFD" w:rsidRPr="00C86CC0" w:rsidRDefault="00742FFD" w:rsidP="008019E6">
            <w:pPr>
              <w:pStyle w:val="Tabletextcentred"/>
              <w:rPr>
                <w:sz w:val="24"/>
                <w:szCs w:val="24"/>
              </w:rPr>
            </w:pPr>
          </w:p>
        </w:tc>
        <w:tc>
          <w:tcPr>
            <w:tcW w:w="863" w:type="pct"/>
            <w:tcBorders>
              <w:top w:val="nil"/>
              <w:left w:val="nil"/>
              <w:bottom w:val="nil"/>
              <w:right w:val="nil"/>
            </w:tcBorders>
            <w:shd w:val="clear" w:color="auto" w:fill="auto"/>
            <w:noWrap/>
            <w:vAlign w:val="center"/>
          </w:tcPr>
          <w:p w:rsidR="00742FFD" w:rsidRPr="00C86CC0" w:rsidRDefault="00742FFD" w:rsidP="008019E6">
            <w:pPr>
              <w:pStyle w:val="Tabletextcentred"/>
              <w:rPr>
                <w:sz w:val="24"/>
                <w:szCs w:val="24"/>
              </w:rPr>
            </w:pPr>
          </w:p>
        </w:tc>
        <w:tc>
          <w:tcPr>
            <w:tcW w:w="862" w:type="pct"/>
            <w:tcBorders>
              <w:top w:val="nil"/>
              <w:left w:val="nil"/>
              <w:bottom w:val="nil"/>
              <w:right w:val="nil"/>
            </w:tcBorders>
            <w:vAlign w:val="center"/>
          </w:tcPr>
          <w:p w:rsidR="00742FFD" w:rsidRPr="00C86CC0" w:rsidRDefault="00742FFD" w:rsidP="008019E6">
            <w:pPr>
              <w:pStyle w:val="Tabletextcentred"/>
              <w:rPr>
                <w:sz w:val="24"/>
                <w:szCs w:val="24"/>
              </w:rPr>
            </w:pPr>
          </w:p>
        </w:tc>
        <w:tc>
          <w:tcPr>
            <w:tcW w:w="706" w:type="pct"/>
            <w:tcBorders>
              <w:top w:val="nil"/>
              <w:left w:val="nil"/>
              <w:bottom w:val="nil"/>
              <w:right w:val="nil"/>
            </w:tcBorders>
            <w:shd w:val="clear" w:color="auto" w:fill="auto"/>
            <w:noWrap/>
            <w:vAlign w:val="center"/>
          </w:tcPr>
          <w:p w:rsidR="00742FFD" w:rsidRPr="00C86CC0" w:rsidRDefault="00742FFD" w:rsidP="008019E6">
            <w:pPr>
              <w:pStyle w:val="Tabletextcentred"/>
              <w:rPr>
                <w:sz w:val="24"/>
                <w:szCs w:val="24"/>
              </w:rPr>
            </w:pPr>
          </w:p>
        </w:tc>
      </w:tr>
      <w:tr w:rsidR="00C86CC0" w:rsidRPr="00C86CC0" w:rsidTr="00C86CC0">
        <w:trPr>
          <w:trHeight w:hRule="exact" w:val="268"/>
          <w:jc w:val="center"/>
        </w:trPr>
        <w:tc>
          <w:tcPr>
            <w:tcW w:w="3432" w:type="pct"/>
            <w:gridSpan w:val="3"/>
            <w:tcBorders>
              <w:top w:val="nil"/>
              <w:left w:val="nil"/>
              <w:bottom w:val="nil"/>
              <w:right w:val="nil"/>
            </w:tcBorders>
            <w:shd w:val="clear" w:color="auto" w:fill="auto"/>
            <w:noWrap/>
            <w:vAlign w:val="center"/>
          </w:tcPr>
          <w:p w:rsidR="00C86CC0" w:rsidRPr="00C86CC0" w:rsidRDefault="00C86CC0" w:rsidP="00C86CC0">
            <w:pPr>
              <w:pStyle w:val="Tabletextcentred"/>
              <w:jc w:val="left"/>
              <w:rPr>
                <w:sz w:val="24"/>
                <w:szCs w:val="24"/>
              </w:rPr>
            </w:pPr>
            <w:r w:rsidRPr="00C86CC0">
              <w:rPr>
                <w:sz w:val="24"/>
                <w:szCs w:val="24"/>
                <w:lang w:eastAsia="en-AU"/>
              </w:rPr>
              <w:t xml:space="preserve">Panel B: </w:t>
            </w:r>
            <w:r>
              <w:rPr>
                <w:sz w:val="24"/>
                <w:szCs w:val="24"/>
                <w:lang w:eastAsia="en-AU"/>
              </w:rPr>
              <w:t xml:space="preserve">Average </w:t>
            </w:r>
            <w:r w:rsidRPr="00C86CC0">
              <w:rPr>
                <w:sz w:val="24"/>
                <w:szCs w:val="24"/>
                <w:lang w:eastAsia="en-AU"/>
              </w:rPr>
              <w:t>Private Information Share (%)</w:t>
            </w:r>
          </w:p>
        </w:tc>
        <w:tc>
          <w:tcPr>
            <w:tcW w:w="862" w:type="pct"/>
            <w:tcBorders>
              <w:top w:val="nil"/>
              <w:left w:val="nil"/>
              <w:bottom w:val="nil"/>
              <w:right w:val="nil"/>
            </w:tcBorders>
            <w:vAlign w:val="center"/>
          </w:tcPr>
          <w:p w:rsidR="00C86CC0" w:rsidRPr="00C86CC0" w:rsidRDefault="00C86CC0" w:rsidP="008019E6">
            <w:pPr>
              <w:pStyle w:val="Tabletextcentred"/>
              <w:rPr>
                <w:sz w:val="24"/>
                <w:szCs w:val="24"/>
              </w:rPr>
            </w:pPr>
          </w:p>
        </w:tc>
        <w:tc>
          <w:tcPr>
            <w:tcW w:w="706" w:type="pct"/>
            <w:tcBorders>
              <w:top w:val="nil"/>
              <w:left w:val="nil"/>
              <w:bottom w:val="nil"/>
              <w:right w:val="nil"/>
            </w:tcBorders>
            <w:shd w:val="clear" w:color="auto" w:fill="auto"/>
            <w:noWrap/>
            <w:vAlign w:val="center"/>
          </w:tcPr>
          <w:p w:rsidR="00C86CC0" w:rsidRPr="00C86CC0" w:rsidRDefault="00C86CC0" w:rsidP="008019E6">
            <w:pPr>
              <w:pStyle w:val="Tabletextcentred"/>
              <w:rPr>
                <w:sz w:val="24"/>
                <w:szCs w:val="24"/>
              </w:rPr>
            </w:pPr>
          </w:p>
        </w:tc>
      </w:tr>
      <w:tr w:rsidR="00742FFD"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742FFD" w:rsidRPr="00C86CC0" w:rsidRDefault="00742FFD" w:rsidP="00D91C7C">
            <w:pPr>
              <w:pStyle w:val="Tabletextcentred"/>
              <w:rPr>
                <w:sz w:val="24"/>
                <w:szCs w:val="24"/>
                <w:lang w:eastAsia="en-AU"/>
              </w:rPr>
            </w:pPr>
            <w:r w:rsidRPr="00C86CC0">
              <w:rPr>
                <w:sz w:val="24"/>
                <w:szCs w:val="24"/>
                <w:lang w:eastAsia="en-AU"/>
              </w:rPr>
              <w:t>1996-1999</w:t>
            </w:r>
          </w:p>
        </w:tc>
        <w:tc>
          <w:tcPr>
            <w:tcW w:w="863" w:type="pct"/>
            <w:tcBorders>
              <w:top w:val="nil"/>
              <w:left w:val="nil"/>
              <w:bottom w:val="nil"/>
              <w:right w:val="nil"/>
            </w:tcBorders>
            <w:shd w:val="clear" w:color="auto" w:fill="auto"/>
            <w:noWrap/>
            <w:vAlign w:val="bottom"/>
          </w:tcPr>
          <w:p w:rsidR="00742FFD" w:rsidRPr="00C86CC0" w:rsidRDefault="00742FFD" w:rsidP="00C86CC0">
            <w:pPr>
              <w:ind w:firstLine="0"/>
              <w:jc w:val="center"/>
              <w:rPr>
                <w:rFonts w:cs="Times New Roman"/>
                <w:color w:val="000000"/>
                <w:szCs w:val="24"/>
              </w:rPr>
            </w:pPr>
            <w:r w:rsidRPr="00C86CC0">
              <w:rPr>
                <w:rFonts w:cs="Times New Roman"/>
                <w:color w:val="000000"/>
                <w:szCs w:val="24"/>
              </w:rPr>
              <w:t>22.2</w:t>
            </w:r>
          </w:p>
        </w:tc>
        <w:tc>
          <w:tcPr>
            <w:tcW w:w="863" w:type="pct"/>
            <w:tcBorders>
              <w:top w:val="nil"/>
              <w:left w:val="nil"/>
              <w:bottom w:val="nil"/>
              <w:right w:val="nil"/>
            </w:tcBorders>
            <w:shd w:val="clear" w:color="auto" w:fill="auto"/>
            <w:noWrap/>
            <w:vAlign w:val="bottom"/>
          </w:tcPr>
          <w:p w:rsidR="00742FFD" w:rsidRPr="00C86CC0" w:rsidRDefault="00742FFD" w:rsidP="00C86CC0">
            <w:pPr>
              <w:ind w:firstLine="0"/>
              <w:jc w:val="center"/>
              <w:rPr>
                <w:rFonts w:cs="Times New Roman"/>
                <w:color w:val="000000"/>
                <w:szCs w:val="24"/>
              </w:rPr>
            </w:pPr>
            <w:r w:rsidRPr="00C86CC0">
              <w:rPr>
                <w:rFonts w:cs="Times New Roman"/>
                <w:color w:val="000000"/>
                <w:szCs w:val="24"/>
              </w:rPr>
              <w:t>27.1</w:t>
            </w:r>
          </w:p>
        </w:tc>
        <w:tc>
          <w:tcPr>
            <w:tcW w:w="862" w:type="pct"/>
            <w:tcBorders>
              <w:top w:val="nil"/>
              <w:left w:val="nil"/>
              <w:bottom w:val="nil"/>
              <w:right w:val="nil"/>
            </w:tcBorders>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24.1</w:t>
            </w:r>
          </w:p>
        </w:tc>
        <w:tc>
          <w:tcPr>
            <w:tcW w:w="706" w:type="pct"/>
            <w:tcBorders>
              <w:top w:val="nil"/>
              <w:left w:val="nil"/>
              <w:bottom w:val="nil"/>
              <w:right w:val="nil"/>
            </w:tcBorders>
            <w:shd w:val="clear" w:color="auto" w:fill="auto"/>
            <w:noWrap/>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26.6</w:t>
            </w:r>
          </w:p>
        </w:tc>
      </w:tr>
      <w:tr w:rsidR="00742FFD"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742FFD" w:rsidRPr="00C86CC0" w:rsidRDefault="00742FFD" w:rsidP="00D91C7C">
            <w:pPr>
              <w:pStyle w:val="Tabletextcentred"/>
              <w:rPr>
                <w:sz w:val="24"/>
                <w:szCs w:val="24"/>
                <w:lang w:eastAsia="en-AU"/>
              </w:rPr>
            </w:pPr>
            <w:r w:rsidRPr="00C86CC0">
              <w:rPr>
                <w:sz w:val="24"/>
                <w:szCs w:val="24"/>
                <w:lang w:eastAsia="en-AU"/>
              </w:rPr>
              <w:t>2000-2007</w:t>
            </w:r>
          </w:p>
        </w:tc>
        <w:tc>
          <w:tcPr>
            <w:tcW w:w="863" w:type="pct"/>
            <w:tcBorders>
              <w:top w:val="nil"/>
              <w:left w:val="nil"/>
              <w:bottom w:val="nil"/>
              <w:right w:val="nil"/>
            </w:tcBorders>
            <w:shd w:val="clear" w:color="auto" w:fill="auto"/>
            <w:noWrap/>
            <w:vAlign w:val="bottom"/>
          </w:tcPr>
          <w:p w:rsidR="00742FFD" w:rsidRPr="00C86CC0" w:rsidRDefault="00742FFD" w:rsidP="0066662B">
            <w:pPr>
              <w:ind w:firstLine="0"/>
              <w:jc w:val="center"/>
              <w:rPr>
                <w:rFonts w:cs="Times New Roman"/>
                <w:color w:val="000000"/>
                <w:szCs w:val="24"/>
              </w:rPr>
            </w:pPr>
            <w:r w:rsidRPr="00C86CC0">
              <w:rPr>
                <w:rFonts w:cs="Times New Roman"/>
                <w:color w:val="000000"/>
                <w:szCs w:val="24"/>
              </w:rPr>
              <w:t>22.</w:t>
            </w:r>
            <w:r w:rsidR="0066662B">
              <w:rPr>
                <w:rFonts w:cs="Times New Roman"/>
                <w:color w:val="000000"/>
                <w:szCs w:val="24"/>
              </w:rPr>
              <w:t>1</w:t>
            </w:r>
          </w:p>
        </w:tc>
        <w:tc>
          <w:tcPr>
            <w:tcW w:w="863" w:type="pct"/>
            <w:tcBorders>
              <w:top w:val="nil"/>
              <w:left w:val="nil"/>
              <w:bottom w:val="nil"/>
              <w:right w:val="nil"/>
            </w:tcBorders>
            <w:shd w:val="clear" w:color="auto" w:fill="auto"/>
            <w:noWrap/>
            <w:vAlign w:val="bottom"/>
          </w:tcPr>
          <w:p w:rsidR="00742FFD" w:rsidRPr="00C86CC0" w:rsidRDefault="00C86CC0" w:rsidP="0066662B">
            <w:pPr>
              <w:ind w:firstLine="0"/>
              <w:jc w:val="center"/>
              <w:rPr>
                <w:rFonts w:cs="Times New Roman"/>
                <w:color w:val="000000"/>
                <w:szCs w:val="24"/>
              </w:rPr>
            </w:pPr>
            <w:r>
              <w:rPr>
                <w:rFonts w:cs="Times New Roman"/>
                <w:color w:val="000000"/>
                <w:szCs w:val="24"/>
              </w:rPr>
              <w:t>27.</w:t>
            </w:r>
            <w:r w:rsidR="0066662B">
              <w:rPr>
                <w:rFonts w:cs="Times New Roman"/>
                <w:color w:val="000000"/>
                <w:szCs w:val="24"/>
              </w:rPr>
              <w:t>2</w:t>
            </w:r>
          </w:p>
        </w:tc>
        <w:tc>
          <w:tcPr>
            <w:tcW w:w="862" w:type="pct"/>
            <w:tcBorders>
              <w:top w:val="nil"/>
              <w:left w:val="nil"/>
              <w:bottom w:val="nil"/>
              <w:right w:val="nil"/>
            </w:tcBorders>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24.1</w:t>
            </w:r>
          </w:p>
        </w:tc>
        <w:tc>
          <w:tcPr>
            <w:tcW w:w="706" w:type="pct"/>
            <w:tcBorders>
              <w:top w:val="nil"/>
              <w:left w:val="nil"/>
              <w:bottom w:val="nil"/>
              <w:right w:val="nil"/>
            </w:tcBorders>
            <w:shd w:val="clear" w:color="auto" w:fill="auto"/>
            <w:noWrap/>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26.6</w:t>
            </w:r>
          </w:p>
        </w:tc>
      </w:tr>
      <w:tr w:rsidR="00742FFD"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742FFD" w:rsidRPr="00C86CC0" w:rsidRDefault="00742FFD" w:rsidP="00D91C7C">
            <w:pPr>
              <w:pStyle w:val="Tabletextcentred"/>
              <w:rPr>
                <w:sz w:val="24"/>
                <w:szCs w:val="24"/>
                <w:lang w:eastAsia="en-AU"/>
              </w:rPr>
            </w:pPr>
            <w:r w:rsidRPr="00C86CC0">
              <w:rPr>
                <w:sz w:val="24"/>
                <w:szCs w:val="24"/>
                <w:lang w:eastAsia="en-AU"/>
              </w:rPr>
              <w:t>2008-2012</w:t>
            </w:r>
          </w:p>
        </w:tc>
        <w:tc>
          <w:tcPr>
            <w:tcW w:w="863" w:type="pct"/>
            <w:tcBorders>
              <w:top w:val="nil"/>
              <w:left w:val="nil"/>
              <w:bottom w:val="nil"/>
              <w:right w:val="nil"/>
            </w:tcBorders>
            <w:shd w:val="clear" w:color="auto" w:fill="auto"/>
            <w:noWrap/>
            <w:vAlign w:val="bottom"/>
          </w:tcPr>
          <w:p w:rsidR="00742FFD" w:rsidRPr="00C86CC0" w:rsidRDefault="00C86CC0" w:rsidP="0066662B">
            <w:pPr>
              <w:ind w:firstLine="0"/>
              <w:jc w:val="center"/>
              <w:rPr>
                <w:rFonts w:cs="Times New Roman"/>
                <w:color w:val="000000"/>
                <w:szCs w:val="24"/>
              </w:rPr>
            </w:pPr>
            <w:r>
              <w:rPr>
                <w:rFonts w:cs="Times New Roman"/>
                <w:color w:val="000000"/>
                <w:szCs w:val="24"/>
              </w:rPr>
              <w:t>20.</w:t>
            </w:r>
            <w:r w:rsidR="0066662B">
              <w:rPr>
                <w:rFonts w:cs="Times New Roman"/>
                <w:color w:val="000000"/>
                <w:szCs w:val="24"/>
              </w:rPr>
              <w:t>4</w:t>
            </w:r>
          </w:p>
        </w:tc>
        <w:tc>
          <w:tcPr>
            <w:tcW w:w="863" w:type="pct"/>
            <w:tcBorders>
              <w:top w:val="nil"/>
              <w:left w:val="nil"/>
              <w:bottom w:val="nil"/>
              <w:right w:val="nil"/>
            </w:tcBorders>
            <w:shd w:val="clear" w:color="auto" w:fill="auto"/>
            <w:noWrap/>
            <w:vAlign w:val="bottom"/>
          </w:tcPr>
          <w:p w:rsidR="00742FFD" w:rsidRPr="00C86CC0" w:rsidRDefault="00C86CC0" w:rsidP="0066662B">
            <w:pPr>
              <w:ind w:firstLine="0"/>
              <w:jc w:val="center"/>
              <w:rPr>
                <w:rFonts w:cs="Times New Roman"/>
                <w:color w:val="000000"/>
                <w:szCs w:val="24"/>
              </w:rPr>
            </w:pPr>
            <w:r>
              <w:rPr>
                <w:rFonts w:cs="Times New Roman"/>
                <w:color w:val="000000"/>
                <w:szCs w:val="24"/>
              </w:rPr>
              <w:t>28.</w:t>
            </w:r>
            <w:r w:rsidR="0066662B">
              <w:rPr>
                <w:rFonts w:cs="Times New Roman"/>
                <w:color w:val="000000"/>
                <w:szCs w:val="24"/>
              </w:rPr>
              <w:t>6</w:t>
            </w:r>
          </w:p>
        </w:tc>
        <w:tc>
          <w:tcPr>
            <w:tcW w:w="862" w:type="pct"/>
            <w:tcBorders>
              <w:top w:val="nil"/>
              <w:left w:val="nil"/>
              <w:bottom w:val="nil"/>
              <w:right w:val="nil"/>
            </w:tcBorders>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23.8</w:t>
            </w:r>
          </w:p>
        </w:tc>
        <w:tc>
          <w:tcPr>
            <w:tcW w:w="706" w:type="pct"/>
            <w:tcBorders>
              <w:top w:val="nil"/>
              <w:left w:val="nil"/>
              <w:bottom w:val="nil"/>
              <w:right w:val="nil"/>
            </w:tcBorders>
            <w:shd w:val="clear" w:color="auto" w:fill="auto"/>
            <w:noWrap/>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27.2</w:t>
            </w:r>
          </w:p>
        </w:tc>
      </w:tr>
      <w:tr w:rsidR="00742FFD"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742FFD" w:rsidRPr="00C86CC0" w:rsidRDefault="00742FFD" w:rsidP="00D91C7C">
            <w:pPr>
              <w:pStyle w:val="Tabletextcentred"/>
              <w:rPr>
                <w:sz w:val="24"/>
                <w:szCs w:val="24"/>
                <w:lang w:eastAsia="en-AU"/>
              </w:rPr>
            </w:pPr>
            <w:r w:rsidRPr="00C86CC0">
              <w:rPr>
                <w:sz w:val="24"/>
                <w:szCs w:val="24"/>
                <w:lang w:eastAsia="en-AU"/>
              </w:rPr>
              <w:t>Full Sample</w:t>
            </w:r>
          </w:p>
        </w:tc>
        <w:tc>
          <w:tcPr>
            <w:tcW w:w="863" w:type="pct"/>
            <w:tcBorders>
              <w:top w:val="nil"/>
              <w:left w:val="nil"/>
              <w:bottom w:val="nil"/>
              <w:right w:val="nil"/>
            </w:tcBorders>
            <w:shd w:val="clear" w:color="auto" w:fill="auto"/>
            <w:noWrap/>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21.6</w:t>
            </w:r>
          </w:p>
        </w:tc>
        <w:tc>
          <w:tcPr>
            <w:tcW w:w="863" w:type="pct"/>
            <w:tcBorders>
              <w:top w:val="nil"/>
              <w:left w:val="nil"/>
              <w:bottom w:val="nil"/>
              <w:right w:val="nil"/>
            </w:tcBorders>
            <w:shd w:val="clear" w:color="auto" w:fill="auto"/>
            <w:noWrap/>
            <w:vAlign w:val="bottom"/>
          </w:tcPr>
          <w:p w:rsidR="00742FFD" w:rsidRPr="00C86CC0" w:rsidRDefault="0066662B" w:rsidP="00C86CC0">
            <w:pPr>
              <w:ind w:firstLine="0"/>
              <w:jc w:val="center"/>
              <w:rPr>
                <w:rFonts w:cs="Times New Roman"/>
                <w:color w:val="000000"/>
                <w:szCs w:val="24"/>
              </w:rPr>
            </w:pPr>
            <w:r>
              <w:rPr>
                <w:rFonts w:cs="Times New Roman"/>
                <w:color w:val="000000"/>
                <w:szCs w:val="24"/>
              </w:rPr>
              <w:t>27.6</w:t>
            </w:r>
          </w:p>
        </w:tc>
        <w:tc>
          <w:tcPr>
            <w:tcW w:w="862" w:type="pct"/>
            <w:tcBorders>
              <w:top w:val="nil"/>
              <w:left w:val="nil"/>
              <w:bottom w:val="nil"/>
              <w:right w:val="nil"/>
            </w:tcBorders>
            <w:vAlign w:val="bottom"/>
          </w:tcPr>
          <w:p w:rsidR="00742FFD" w:rsidRPr="00C86CC0" w:rsidRDefault="00C86CC0" w:rsidP="0066662B">
            <w:pPr>
              <w:ind w:firstLine="0"/>
              <w:jc w:val="center"/>
              <w:rPr>
                <w:rFonts w:cs="Times New Roman"/>
                <w:color w:val="000000"/>
                <w:szCs w:val="24"/>
              </w:rPr>
            </w:pPr>
            <w:r>
              <w:rPr>
                <w:rFonts w:cs="Times New Roman"/>
                <w:color w:val="000000"/>
                <w:szCs w:val="24"/>
              </w:rPr>
              <w:t>24.</w:t>
            </w:r>
            <w:r w:rsidR="0066662B">
              <w:rPr>
                <w:rFonts w:cs="Times New Roman"/>
                <w:color w:val="000000"/>
                <w:szCs w:val="24"/>
              </w:rPr>
              <w:t>0</w:t>
            </w:r>
          </w:p>
        </w:tc>
        <w:tc>
          <w:tcPr>
            <w:tcW w:w="706" w:type="pct"/>
            <w:tcBorders>
              <w:top w:val="nil"/>
              <w:left w:val="nil"/>
              <w:bottom w:val="nil"/>
              <w:right w:val="nil"/>
            </w:tcBorders>
            <w:shd w:val="clear" w:color="auto" w:fill="auto"/>
            <w:noWrap/>
            <w:vAlign w:val="bottom"/>
          </w:tcPr>
          <w:p w:rsidR="00742FFD" w:rsidRPr="00C86CC0" w:rsidRDefault="00C86CC0" w:rsidP="00C86CC0">
            <w:pPr>
              <w:ind w:firstLine="0"/>
              <w:jc w:val="center"/>
              <w:rPr>
                <w:rFonts w:cs="Times New Roman"/>
                <w:color w:val="000000"/>
                <w:szCs w:val="24"/>
              </w:rPr>
            </w:pPr>
            <w:r>
              <w:rPr>
                <w:rFonts w:cs="Times New Roman"/>
                <w:color w:val="000000"/>
                <w:szCs w:val="24"/>
              </w:rPr>
              <w:t>26.8</w:t>
            </w:r>
          </w:p>
        </w:tc>
      </w:tr>
      <w:tr w:rsidR="00742FFD" w:rsidRPr="00C86CC0" w:rsidTr="008019E6">
        <w:trPr>
          <w:trHeight w:hRule="exact" w:val="268"/>
          <w:jc w:val="center"/>
        </w:trPr>
        <w:tc>
          <w:tcPr>
            <w:tcW w:w="2569" w:type="pct"/>
            <w:gridSpan w:val="2"/>
            <w:tcBorders>
              <w:top w:val="nil"/>
              <w:left w:val="nil"/>
              <w:bottom w:val="nil"/>
              <w:right w:val="nil"/>
            </w:tcBorders>
            <w:shd w:val="clear" w:color="auto" w:fill="auto"/>
            <w:noWrap/>
            <w:vAlign w:val="center"/>
          </w:tcPr>
          <w:p w:rsidR="00742FFD" w:rsidRPr="00C86CC0" w:rsidRDefault="00742FFD">
            <w:pPr>
              <w:pStyle w:val="Tabletextcentred"/>
              <w:jc w:val="left"/>
              <w:rPr>
                <w:sz w:val="24"/>
                <w:szCs w:val="24"/>
                <w:lang w:eastAsia="en-AU"/>
              </w:rPr>
            </w:pPr>
          </w:p>
        </w:tc>
        <w:tc>
          <w:tcPr>
            <w:tcW w:w="863" w:type="pct"/>
            <w:tcBorders>
              <w:top w:val="nil"/>
              <w:left w:val="nil"/>
              <w:bottom w:val="nil"/>
              <w:right w:val="nil"/>
            </w:tcBorders>
            <w:shd w:val="clear" w:color="auto" w:fill="auto"/>
            <w:noWrap/>
            <w:vAlign w:val="center"/>
          </w:tcPr>
          <w:p w:rsidR="00742FFD" w:rsidRPr="00C86CC0" w:rsidRDefault="00742FFD">
            <w:pPr>
              <w:pStyle w:val="Tabletextcentred"/>
              <w:rPr>
                <w:sz w:val="24"/>
                <w:szCs w:val="24"/>
              </w:rPr>
            </w:pPr>
          </w:p>
        </w:tc>
        <w:tc>
          <w:tcPr>
            <w:tcW w:w="862" w:type="pct"/>
            <w:tcBorders>
              <w:top w:val="nil"/>
              <w:left w:val="nil"/>
              <w:bottom w:val="nil"/>
              <w:right w:val="nil"/>
            </w:tcBorders>
            <w:vAlign w:val="center"/>
          </w:tcPr>
          <w:p w:rsidR="00742FFD" w:rsidRPr="00C86CC0" w:rsidRDefault="00742FFD">
            <w:pPr>
              <w:pStyle w:val="Tabletextcentred"/>
              <w:rPr>
                <w:sz w:val="24"/>
                <w:szCs w:val="24"/>
              </w:rPr>
            </w:pPr>
          </w:p>
        </w:tc>
        <w:tc>
          <w:tcPr>
            <w:tcW w:w="706" w:type="pct"/>
            <w:tcBorders>
              <w:top w:val="nil"/>
              <w:left w:val="nil"/>
              <w:bottom w:val="nil"/>
              <w:right w:val="nil"/>
            </w:tcBorders>
            <w:shd w:val="clear" w:color="auto" w:fill="auto"/>
            <w:noWrap/>
            <w:vAlign w:val="center"/>
          </w:tcPr>
          <w:p w:rsidR="00742FFD" w:rsidRPr="00C86CC0" w:rsidRDefault="00742FFD">
            <w:pPr>
              <w:pStyle w:val="Tabletextcentred"/>
              <w:rPr>
                <w:sz w:val="24"/>
                <w:szCs w:val="24"/>
              </w:rPr>
            </w:pPr>
          </w:p>
        </w:tc>
      </w:tr>
      <w:tr w:rsidR="00C86CC0" w:rsidRPr="00C86CC0" w:rsidTr="00C86CC0">
        <w:trPr>
          <w:trHeight w:hRule="exact" w:val="268"/>
          <w:jc w:val="center"/>
        </w:trPr>
        <w:tc>
          <w:tcPr>
            <w:tcW w:w="3432" w:type="pct"/>
            <w:gridSpan w:val="3"/>
            <w:tcBorders>
              <w:top w:val="nil"/>
              <w:left w:val="nil"/>
              <w:bottom w:val="nil"/>
              <w:right w:val="nil"/>
            </w:tcBorders>
            <w:shd w:val="clear" w:color="auto" w:fill="auto"/>
            <w:noWrap/>
            <w:vAlign w:val="center"/>
          </w:tcPr>
          <w:p w:rsidR="00C86CC0" w:rsidRPr="00C86CC0" w:rsidRDefault="00C86CC0" w:rsidP="00C86CC0">
            <w:pPr>
              <w:pStyle w:val="Tabletextcentred"/>
              <w:jc w:val="left"/>
              <w:rPr>
                <w:sz w:val="24"/>
                <w:szCs w:val="24"/>
              </w:rPr>
            </w:pPr>
            <w:r w:rsidRPr="00C86CC0">
              <w:rPr>
                <w:sz w:val="24"/>
                <w:szCs w:val="24"/>
                <w:lang w:eastAsia="en-AU"/>
              </w:rPr>
              <w:t xml:space="preserve">Panel C: </w:t>
            </w:r>
            <w:r>
              <w:rPr>
                <w:sz w:val="24"/>
                <w:szCs w:val="24"/>
                <w:lang w:eastAsia="en-AU"/>
              </w:rPr>
              <w:t xml:space="preserve">Average </w:t>
            </w:r>
            <w:r w:rsidRPr="00C86CC0">
              <w:rPr>
                <w:sz w:val="24"/>
                <w:szCs w:val="24"/>
                <w:lang w:eastAsia="en-AU"/>
              </w:rPr>
              <w:t>Per-hour Private Information Share (%)</w:t>
            </w:r>
          </w:p>
        </w:tc>
        <w:tc>
          <w:tcPr>
            <w:tcW w:w="862" w:type="pct"/>
            <w:tcBorders>
              <w:top w:val="nil"/>
              <w:left w:val="nil"/>
              <w:bottom w:val="nil"/>
              <w:right w:val="nil"/>
            </w:tcBorders>
            <w:vAlign w:val="center"/>
          </w:tcPr>
          <w:p w:rsidR="00C86CC0" w:rsidRPr="00C86CC0" w:rsidRDefault="00C86CC0">
            <w:pPr>
              <w:pStyle w:val="Tabletextcentred"/>
              <w:rPr>
                <w:sz w:val="24"/>
                <w:szCs w:val="24"/>
              </w:rPr>
            </w:pPr>
          </w:p>
        </w:tc>
        <w:tc>
          <w:tcPr>
            <w:tcW w:w="706" w:type="pct"/>
            <w:tcBorders>
              <w:top w:val="nil"/>
              <w:left w:val="nil"/>
              <w:bottom w:val="nil"/>
              <w:right w:val="nil"/>
            </w:tcBorders>
            <w:shd w:val="clear" w:color="auto" w:fill="auto"/>
            <w:noWrap/>
            <w:vAlign w:val="center"/>
          </w:tcPr>
          <w:p w:rsidR="00C86CC0" w:rsidRPr="00C86CC0" w:rsidRDefault="00C86CC0">
            <w:pPr>
              <w:pStyle w:val="Tabletextcentred"/>
              <w:rPr>
                <w:sz w:val="24"/>
                <w:szCs w:val="24"/>
              </w:rPr>
            </w:pPr>
          </w:p>
        </w:tc>
      </w:tr>
      <w:tr w:rsidR="009C1259"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9C1259" w:rsidRPr="00C86CC0" w:rsidRDefault="009C1259">
            <w:pPr>
              <w:pStyle w:val="Tabletextcentred"/>
              <w:rPr>
                <w:sz w:val="24"/>
                <w:szCs w:val="24"/>
                <w:lang w:eastAsia="en-AU"/>
              </w:rPr>
            </w:pPr>
            <w:r w:rsidRPr="00C86CC0">
              <w:rPr>
                <w:sz w:val="24"/>
                <w:szCs w:val="24"/>
                <w:lang w:eastAsia="en-AU"/>
              </w:rPr>
              <w:t>1996-1999</w:t>
            </w:r>
          </w:p>
        </w:tc>
        <w:tc>
          <w:tcPr>
            <w:tcW w:w="863" w:type="pct"/>
            <w:tcBorders>
              <w:top w:val="nil"/>
              <w:left w:val="nil"/>
              <w:bottom w:val="nil"/>
              <w:right w:val="nil"/>
            </w:tcBorders>
            <w:shd w:val="clear" w:color="auto" w:fill="auto"/>
            <w:noWrap/>
            <w:vAlign w:val="bottom"/>
          </w:tcPr>
          <w:p w:rsidR="009C1259" w:rsidRPr="009C1259" w:rsidRDefault="0066662B" w:rsidP="009C1259">
            <w:pPr>
              <w:ind w:firstLine="0"/>
              <w:jc w:val="center"/>
              <w:rPr>
                <w:rFonts w:cs="Times New Roman"/>
                <w:color w:val="000000"/>
              </w:rPr>
            </w:pPr>
            <w:r>
              <w:rPr>
                <w:rFonts w:cs="Times New Roman"/>
                <w:color w:val="000000"/>
              </w:rPr>
              <w:t>2.77</w:t>
            </w:r>
          </w:p>
        </w:tc>
        <w:tc>
          <w:tcPr>
            <w:tcW w:w="863" w:type="pct"/>
            <w:tcBorders>
              <w:top w:val="nil"/>
              <w:left w:val="nil"/>
              <w:bottom w:val="nil"/>
              <w:right w:val="nil"/>
            </w:tcBorders>
            <w:shd w:val="clear" w:color="auto" w:fill="auto"/>
            <w:noWrap/>
            <w:vAlign w:val="bottom"/>
          </w:tcPr>
          <w:p w:rsidR="009C1259" w:rsidRPr="009C1259" w:rsidRDefault="009C1259" w:rsidP="0066662B">
            <w:pPr>
              <w:ind w:firstLine="0"/>
              <w:jc w:val="center"/>
              <w:rPr>
                <w:rFonts w:cs="Times New Roman"/>
                <w:color w:val="000000"/>
              </w:rPr>
            </w:pPr>
            <w:r w:rsidRPr="009C1259">
              <w:rPr>
                <w:rFonts w:cs="Times New Roman"/>
                <w:color w:val="000000"/>
              </w:rPr>
              <w:t>3.</w:t>
            </w:r>
            <w:r w:rsidR="0066662B">
              <w:rPr>
                <w:rFonts w:cs="Times New Roman"/>
                <w:color w:val="000000"/>
              </w:rPr>
              <w:t>87</w:t>
            </w:r>
          </w:p>
        </w:tc>
        <w:tc>
          <w:tcPr>
            <w:tcW w:w="862" w:type="pct"/>
            <w:tcBorders>
              <w:top w:val="nil"/>
              <w:left w:val="nil"/>
              <w:bottom w:val="nil"/>
              <w:right w:val="nil"/>
            </w:tcBorders>
            <w:vAlign w:val="bottom"/>
          </w:tcPr>
          <w:p w:rsidR="009C1259" w:rsidRPr="009C1259" w:rsidRDefault="0066662B" w:rsidP="009C1259">
            <w:pPr>
              <w:ind w:firstLine="0"/>
              <w:jc w:val="center"/>
              <w:rPr>
                <w:rFonts w:cs="Times New Roman"/>
                <w:color w:val="000000"/>
              </w:rPr>
            </w:pPr>
            <w:r>
              <w:rPr>
                <w:rFonts w:cs="Times New Roman"/>
                <w:color w:val="000000"/>
              </w:rPr>
              <w:t>12.0</w:t>
            </w:r>
          </w:p>
        </w:tc>
        <w:tc>
          <w:tcPr>
            <w:tcW w:w="706" w:type="pct"/>
            <w:tcBorders>
              <w:top w:val="nil"/>
              <w:left w:val="nil"/>
              <w:bottom w:val="nil"/>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3.8</w:t>
            </w:r>
            <w:r w:rsidR="0066662B">
              <w:rPr>
                <w:rFonts w:cs="Times New Roman"/>
                <w:color w:val="000000"/>
              </w:rPr>
              <w:t>0</w:t>
            </w:r>
          </w:p>
        </w:tc>
      </w:tr>
      <w:tr w:rsidR="009C1259" w:rsidRPr="00C86CC0" w:rsidTr="00D91C7C">
        <w:trPr>
          <w:trHeight w:hRule="exact" w:val="268"/>
          <w:jc w:val="center"/>
        </w:trPr>
        <w:tc>
          <w:tcPr>
            <w:tcW w:w="1706" w:type="pct"/>
            <w:tcBorders>
              <w:top w:val="nil"/>
              <w:left w:val="nil"/>
              <w:bottom w:val="nil"/>
              <w:right w:val="nil"/>
            </w:tcBorders>
            <w:shd w:val="clear" w:color="auto" w:fill="auto"/>
            <w:noWrap/>
            <w:vAlign w:val="center"/>
          </w:tcPr>
          <w:p w:rsidR="009C1259" w:rsidRPr="00C86CC0" w:rsidRDefault="009C1259">
            <w:pPr>
              <w:pStyle w:val="Tabletextcentred"/>
              <w:rPr>
                <w:sz w:val="24"/>
                <w:szCs w:val="24"/>
                <w:lang w:eastAsia="en-AU"/>
              </w:rPr>
            </w:pPr>
            <w:r w:rsidRPr="00C86CC0">
              <w:rPr>
                <w:sz w:val="24"/>
                <w:szCs w:val="24"/>
                <w:lang w:eastAsia="en-AU"/>
              </w:rPr>
              <w:t>2000-2007</w:t>
            </w:r>
          </w:p>
        </w:tc>
        <w:tc>
          <w:tcPr>
            <w:tcW w:w="863" w:type="pct"/>
            <w:tcBorders>
              <w:top w:val="nil"/>
              <w:left w:val="nil"/>
              <w:bottom w:val="nil"/>
              <w:right w:val="nil"/>
            </w:tcBorders>
            <w:shd w:val="clear" w:color="auto" w:fill="auto"/>
            <w:noWrap/>
            <w:vAlign w:val="bottom"/>
          </w:tcPr>
          <w:p w:rsidR="009C1259" w:rsidRPr="009C1259" w:rsidRDefault="0066662B" w:rsidP="009C1259">
            <w:pPr>
              <w:ind w:firstLine="0"/>
              <w:jc w:val="center"/>
              <w:rPr>
                <w:rFonts w:cs="Times New Roman"/>
                <w:color w:val="000000"/>
              </w:rPr>
            </w:pPr>
            <w:r>
              <w:rPr>
                <w:rFonts w:cs="Times New Roman"/>
                <w:color w:val="000000"/>
              </w:rPr>
              <w:t>2.76</w:t>
            </w:r>
          </w:p>
        </w:tc>
        <w:tc>
          <w:tcPr>
            <w:tcW w:w="863" w:type="pct"/>
            <w:tcBorders>
              <w:top w:val="nil"/>
              <w:left w:val="nil"/>
              <w:bottom w:val="nil"/>
              <w:right w:val="nil"/>
            </w:tcBorders>
            <w:shd w:val="clear" w:color="auto" w:fill="auto"/>
            <w:noWrap/>
            <w:vAlign w:val="bottom"/>
          </w:tcPr>
          <w:p w:rsidR="009C1259" w:rsidRPr="009C1259" w:rsidRDefault="0066662B" w:rsidP="009C1259">
            <w:pPr>
              <w:ind w:firstLine="0"/>
              <w:jc w:val="center"/>
              <w:rPr>
                <w:rFonts w:cs="Times New Roman"/>
                <w:color w:val="000000"/>
              </w:rPr>
            </w:pPr>
            <w:r>
              <w:rPr>
                <w:rFonts w:cs="Times New Roman"/>
                <w:color w:val="000000"/>
              </w:rPr>
              <w:t>3.88</w:t>
            </w:r>
          </w:p>
        </w:tc>
        <w:tc>
          <w:tcPr>
            <w:tcW w:w="862" w:type="pct"/>
            <w:tcBorders>
              <w:top w:val="nil"/>
              <w:left w:val="nil"/>
              <w:bottom w:val="nil"/>
              <w:right w:val="nil"/>
            </w:tcBorders>
            <w:vAlign w:val="bottom"/>
          </w:tcPr>
          <w:p w:rsidR="009C1259" w:rsidRPr="009C1259" w:rsidRDefault="009C1259" w:rsidP="009C1259">
            <w:pPr>
              <w:ind w:firstLine="0"/>
              <w:jc w:val="center"/>
              <w:rPr>
                <w:rFonts w:cs="Times New Roman"/>
                <w:color w:val="000000"/>
              </w:rPr>
            </w:pPr>
            <w:r w:rsidRPr="009C1259">
              <w:rPr>
                <w:rFonts w:cs="Times New Roman"/>
                <w:color w:val="000000"/>
              </w:rPr>
              <w:t>12.1</w:t>
            </w:r>
          </w:p>
        </w:tc>
        <w:tc>
          <w:tcPr>
            <w:tcW w:w="706" w:type="pct"/>
            <w:tcBorders>
              <w:top w:val="nil"/>
              <w:left w:val="nil"/>
              <w:bottom w:val="nil"/>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3.8</w:t>
            </w:r>
            <w:r w:rsidR="0066662B">
              <w:rPr>
                <w:rFonts w:cs="Times New Roman"/>
                <w:color w:val="000000"/>
              </w:rPr>
              <w:t>0</w:t>
            </w:r>
          </w:p>
        </w:tc>
      </w:tr>
      <w:tr w:rsidR="009C1259" w:rsidRPr="00C86CC0" w:rsidTr="00D91C7C">
        <w:trPr>
          <w:trHeight w:hRule="exact" w:val="268"/>
          <w:jc w:val="center"/>
        </w:trPr>
        <w:tc>
          <w:tcPr>
            <w:tcW w:w="1706" w:type="pct"/>
            <w:tcBorders>
              <w:top w:val="nil"/>
              <w:left w:val="nil"/>
              <w:right w:val="nil"/>
            </w:tcBorders>
            <w:shd w:val="clear" w:color="auto" w:fill="auto"/>
            <w:noWrap/>
            <w:vAlign w:val="center"/>
          </w:tcPr>
          <w:p w:rsidR="009C1259" w:rsidRPr="00C86CC0" w:rsidRDefault="009C1259">
            <w:pPr>
              <w:pStyle w:val="Tabletextcentred"/>
              <w:rPr>
                <w:sz w:val="24"/>
                <w:szCs w:val="24"/>
                <w:lang w:eastAsia="en-AU"/>
              </w:rPr>
            </w:pPr>
            <w:r w:rsidRPr="00C86CC0">
              <w:rPr>
                <w:sz w:val="24"/>
                <w:szCs w:val="24"/>
                <w:lang w:eastAsia="en-AU"/>
              </w:rPr>
              <w:t>2008-2012</w:t>
            </w:r>
          </w:p>
        </w:tc>
        <w:tc>
          <w:tcPr>
            <w:tcW w:w="863" w:type="pct"/>
            <w:tcBorders>
              <w:top w:val="nil"/>
              <w:left w:val="nil"/>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2.5</w:t>
            </w:r>
            <w:r w:rsidR="0066662B">
              <w:rPr>
                <w:rFonts w:cs="Times New Roman"/>
                <w:color w:val="000000"/>
              </w:rPr>
              <w:t>5</w:t>
            </w:r>
          </w:p>
        </w:tc>
        <w:tc>
          <w:tcPr>
            <w:tcW w:w="863" w:type="pct"/>
            <w:tcBorders>
              <w:top w:val="nil"/>
              <w:left w:val="nil"/>
              <w:right w:val="nil"/>
            </w:tcBorders>
            <w:shd w:val="clear" w:color="auto" w:fill="auto"/>
            <w:noWrap/>
            <w:vAlign w:val="bottom"/>
          </w:tcPr>
          <w:p w:rsidR="009C1259" w:rsidRPr="009C1259" w:rsidRDefault="0066662B" w:rsidP="009C1259">
            <w:pPr>
              <w:ind w:firstLine="0"/>
              <w:jc w:val="center"/>
              <w:rPr>
                <w:rFonts w:cs="Times New Roman"/>
                <w:color w:val="000000"/>
              </w:rPr>
            </w:pPr>
            <w:r>
              <w:rPr>
                <w:rFonts w:cs="Times New Roman"/>
                <w:color w:val="000000"/>
              </w:rPr>
              <w:t>4.09</w:t>
            </w:r>
          </w:p>
        </w:tc>
        <w:tc>
          <w:tcPr>
            <w:tcW w:w="862" w:type="pct"/>
            <w:tcBorders>
              <w:top w:val="nil"/>
              <w:left w:val="nil"/>
              <w:right w:val="nil"/>
            </w:tcBorders>
            <w:vAlign w:val="bottom"/>
          </w:tcPr>
          <w:p w:rsidR="009C1259" w:rsidRPr="009C1259" w:rsidRDefault="009C1259" w:rsidP="009C1259">
            <w:pPr>
              <w:ind w:firstLine="0"/>
              <w:jc w:val="center"/>
              <w:rPr>
                <w:rFonts w:cs="Times New Roman"/>
                <w:color w:val="000000"/>
              </w:rPr>
            </w:pPr>
            <w:r w:rsidRPr="009C1259">
              <w:rPr>
                <w:rFonts w:cs="Times New Roman"/>
                <w:color w:val="000000"/>
              </w:rPr>
              <w:t>11.9</w:t>
            </w:r>
          </w:p>
        </w:tc>
        <w:tc>
          <w:tcPr>
            <w:tcW w:w="706" w:type="pct"/>
            <w:tcBorders>
              <w:top w:val="nil"/>
              <w:left w:val="nil"/>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3.</w:t>
            </w:r>
            <w:r w:rsidR="0066662B">
              <w:rPr>
                <w:rFonts w:cs="Times New Roman"/>
                <w:color w:val="000000"/>
              </w:rPr>
              <w:t>8</w:t>
            </w:r>
            <w:r w:rsidRPr="009C1259">
              <w:rPr>
                <w:rFonts w:cs="Times New Roman"/>
                <w:color w:val="000000"/>
              </w:rPr>
              <w:t>9</w:t>
            </w:r>
          </w:p>
        </w:tc>
      </w:tr>
      <w:tr w:rsidR="009C1259" w:rsidRPr="00C86CC0" w:rsidTr="00D91C7C">
        <w:trPr>
          <w:trHeight w:hRule="exact" w:val="268"/>
          <w:jc w:val="center"/>
        </w:trPr>
        <w:tc>
          <w:tcPr>
            <w:tcW w:w="1706" w:type="pct"/>
            <w:tcBorders>
              <w:top w:val="nil"/>
              <w:left w:val="nil"/>
              <w:bottom w:val="single" w:sz="4" w:space="0" w:color="auto"/>
              <w:right w:val="nil"/>
            </w:tcBorders>
            <w:shd w:val="clear" w:color="auto" w:fill="auto"/>
            <w:noWrap/>
            <w:vAlign w:val="center"/>
          </w:tcPr>
          <w:p w:rsidR="009C1259" w:rsidRPr="00C86CC0" w:rsidRDefault="009C1259">
            <w:pPr>
              <w:pStyle w:val="Tabletextcentred"/>
              <w:rPr>
                <w:sz w:val="24"/>
                <w:szCs w:val="24"/>
                <w:lang w:eastAsia="en-AU"/>
              </w:rPr>
            </w:pPr>
            <w:r w:rsidRPr="00C86CC0">
              <w:rPr>
                <w:sz w:val="24"/>
                <w:szCs w:val="24"/>
                <w:lang w:eastAsia="en-AU"/>
              </w:rPr>
              <w:t>Full Sample</w:t>
            </w:r>
          </w:p>
        </w:tc>
        <w:tc>
          <w:tcPr>
            <w:tcW w:w="863" w:type="pct"/>
            <w:tcBorders>
              <w:top w:val="nil"/>
              <w:left w:val="nil"/>
              <w:bottom w:val="single" w:sz="4" w:space="0" w:color="auto"/>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2.7</w:t>
            </w:r>
            <w:r w:rsidR="0066662B">
              <w:rPr>
                <w:rFonts w:cs="Times New Roman"/>
                <w:color w:val="000000"/>
              </w:rPr>
              <w:t>0</w:t>
            </w:r>
          </w:p>
        </w:tc>
        <w:tc>
          <w:tcPr>
            <w:tcW w:w="863" w:type="pct"/>
            <w:tcBorders>
              <w:top w:val="nil"/>
              <w:left w:val="nil"/>
              <w:bottom w:val="single" w:sz="4" w:space="0" w:color="auto"/>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3.9</w:t>
            </w:r>
            <w:r w:rsidR="0066662B">
              <w:rPr>
                <w:rFonts w:cs="Times New Roman"/>
                <w:color w:val="000000"/>
              </w:rPr>
              <w:t>4</w:t>
            </w:r>
          </w:p>
        </w:tc>
        <w:tc>
          <w:tcPr>
            <w:tcW w:w="862" w:type="pct"/>
            <w:tcBorders>
              <w:top w:val="nil"/>
              <w:left w:val="nil"/>
              <w:bottom w:val="single" w:sz="4" w:space="0" w:color="auto"/>
              <w:right w:val="nil"/>
            </w:tcBorders>
            <w:vAlign w:val="bottom"/>
          </w:tcPr>
          <w:p w:rsidR="009C1259" w:rsidRPr="009C1259" w:rsidRDefault="009C1259" w:rsidP="009C1259">
            <w:pPr>
              <w:ind w:firstLine="0"/>
              <w:jc w:val="center"/>
              <w:rPr>
                <w:rFonts w:cs="Times New Roman"/>
                <w:color w:val="000000"/>
              </w:rPr>
            </w:pPr>
            <w:r w:rsidRPr="009C1259">
              <w:rPr>
                <w:rFonts w:cs="Times New Roman"/>
                <w:color w:val="000000"/>
              </w:rPr>
              <w:t>12.0</w:t>
            </w:r>
          </w:p>
        </w:tc>
        <w:tc>
          <w:tcPr>
            <w:tcW w:w="706" w:type="pct"/>
            <w:tcBorders>
              <w:top w:val="nil"/>
              <w:left w:val="nil"/>
              <w:bottom w:val="single" w:sz="4" w:space="0" w:color="auto"/>
              <w:right w:val="nil"/>
            </w:tcBorders>
            <w:shd w:val="clear" w:color="auto" w:fill="auto"/>
            <w:noWrap/>
            <w:vAlign w:val="bottom"/>
          </w:tcPr>
          <w:p w:rsidR="009C1259" w:rsidRPr="009C1259" w:rsidRDefault="009C1259" w:rsidP="009C1259">
            <w:pPr>
              <w:ind w:firstLine="0"/>
              <w:jc w:val="center"/>
              <w:rPr>
                <w:rFonts w:cs="Times New Roman"/>
                <w:color w:val="000000"/>
              </w:rPr>
            </w:pPr>
            <w:r w:rsidRPr="009C1259">
              <w:rPr>
                <w:rFonts w:cs="Times New Roman"/>
                <w:color w:val="000000"/>
              </w:rPr>
              <w:t>3.8</w:t>
            </w:r>
            <w:r w:rsidR="0066662B">
              <w:rPr>
                <w:rFonts w:cs="Times New Roman"/>
                <w:color w:val="000000"/>
              </w:rPr>
              <w:t>3</w:t>
            </w:r>
          </w:p>
        </w:tc>
      </w:tr>
      <w:tr w:rsidR="00742FFD" w:rsidRPr="00C86CC0" w:rsidTr="00742FFD">
        <w:trPr>
          <w:trHeight w:hRule="exact" w:val="268"/>
          <w:jc w:val="center"/>
        </w:trPr>
        <w:tc>
          <w:tcPr>
            <w:tcW w:w="2569" w:type="pct"/>
            <w:gridSpan w:val="2"/>
            <w:tcBorders>
              <w:top w:val="single" w:sz="4" w:space="0" w:color="auto"/>
              <w:left w:val="nil"/>
              <w:bottom w:val="nil"/>
              <w:right w:val="nil"/>
            </w:tcBorders>
            <w:shd w:val="clear" w:color="auto" w:fill="auto"/>
            <w:noWrap/>
            <w:vAlign w:val="center"/>
          </w:tcPr>
          <w:p w:rsidR="00742FFD" w:rsidRPr="00C86CC0" w:rsidRDefault="00742FFD" w:rsidP="00CE4E8B">
            <w:pPr>
              <w:pStyle w:val="Tabletextcentred"/>
              <w:jc w:val="left"/>
              <w:rPr>
                <w:sz w:val="24"/>
                <w:szCs w:val="24"/>
                <w:lang w:eastAsia="en-AU"/>
              </w:rPr>
            </w:pPr>
          </w:p>
        </w:tc>
        <w:tc>
          <w:tcPr>
            <w:tcW w:w="863" w:type="pct"/>
            <w:tcBorders>
              <w:top w:val="single" w:sz="4" w:space="0" w:color="auto"/>
              <w:left w:val="nil"/>
              <w:bottom w:val="nil"/>
              <w:right w:val="nil"/>
            </w:tcBorders>
            <w:shd w:val="clear" w:color="auto" w:fill="auto"/>
            <w:noWrap/>
            <w:vAlign w:val="center"/>
          </w:tcPr>
          <w:p w:rsidR="00742FFD" w:rsidRPr="00C86CC0" w:rsidRDefault="00742FFD" w:rsidP="00CE4E8B">
            <w:pPr>
              <w:pStyle w:val="Tabletextcentred"/>
              <w:rPr>
                <w:sz w:val="24"/>
                <w:szCs w:val="24"/>
              </w:rPr>
            </w:pPr>
          </w:p>
        </w:tc>
        <w:tc>
          <w:tcPr>
            <w:tcW w:w="862" w:type="pct"/>
            <w:tcBorders>
              <w:top w:val="single" w:sz="4" w:space="0" w:color="auto"/>
              <w:left w:val="nil"/>
              <w:bottom w:val="nil"/>
              <w:right w:val="nil"/>
            </w:tcBorders>
            <w:vAlign w:val="center"/>
          </w:tcPr>
          <w:p w:rsidR="00742FFD" w:rsidRPr="00C86CC0" w:rsidRDefault="00742FFD" w:rsidP="00CE4E8B">
            <w:pPr>
              <w:pStyle w:val="Tabletextcentred"/>
              <w:rPr>
                <w:sz w:val="24"/>
                <w:szCs w:val="24"/>
              </w:rPr>
            </w:pPr>
          </w:p>
        </w:tc>
        <w:tc>
          <w:tcPr>
            <w:tcW w:w="706" w:type="pct"/>
            <w:tcBorders>
              <w:top w:val="single" w:sz="4" w:space="0" w:color="auto"/>
              <w:left w:val="nil"/>
              <w:bottom w:val="nil"/>
              <w:right w:val="nil"/>
            </w:tcBorders>
            <w:shd w:val="clear" w:color="auto" w:fill="auto"/>
            <w:noWrap/>
            <w:vAlign w:val="center"/>
          </w:tcPr>
          <w:p w:rsidR="00742FFD" w:rsidRPr="00C86CC0" w:rsidRDefault="00742FFD" w:rsidP="00CE4E8B">
            <w:pPr>
              <w:pStyle w:val="Tabletextcentred"/>
              <w:rPr>
                <w:sz w:val="24"/>
                <w:szCs w:val="24"/>
              </w:rPr>
            </w:pPr>
          </w:p>
        </w:tc>
      </w:tr>
    </w:tbl>
    <w:p w:rsidR="00B07A52" w:rsidRDefault="00A322AE" w:rsidP="00BA61B4">
      <w:pPr>
        <w:spacing w:after="200" w:line="276" w:lineRule="auto"/>
        <w:ind w:firstLine="0"/>
        <w:jc w:val="left"/>
        <w:rPr>
          <w:b/>
        </w:rPr>
      </w:pPr>
      <w:r>
        <w:rPr>
          <w:b/>
        </w:rPr>
        <w:br w:type="textWrapping" w:clear="all"/>
      </w:r>
    </w:p>
    <w:p w:rsidR="00BA61B4" w:rsidRDefault="00BA61B4" w:rsidP="00BA61B4">
      <w:pPr>
        <w:pStyle w:val="Caption"/>
        <w:rPr>
          <w:rFonts w:cs="Times New Roman"/>
          <w:b w:val="0"/>
          <w:sz w:val="20"/>
          <w:szCs w:val="20"/>
        </w:rPr>
      </w:pPr>
    </w:p>
    <w:p w:rsidR="0008109C" w:rsidRDefault="0008109C" w:rsidP="00133D23">
      <w:pPr>
        <w:spacing w:line="240" w:lineRule="auto"/>
        <w:ind w:firstLine="0"/>
        <w:contextualSpacing/>
        <w:jc w:val="center"/>
        <w:rPr>
          <w:rFonts w:cs="Times New Roman"/>
          <w:sz w:val="20"/>
          <w:szCs w:val="20"/>
        </w:rPr>
      </w:pPr>
    </w:p>
    <w:sectPr w:rsidR="0008109C" w:rsidSect="00B30742">
      <w:footerReference w:type="default" r:id="rId18"/>
      <w:headerReference w:type="first" r:id="rId19"/>
      <w:footerReference w:type="first" r:id="rId20"/>
      <w:footnotePr>
        <w:numRestart w:val="eachSect"/>
      </w:footnotePr>
      <w:type w:val="continuous"/>
      <w:pgSz w:w="11907" w:h="16839" w:code="9"/>
      <w:pgMar w:top="1134"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521" w:rsidRDefault="007D7521" w:rsidP="00386EE2">
      <w:pPr>
        <w:spacing w:line="240" w:lineRule="auto"/>
      </w:pPr>
      <w:r>
        <w:separator/>
      </w:r>
    </w:p>
  </w:endnote>
  <w:endnote w:type="continuationSeparator" w:id="0">
    <w:p w:rsidR="007D7521" w:rsidRDefault="007D7521" w:rsidP="00386E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2">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rPr>
      <w:id w:val="14907456"/>
      <w:docPartObj>
        <w:docPartGallery w:val="Page Numbers (Bottom of Page)"/>
        <w:docPartUnique/>
      </w:docPartObj>
    </w:sdtPr>
    <w:sdtEndPr/>
    <w:sdtContent>
      <w:p w:rsidR="0007336F" w:rsidRPr="009B02AF" w:rsidRDefault="0007336F">
        <w:pPr>
          <w:pStyle w:val="Footer"/>
          <w:jc w:val="center"/>
          <w:rPr>
            <w:rFonts w:cs="Times New Roman"/>
          </w:rPr>
        </w:pPr>
        <w:r w:rsidRPr="009B02AF">
          <w:rPr>
            <w:rFonts w:cs="Times New Roman"/>
          </w:rPr>
          <w:fldChar w:fldCharType="begin"/>
        </w:r>
        <w:r w:rsidRPr="009B02AF">
          <w:rPr>
            <w:rFonts w:cs="Times New Roman"/>
          </w:rPr>
          <w:instrText xml:space="preserve"> PAGE   \* MERGEFORMAT </w:instrText>
        </w:r>
        <w:r w:rsidRPr="009B02AF">
          <w:rPr>
            <w:rFonts w:cs="Times New Roman"/>
          </w:rPr>
          <w:fldChar w:fldCharType="separate"/>
        </w:r>
        <w:r w:rsidR="00B8320B">
          <w:rPr>
            <w:rFonts w:cs="Times New Roman"/>
            <w:noProof/>
          </w:rPr>
          <w:t>2</w:t>
        </w:r>
        <w:r w:rsidRPr="009B02AF">
          <w:rPr>
            <w:rFonts w:cs="Times New Roman"/>
          </w:rPr>
          <w:fldChar w:fldCharType="end"/>
        </w:r>
      </w:p>
    </w:sdtContent>
  </w:sdt>
  <w:p w:rsidR="0007336F" w:rsidRDefault="00073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6F" w:rsidRDefault="0007336F">
    <w:pPr>
      <w:pStyle w:val="Footer"/>
      <w:jc w:val="center"/>
    </w:pPr>
  </w:p>
  <w:p w:rsidR="0007336F" w:rsidRDefault="00073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521" w:rsidRDefault="007D7521" w:rsidP="00386EE2">
      <w:pPr>
        <w:spacing w:line="240" w:lineRule="auto"/>
      </w:pPr>
      <w:r>
        <w:separator/>
      </w:r>
    </w:p>
  </w:footnote>
  <w:footnote w:type="continuationSeparator" w:id="0">
    <w:p w:rsidR="007D7521" w:rsidRDefault="007D7521" w:rsidP="00386EE2">
      <w:pPr>
        <w:spacing w:line="240" w:lineRule="auto"/>
      </w:pPr>
      <w:r>
        <w:continuationSeparator/>
      </w:r>
    </w:p>
  </w:footnote>
  <w:footnote w:id="1">
    <w:p w:rsidR="0007336F" w:rsidRPr="00117ADC" w:rsidRDefault="0007336F" w:rsidP="00117ADC">
      <w:pPr>
        <w:pStyle w:val="FootnoteText"/>
        <w:ind w:left="709" w:firstLine="11"/>
        <w:rPr>
          <w:sz w:val="22"/>
          <w:szCs w:val="22"/>
        </w:rPr>
      </w:pPr>
      <w:r w:rsidRPr="00117ADC">
        <w:rPr>
          <w:rStyle w:val="FootnoteReference"/>
          <w:sz w:val="22"/>
          <w:szCs w:val="22"/>
        </w:rPr>
        <w:t>*</w:t>
      </w:r>
      <w:r w:rsidRPr="00117ADC">
        <w:rPr>
          <w:sz w:val="22"/>
          <w:szCs w:val="22"/>
        </w:rPr>
        <w:t xml:space="preserve"> </w:t>
      </w:r>
      <w:r w:rsidR="00117ADC" w:rsidRPr="00117ADC">
        <w:rPr>
          <w:sz w:val="22"/>
          <w:szCs w:val="22"/>
        </w:rPr>
        <w:t xml:space="preserve">Corresponding author at: </w:t>
      </w:r>
      <w:r w:rsidRPr="00117ADC">
        <w:rPr>
          <w:sz w:val="22"/>
          <w:szCs w:val="22"/>
        </w:rPr>
        <w:t>Finance Discipline Group, University of Technology S</w:t>
      </w:r>
      <w:r w:rsidR="00117ADC" w:rsidRPr="00117ADC">
        <w:rPr>
          <w:sz w:val="22"/>
          <w:szCs w:val="22"/>
        </w:rPr>
        <w:t>ydney, Sydney NSW 2007, Australia. Tel: +61 2 9514 9744</w:t>
      </w:r>
      <w:r w:rsidR="00117ADC">
        <w:rPr>
          <w:sz w:val="22"/>
          <w:szCs w:val="22"/>
        </w:rPr>
        <w:t>. E-mail address: jianxin.w</w:t>
      </w:r>
      <w:r w:rsidR="00117ADC" w:rsidRPr="00117ADC">
        <w:rPr>
          <w:sz w:val="22"/>
          <w:szCs w:val="22"/>
        </w:rPr>
        <w:t>ang@uts.edu.au</w:t>
      </w:r>
    </w:p>
  </w:footnote>
  <w:footnote w:id="2">
    <w:p w:rsidR="0007336F" w:rsidRDefault="0007336F" w:rsidP="00B30742">
      <w:pPr>
        <w:pStyle w:val="FootnoteText"/>
      </w:pPr>
      <w:r>
        <w:rPr>
          <w:rStyle w:val="FootnoteReference"/>
        </w:rPr>
        <w:footnoteRef/>
      </w:r>
      <w:r>
        <w:t xml:space="preserve"> </w:t>
      </w:r>
      <w:hyperlink r:id="rId1" w:history="1">
        <w:r>
          <w:rPr>
            <w:rStyle w:val="Hyperlink"/>
          </w:rPr>
          <w:t>http://www.lbma.org.uk/the-london-bullion-market</w:t>
        </w:r>
      </w:hyperlink>
    </w:p>
  </w:footnote>
  <w:footnote w:id="3">
    <w:p w:rsidR="0007336F" w:rsidRDefault="0007336F" w:rsidP="00B30742">
      <w:pPr>
        <w:pStyle w:val="FootnoteText"/>
      </w:pPr>
      <w:r>
        <w:rPr>
          <w:rStyle w:val="FootnoteReference"/>
        </w:rPr>
        <w:footnoteRef/>
      </w:r>
      <w:r>
        <w:t xml:space="preserve"> </w:t>
      </w:r>
      <w:hyperlink w:anchor="_ENREF_28" w:tooltip="Thomson Reuters, 2014 #810" w:history="1">
        <w:r>
          <w:rPr>
            <w:rFonts w:eastAsia="Times New Roman" w:cs="Times New Roman"/>
            <w:noProof/>
            <w:lang w:val="en-US"/>
          </w:rPr>
          <w:t>Thomson Reuters (2014</w:t>
        </w:r>
      </w:hyperlink>
      <w:r>
        <w:rPr>
          <w:rFonts w:eastAsia="Times New Roman" w:cs="Times New Roman"/>
          <w:noProof/>
          <w:lang w:val="en-US"/>
        </w:rPr>
        <w:t>)</w:t>
      </w:r>
      <w:r>
        <w:t xml:space="preserve">.  </w:t>
      </w:r>
    </w:p>
  </w:footnote>
  <w:footnote w:id="4">
    <w:p w:rsidR="0007336F" w:rsidRDefault="0007336F">
      <w:pPr>
        <w:pStyle w:val="FootnoteText"/>
      </w:pPr>
      <w:r>
        <w:rPr>
          <w:rStyle w:val="FootnoteReference"/>
        </w:rPr>
        <w:footnoteRef/>
      </w:r>
      <w:r>
        <w:t xml:space="preserve"> The two hours are 2 to 4 pm London local time and 9 to 11 am New York time.  </w:t>
      </w:r>
    </w:p>
  </w:footnote>
  <w:footnote w:id="5">
    <w:p w:rsidR="0007336F" w:rsidRDefault="0007336F" w:rsidP="0095606B">
      <w:pPr>
        <w:pStyle w:val="FootnoteText"/>
        <w:ind w:firstLine="0"/>
      </w:pPr>
      <w:r>
        <w:rPr>
          <w:rStyle w:val="FootnoteReference"/>
        </w:rPr>
        <w:footnoteRef/>
      </w:r>
      <w:r>
        <w:t xml:space="preserve"> See for example </w:t>
      </w:r>
      <w:r>
        <w:fldChar w:fldCharType="begin"/>
      </w:r>
      <w:r>
        <w:instrText xml:space="preserve"> ADDIN EN.CITE &lt;EndNote&gt;&lt;Cite&gt;&lt;Author&gt;Lin&lt;/Author&gt;&lt;Year&gt;1995&lt;/Year&gt;&lt;RecNum&gt;482&lt;/RecNum&gt;&lt;DisplayText&gt;Lin, Sanger and Booth (1995)&lt;/DisplayText&gt;&lt;record&gt;&lt;rec-number&gt;482&lt;/rec-number&gt;&lt;foreign-keys&gt;&lt;key app="EN" db-id="szetpsas1ep5veesd5xvva5qdxwetsvpfs5x"&gt;482&lt;/key&gt;&lt;/foreign-keys&gt;&lt;ref-type name="Journal Article"&gt;17&lt;/ref-type&gt;&lt;contributors&gt;&lt;authors&gt;&lt;author&gt;Lin, JC&lt;/author&gt;&lt;author&gt;Sanger, GC&lt;/author&gt;&lt;author&gt;Booth, GG&lt;/author&gt;&lt;/authors&gt;&lt;/contributors&gt;&lt;titles&gt;&lt;title&gt;Trade size and components of the bid-ask spread&lt;/title&gt;&lt;secondary-title&gt;Review of Financial Studies&lt;/secondary-title&gt;&lt;/titles&gt;&lt;periodical&gt;&lt;full-title&gt;Review of Financial Studies&lt;/full-title&gt;&lt;/periodical&gt;&lt;pages&gt;1153-1183&lt;/pages&gt;&lt;volume&gt;8&lt;/volume&gt;&lt;number&gt;4&lt;/number&gt;&lt;dates&gt;&lt;year&gt;1995&lt;/year&gt;&lt;/dates&gt;&lt;urls&gt;&lt;/urls&gt;&lt;/record&gt;&lt;/Cite&gt;&lt;/EndNote&gt;</w:instrText>
      </w:r>
      <w:r>
        <w:fldChar w:fldCharType="separate"/>
      </w:r>
      <w:hyperlink w:anchor="_ENREF_27" w:tooltip="Lin, 1995 #482" w:history="1">
        <w:r w:rsidR="00C419D5">
          <w:rPr>
            <w:noProof/>
          </w:rPr>
          <w:t>Lin, Sanger and Booth (1995</w:t>
        </w:r>
      </w:hyperlink>
      <w:r>
        <w:rPr>
          <w:noProof/>
        </w:rPr>
        <w:t>)</w:t>
      </w:r>
      <w:r>
        <w:fldChar w:fldCharType="end"/>
      </w:r>
      <w:r>
        <w:t xml:space="preserve">, </w:t>
      </w:r>
      <w:r>
        <w:fldChar w:fldCharType="begin"/>
      </w:r>
      <w:r>
        <w:instrText xml:space="preserve"> ADDIN EN.CITE &lt;EndNote&gt;&lt;Cite&gt;&lt;Author&gt;Huang&lt;/Author&gt;&lt;Year&gt;1997&lt;/Year&gt;&lt;RecNum&gt;478&lt;/RecNum&gt;&lt;DisplayText&gt;Huang and Stoll (1997)&lt;/DisplayText&gt;&lt;record&gt;&lt;rec-number&gt;478&lt;/rec-number&gt;&lt;foreign-keys&gt;&lt;key app="EN" db-id="szetpsas1ep5veesd5xvva5qdxwetsvpfs5x"&gt;478&lt;/key&gt;&lt;/foreign-keys&gt;&lt;ref-type name="Journal Article"&gt;17&lt;/ref-type&gt;&lt;contributors&gt;&lt;authors&gt;&lt;author&gt;Huang, RD&lt;/author&gt;&lt;author&gt;Stoll, HR&lt;/author&gt;&lt;/authors&gt;&lt;/contributors&gt;&lt;titles&gt;&lt;title&gt;The components of the bid-ask spread: A general approach&lt;/title&gt;&lt;secondary-title&gt;Review of Financial Studies&lt;/secondary-title&gt;&lt;/titles&gt;&lt;periodical&gt;&lt;full-title&gt;Review of Financial Studies&lt;/full-title&gt;&lt;/periodical&gt;&lt;pages&gt;995-1034&lt;/pages&gt;&lt;volume&gt;10&lt;/volume&gt;&lt;number&gt;4&lt;/number&gt;&lt;dates&gt;&lt;year&gt;1997&lt;/year&gt;&lt;/dates&gt;&lt;urls&gt;&lt;/urls&gt;&lt;/record&gt;&lt;/Cite&gt;&lt;/EndNote&gt;</w:instrText>
      </w:r>
      <w:r>
        <w:fldChar w:fldCharType="separate"/>
      </w:r>
      <w:hyperlink w:anchor="_ENREF_22" w:tooltip="Huang, 1997 #478" w:history="1">
        <w:r w:rsidR="00C419D5">
          <w:rPr>
            <w:noProof/>
          </w:rPr>
          <w:t>Huang and Stoll (1997</w:t>
        </w:r>
      </w:hyperlink>
      <w:r>
        <w:rPr>
          <w:noProof/>
        </w:rPr>
        <w:t>)</w:t>
      </w:r>
      <w:r>
        <w:fldChar w:fldCharType="end"/>
      </w:r>
      <w:r>
        <w:t xml:space="preserve">, </w:t>
      </w:r>
      <w:r>
        <w:fldChar w:fldCharType="begin"/>
      </w:r>
      <w:r>
        <w:instrText xml:space="preserve"> ADDIN EN.CITE &lt;EndNote&gt;&lt;Cite&gt;&lt;Author&gt;Madhavan&lt;/Author&gt;&lt;Year&gt;1997&lt;/Year&gt;&lt;RecNum&gt;431&lt;/RecNum&gt;&lt;DisplayText&gt;Madhavan, Richardson and Roomans (1997)&lt;/DisplayText&gt;&lt;record&gt;&lt;rec-number&gt;431&lt;/rec-number&gt;&lt;foreign-keys&gt;&lt;key app="EN" db-id="szetpsas1ep5veesd5xvva5qdxwetsvpfs5x"&gt;431&lt;/key&gt;&lt;/foreign-keys&gt;&lt;ref-type name="Journal Article"&gt;17&lt;/ref-type&gt;&lt;contributors&gt;&lt;authors&gt;&lt;author&gt;Madhavan, A.&lt;/author&gt;&lt;author&gt;Richardson, M.&lt;/author&gt;&lt;author&gt;Roomans, M.&lt;/author&gt;&lt;/authors&gt;&lt;/contributors&gt;&lt;titles&gt;&lt;title&gt;Why Do Security Prices Change? A Transaction-Level Analysis of NYSE Stocks&lt;/title&gt;&lt;secondary-title&gt;Review of Financial Studies&lt;/secondary-title&gt;&lt;/titles&gt;&lt;periodical&gt;&lt;full-title&gt;Review of Financial Studies&lt;/full-title&gt;&lt;/periodical&gt;&lt;pages&gt;1035-1064&lt;/pages&gt;&lt;volume&gt;10&lt;/volume&gt;&lt;number&gt;4&lt;/number&gt;&lt;dates&gt;&lt;year&gt;1997&lt;/year&gt;&lt;/dates&gt;&lt;urls&gt;&lt;/urls&gt;&lt;/record&gt;&lt;/Cite&gt;&lt;/EndNote&gt;</w:instrText>
      </w:r>
      <w:r>
        <w:fldChar w:fldCharType="separate"/>
      </w:r>
      <w:hyperlink w:anchor="_ENREF_30" w:tooltip="Madhavan, 1997 #431" w:history="1">
        <w:r w:rsidR="00C419D5">
          <w:rPr>
            <w:noProof/>
          </w:rPr>
          <w:t>Madhavan, Richardson and Roomans (1997</w:t>
        </w:r>
      </w:hyperlink>
      <w:r>
        <w:rPr>
          <w:noProof/>
        </w:rPr>
        <w:t>)</w:t>
      </w:r>
      <w:r>
        <w:fldChar w:fldCharType="end"/>
      </w:r>
      <w:r>
        <w:t xml:space="preserve">, </w:t>
      </w:r>
      <w:r>
        <w:fldChar w:fldCharType="begin"/>
      </w:r>
      <w:r>
        <w:instrText xml:space="preserve"> ADDIN EN.CITE &lt;EndNote&gt;&lt;Cite&gt;&lt;Author&gt;Easley&lt;/Author&gt;&lt;Year&gt;1997&lt;/Year&gt;&lt;RecNum&gt;759&lt;/RecNum&gt;&lt;DisplayText&gt;Easley, Kiefer and O&amp;apos;Hara (1997)&lt;/DisplayText&gt;&lt;record&gt;&lt;rec-number&gt;759&lt;/rec-number&gt;&lt;foreign-keys&gt;&lt;key app="EN" db-id="szetpsas1ep5veesd5xvva5qdxwetsvpfs5x"&gt;759&lt;/key&gt;&lt;/foreign-keys&gt;&lt;ref-type name="Journal Article"&gt;17&lt;/ref-type&gt;&lt;contributors&gt;&lt;authors&gt;&lt;author&gt;Easley, David&lt;/author&gt;&lt;author&gt;Kiefer, Nicholas M&lt;/author&gt;&lt;author&gt;O&amp;apos;Hara, Maureen&lt;/author&gt;&lt;/authors&gt;&lt;/contributors&gt;&lt;titles&gt;&lt;title&gt;One day in the life of a very common stock&lt;/title&gt;&lt;secondary-title&gt;Review of Financial Studies&lt;/secondary-title&gt;&lt;/titles&gt;&lt;periodical&gt;&lt;full-title&gt;Review of Financial Studies&lt;/full-title&gt;&lt;/periodical&gt;&lt;pages&gt;805-835&lt;/pages&gt;&lt;volume&gt;10&lt;/volume&gt;&lt;number&gt;3&lt;/number&gt;&lt;dates&gt;&lt;year&gt;1997&lt;/year&gt;&lt;/dates&gt;&lt;isbn&gt;0893-9454&lt;/isbn&gt;&lt;urls&gt;&lt;/urls&gt;&lt;/record&gt;&lt;/Cite&gt;&lt;/EndNote&gt;</w:instrText>
      </w:r>
      <w:r>
        <w:fldChar w:fldCharType="separate"/>
      </w:r>
      <w:hyperlink w:anchor="_ENREF_16" w:tooltip="Easley, 1997 #759" w:history="1">
        <w:r w:rsidR="00C419D5">
          <w:rPr>
            <w:noProof/>
          </w:rPr>
          <w:t>Easley, Kiefer and O'Hara (1997</w:t>
        </w:r>
      </w:hyperlink>
      <w:r>
        <w:rPr>
          <w:noProof/>
        </w:rPr>
        <w:t>)</w:t>
      </w:r>
      <w:r>
        <w:fldChar w:fldCharType="end"/>
      </w:r>
      <w:r>
        <w:t xml:space="preserve"> and  </w:t>
      </w:r>
      <w:r>
        <w:fldChar w:fldCharType="begin"/>
      </w:r>
      <w:r>
        <w:instrText xml:space="preserve"> ADDIN EN.CITE &lt;EndNote&gt;&lt;Cite&gt;&lt;Author&gt;Easley&lt;/Author&gt;&lt;Year&gt;2012&lt;/Year&gt;&lt;RecNum&gt;795&lt;/RecNum&gt;&lt;DisplayText&gt;Easley, de Prado and O&amp;apos;Hara (2012)&lt;/DisplayText&gt;&lt;record&gt;&lt;rec-number&gt;795&lt;/rec-number&gt;&lt;foreign-keys&gt;&lt;key app="EN" db-id="szetpsas1ep5veesd5xvva5qdxwetsvpfs5x"&gt;795&lt;/key&gt;&lt;/foreign-keys&gt;&lt;ref-type name="Journal Article"&gt;17&lt;/ref-type&gt;&lt;contributors&gt;&lt;authors&gt;&lt;author&gt;Easley, David&lt;/author&gt;&lt;author&gt;de Prado, Marcos M López&lt;/author&gt;&lt;author&gt;O&amp;apos;Hara, Maureen&lt;/author&gt;&lt;/authors&gt;&lt;/contributors&gt;&lt;titles&gt;&lt;title&gt;Flow toxicity and liquidity in a high-frequency world&lt;/title&gt;&lt;secondary-title&gt;Review of Financial Studies&lt;/secondary-title&gt;&lt;/titles&gt;&lt;periodical&gt;&lt;full-title&gt;Review of Financial Studies&lt;/full-title&gt;&lt;/periodical&gt;&lt;pages&gt;1457-1493&lt;/pages&gt;&lt;volume&gt;25&lt;/volume&gt;&lt;number&gt;5&lt;/number&gt;&lt;dates&gt;&lt;year&gt;2012&lt;/year&gt;&lt;/dates&gt;&lt;isbn&gt;0893-9454&lt;/isbn&gt;&lt;urls&gt;&lt;/urls&gt;&lt;/record&gt;&lt;/Cite&gt;&lt;/EndNote&gt;</w:instrText>
      </w:r>
      <w:r>
        <w:fldChar w:fldCharType="separate"/>
      </w:r>
      <w:hyperlink w:anchor="_ENREF_14" w:tooltip="Easley, 2012 #795" w:history="1">
        <w:r w:rsidR="00C419D5">
          <w:rPr>
            <w:noProof/>
          </w:rPr>
          <w:t>Easley, de Prado and O'Hara (2012</w:t>
        </w:r>
      </w:hyperlink>
      <w:r>
        <w:rPr>
          <w:noProof/>
        </w:rPr>
        <w:t>)</w:t>
      </w:r>
      <w:r>
        <w:fldChar w:fldCharType="end"/>
      </w:r>
      <w:r>
        <w:t xml:space="preserve">. </w:t>
      </w:r>
    </w:p>
  </w:footnote>
  <w:footnote w:id="6">
    <w:p w:rsidR="0007336F" w:rsidRDefault="0007336F" w:rsidP="009867D0">
      <w:pPr>
        <w:pStyle w:val="FootnoteText"/>
        <w:ind w:firstLine="0"/>
      </w:pPr>
      <w:r>
        <w:rPr>
          <w:rStyle w:val="FootnoteReference"/>
        </w:rPr>
        <w:footnoteRef/>
      </w:r>
      <w:r>
        <w:t xml:space="preserve"> According to Wikipedia, the idea of the gold ETF was first conceptualized in India in May 2002.  The first gold ETF was listed in March 2003 on the Australian Securities Exchange.  </w:t>
      </w:r>
    </w:p>
  </w:footnote>
  <w:footnote w:id="7">
    <w:p w:rsidR="0007336F" w:rsidRDefault="0007336F" w:rsidP="00B80A1E">
      <w:pPr>
        <w:pStyle w:val="FootnoteText"/>
      </w:pPr>
      <w:r>
        <w:rPr>
          <w:rStyle w:val="FootnoteReference"/>
        </w:rPr>
        <w:footnoteRef/>
      </w:r>
      <w:r>
        <w:t xml:space="preserve"> Here is a brief summary of </w:t>
      </w:r>
      <w:r>
        <w:rPr>
          <w:rFonts w:eastAsia="Times New Roman" w:cs="Times New Roman"/>
          <w:lang w:val="en-US"/>
        </w:rPr>
        <w:t xml:space="preserve">Reuters' contributor criteria:  New contributors must contribute for a period not less than 2 months. Contributors must be financial or gold trading institutions with a Standard &amp; </w:t>
      </w:r>
      <w:proofErr w:type="spellStart"/>
      <w:r>
        <w:rPr>
          <w:rFonts w:eastAsia="Times New Roman" w:cs="Times New Roman"/>
          <w:lang w:val="en-US"/>
        </w:rPr>
        <w:t>Poors</w:t>
      </w:r>
      <w:proofErr w:type="spellEnd"/>
      <w:r>
        <w:rPr>
          <w:rFonts w:eastAsia="Times New Roman" w:cs="Times New Roman"/>
          <w:lang w:val="en-US"/>
        </w:rPr>
        <w:t xml:space="preserve"> creditor of "BBB" or higher. New contributors must gain at least 51% voting approval by existing contributors on the question of whether the candidate is to be allowed to contribute. Also the new contributor must gain at least 50% of votes by the LBMA Gold Market-Making Member Community. As an existing contributor, the contributor must input prices at least five times in a space of a trading day for the country in which they are located and not to be clustered together in any one single hour period. Contributors must insert quotes within 0.5%</w:t>
      </w:r>
      <w:r w:rsidRPr="00F15973">
        <w:rPr>
          <w:rFonts w:eastAsia="Times New Roman" w:cs="Times New Roman"/>
          <w:lang w:val="en-US"/>
        </w:rPr>
        <w:t xml:space="preserve"> of the previous quote in order to meet quality p</w:t>
      </w:r>
      <w:r>
        <w:rPr>
          <w:rFonts w:eastAsia="Times New Roman" w:cs="Times New Roman"/>
          <w:lang w:val="en-US"/>
        </w:rPr>
        <w:t xml:space="preserve">arameters unless major and </w:t>
      </w:r>
      <w:r w:rsidRPr="00F15973">
        <w:rPr>
          <w:rFonts w:eastAsia="Times New Roman" w:cs="Times New Roman"/>
          <w:lang w:val="en-US"/>
        </w:rPr>
        <w:t>sudden market movements justify a larger immediate jump</w:t>
      </w:r>
      <w:r>
        <w:rPr>
          <w:rFonts w:eastAsia="Times New Roman" w:cs="Times New Roman"/>
          <w:lang w:val="en-US"/>
        </w:rPr>
        <w:t>. If rules are not followed Reuters may block the contributor from contributing.  Details of the criteria are presented in the TRTH speed guide page 'PRECIOUS/RULES'.</w:t>
      </w:r>
    </w:p>
  </w:footnote>
  <w:footnote w:id="8">
    <w:p w:rsidR="0007336F" w:rsidRDefault="0007336F">
      <w:pPr>
        <w:pStyle w:val="FootnoteText"/>
      </w:pPr>
      <w:r>
        <w:rPr>
          <w:rStyle w:val="FootnoteReference"/>
        </w:rPr>
        <w:footnoteRef/>
      </w:r>
      <w:r>
        <w:t xml:space="preserve"> While there are methods to estimate the information share of each market during the overlapping hours, we do not have the necessary data on the location of each contributor. </w:t>
      </w:r>
    </w:p>
  </w:footnote>
  <w:footnote w:id="9">
    <w:p w:rsidR="0007336F" w:rsidRDefault="0007336F">
      <w:pPr>
        <w:pStyle w:val="FootnoteText"/>
      </w:pPr>
      <w:r>
        <w:rPr>
          <w:rStyle w:val="FootnoteReference"/>
        </w:rPr>
        <w:footnoteRef/>
      </w:r>
      <w:r>
        <w:t xml:space="preserve"> </w:t>
      </w:r>
      <w:r>
        <w:rPr>
          <w:rFonts w:eastAsia="Times New Roman" w:cs="Times New Roman"/>
          <w:lang w:val="en-US"/>
        </w:rPr>
        <w:t xml:space="preserve">The </w:t>
      </w:r>
      <w:r w:rsidRPr="00133D23">
        <w:rPr>
          <w:rFonts w:eastAsia="Times New Roman" w:cs="Times New Roman"/>
          <w:i/>
          <w:lang w:val="en-US"/>
        </w:rPr>
        <w:t>t</w:t>
      </w:r>
      <w:r>
        <w:rPr>
          <w:rFonts w:eastAsia="Times New Roman" w:cs="Times New Roman"/>
          <w:lang w:val="en-US"/>
        </w:rPr>
        <w:t xml:space="preserve">-statistics for the difference in the coefficient for lagged Asia (0.21) and lagged Europe (0.18) is 11.4.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6F" w:rsidRDefault="0007336F">
    <w:pPr>
      <w:pStyle w:val="Header"/>
      <w:jc w:val="center"/>
    </w:pPr>
  </w:p>
  <w:p w:rsidR="0007336F" w:rsidRDefault="00073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66C8"/>
      </v:shape>
    </w:pict>
  </w:numPicBullet>
  <w:numPicBullet w:numPicBulletId="1">
    <w:pict>
      <v:shape id="_x0000_i1029" type="#_x0000_t75" style="width:9pt;height:9pt" o:bullet="t">
        <v:imagedata r:id="rId2" o:title="art66EA"/>
      </v:shape>
    </w:pict>
  </w:numPicBullet>
  <w:abstractNum w:abstractNumId="0">
    <w:nsid w:val="20190A63"/>
    <w:multiLevelType w:val="hybridMultilevel"/>
    <w:tmpl w:val="51CE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6476D0"/>
    <w:multiLevelType w:val="hybridMultilevel"/>
    <w:tmpl w:val="D6F2C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BA1153"/>
    <w:multiLevelType w:val="hybridMultilevel"/>
    <w:tmpl w:val="D4A8C22E"/>
    <w:lvl w:ilvl="0" w:tplc="EDB6F294">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45755589"/>
    <w:multiLevelType w:val="hybridMultilevel"/>
    <w:tmpl w:val="A0B02F1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8C83AB4"/>
    <w:multiLevelType w:val="hybridMultilevel"/>
    <w:tmpl w:val="5006479A"/>
    <w:lvl w:ilvl="0" w:tplc="A718F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4734D"/>
    <w:multiLevelType w:val="hybridMultilevel"/>
    <w:tmpl w:val="2CE23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72F86331"/>
    <w:multiLevelType w:val="hybridMultilevel"/>
    <w:tmpl w:val="385EBC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Fina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tpsas1ep5veesd5xvva5qdxwetsvpfs5x&quot;&gt;Investment Library&lt;record-ids&gt;&lt;item&gt;257&lt;/item&gt;&lt;item&gt;316&lt;/item&gt;&lt;item&gt;431&lt;/item&gt;&lt;item&gt;478&lt;/item&gt;&lt;item&gt;482&lt;/item&gt;&lt;item&gt;728&lt;/item&gt;&lt;item&gt;729&lt;/item&gt;&lt;item&gt;733&lt;/item&gt;&lt;item&gt;735&lt;/item&gt;&lt;item&gt;740&lt;/item&gt;&lt;item&gt;744&lt;/item&gt;&lt;item&gt;746&lt;/item&gt;&lt;item&gt;748&lt;/item&gt;&lt;item&gt;749&lt;/item&gt;&lt;item&gt;759&lt;/item&gt;&lt;item&gt;761&lt;/item&gt;&lt;item&gt;776&lt;/item&gt;&lt;item&gt;781&lt;/item&gt;&lt;item&gt;787&lt;/item&gt;&lt;item&gt;792&lt;/item&gt;&lt;item&gt;793&lt;/item&gt;&lt;item&gt;794&lt;/item&gt;&lt;item&gt;795&lt;/item&gt;&lt;item&gt;796&lt;/item&gt;&lt;item&gt;797&lt;/item&gt;&lt;item&gt;798&lt;/item&gt;&lt;item&gt;799&lt;/item&gt;&lt;item&gt;800&lt;/item&gt;&lt;item&gt;801&lt;/item&gt;&lt;item&gt;802&lt;/item&gt;&lt;item&gt;803&lt;/item&gt;&lt;item&gt;804&lt;/item&gt;&lt;item&gt;806&lt;/item&gt;&lt;item&gt;807&lt;/item&gt;&lt;item&gt;808&lt;/item&gt;&lt;item&gt;810&lt;/item&gt;&lt;item&gt;843&lt;/item&gt;&lt;item&gt;848&lt;/item&gt;&lt;item&gt;849&lt;/item&gt;&lt;item&gt;850&lt;/item&gt;&lt;item&gt;851&lt;/item&gt;&lt;item&gt;852&lt;/item&gt;&lt;/record-ids&gt;&lt;/item&gt;&lt;/Libraries&gt;"/>
  </w:docVars>
  <w:rsids>
    <w:rsidRoot w:val="00F9485A"/>
    <w:rsid w:val="00001AE5"/>
    <w:rsid w:val="000046D8"/>
    <w:rsid w:val="000065E2"/>
    <w:rsid w:val="00010846"/>
    <w:rsid w:val="00010D0A"/>
    <w:rsid w:val="000127DE"/>
    <w:rsid w:val="0001471E"/>
    <w:rsid w:val="00014824"/>
    <w:rsid w:val="000154E8"/>
    <w:rsid w:val="000162FA"/>
    <w:rsid w:val="00016EF8"/>
    <w:rsid w:val="000177AE"/>
    <w:rsid w:val="00017F76"/>
    <w:rsid w:val="0002592D"/>
    <w:rsid w:val="000274D5"/>
    <w:rsid w:val="00027D6E"/>
    <w:rsid w:val="00027F1A"/>
    <w:rsid w:val="0003211D"/>
    <w:rsid w:val="00032289"/>
    <w:rsid w:val="0003555F"/>
    <w:rsid w:val="00037FE9"/>
    <w:rsid w:val="00040019"/>
    <w:rsid w:val="0004196E"/>
    <w:rsid w:val="00041F51"/>
    <w:rsid w:val="00042C65"/>
    <w:rsid w:val="00043D48"/>
    <w:rsid w:val="0004421E"/>
    <w:rsid w:val="00045651"/>
    <w:rsid w:val="0004609E"/>
    <w:rsid w:val="000504EB"/>
    <w:rsid w:val="00050D20"/>
    <w:rsid w:val="00051C11"/>
    <w:rsid w:val="000525A0"/>
    <w:rsid w:val="00053937"/>
    <w:rsid w:val="0005434A"/>
    <w:rsid w:val="00060D88"/>
    <w:rsid w:val="00060F19"/>
    <w:rsid w:val="00062757"/>
    <w:rsid w:val="000631DC"/>
    <w:rsid w:val="000632B7"/>
    <w:rsid w:val="00063BEA"/>
    <w:rsid w:val="00063D59"/>
    <w:rsid w:val="0006502C"/>
    <w:rsid w:val="000652BB"/>
    <w:rsid w:val="00065CAB"/>
    <w:rsid w:val="00065D24"/>
    <w:rsid w:val="0006774F"/>
    <w:rsid w:val="000709EE"/>
    <w:rsid w:val="00070F43"/>
    <w:rsid w:val="0007336F"/>
    <w:rsid w:val="00073583"/>
    <w:rsid w:val="00073F71"/>
    <w:rsid w:val="0007415D"/>
    <w:rsid w:val="00074F66"/>
    <w:rsid w:val="000750D9"/>
    <w:rsid w:val="000754AC"/>
    <w:rsid w:val="0007566D"/>
    <w:rsid w:val="00075691"/>
    <w:rsid w:val="00075AAA"/>
    <w:rsid w:val="00077C7C"/>
    <w:rsid w:val="00080EA1"/>
    <w:rsid w:val="0008109C"/>
    <w:rsid w:val="00081304"/>
    <w:rsid w:val="00082620"/>
    <w:rsid w:val="00082D38"/>
    <w:rsid w:val="00083BEE"/>
    <w:rsid w:val="000854D6"/>
    <w:rsid w:val="00085B8E"/>
    <w:rsid w:val="0008625D"/>
    <w:rsid w:val="000866EA"/>
    <w:rsid w:val="00086B06"/>
    <w:rsid w:val="00087F17"/>
    <w:rsid w:val="000909DE"/>
    <w:rsid w:val="00091770"/>
    <w:rsid w:val="00095266"/>
    <w:rsid w:val="00095B37"/>
    <w:rsid w:val="0009615A"/>
    <w:rsid w:val="000A0F65"/>
    <w:rsid w:val="000A1EAB"/>
    <w:rsid w:val="000A22BB"/>
    <w:rsid w:val="000A3162"/>
    <w:rsid w:val="000A316B"/>
    <w:rsid w:val="000A3439"/>
    <w:rsid w:val="000A349F"/>
    <w:rsid w:val="000B43FB"/>
    <w:rsid w:val="000B73F4"/>
    <w:rsid w:val="000B778F"/>
    <w:rsid w:val="000C1350"/>
    <w:rsid w:val="000C31C1"/>
    <w:rsid w:val="000C512F"/>
    <w:rsid w:val="000C5F3F"/>
    <w:rsid w:val="000C6EA1"/>
    <w:rsid w:val="000D12F0"/>
    <w:rsid w:val="000D2CBD"/>
    <w:rsid w:val="000D4040"/>
    <w:rsid w:val="000D40B6"/>
    <w:rsid w:val="000D432F"/>
    <w:rsid w:val="000D496F"/>
    <w:rsid w:val="000D5807"/>
    <w:rsid w:val="000D5FF7"/>
    <w:rsid w:val="000D6AA7"/>
    <w:rsid w:val="000E0152"/>
    <w:rsid w:val="000E04B8"/>
    <w:rsid w:val="000E0ACC"/>
    <w:rsid w:val="000E59E6"/>
    <w:rsid w:val="000E5C65"/>
    <w:rsid w:val="000E694B"/>
    <w:rsid w:val="000E7D80"/>
    <w:rsid w:val="000F15A6"/>
    <w:rsid w:val="000F2173"/>
    <w:rsid w:val="000F2E80"/>
    <w:rsid w:val="000F51D3"/>
    <w:rsid w:val="000F57A3"/>
    <w:rsid w:val="000F6255"/>
    <w:rsid w:val="000F6DF5"/>
    <w:rsid w:val="000F7648"/>
    <w:rsid w:val="001019BC"/>
    <w:rsid w:val="0010365F"/>
    <w:rsid w:val="00106D89"/>
    <w:rsid w:val="0010752A"/>
    <w:rsid w:val="00110C2E"/>
    <w:rsid w:val="001117FD"/>
    <w:rsid w:val="00114909"/>
    <w:rsid w:val="00114B84"/>
    <w:rsid w:val="0011670C"/>
    <w:rsid w:val="00116DCF"/>
    <w:rsid w:val="001177C2"/>
    <w:rsid w:val="00117ADC"/>
    <w:rsid w:val="00117E6E"/>
    <w:rsid w:val="00121175"/>
    <w:rsid w:val="0012150A"/>
    <w:rsid w:val="00124028"/>
    <w:rsid w:val="00124B22"/>
    <w:rsid w:val="001255CD"/>
    <w:rsid w:val="00126139"/>
    <w:rsid w:val="001263C5"/>
    <w:rsid w:val="00126ECC"/>
    <w:rsid w:val="001276F4"/>
    <w:rsid w:val="0012786F"/>
    <w:rsid w:val="00133D23"/>
    <w:rsid w:val="00134101"/>
    <w:rsid w:val="0013555C"/>
    <w:rsid w:val="00135B43"/>
    <w:rsid w:val="001432DB"/>
    <w:rsid w:val="001439BB"/>
    <w:rsid w:val="001443F7"/>
    <w:rsid w:val="00144947"/>
    <w:rsid w:val="00144E3D"/>
    <w:rsid w:val="00145443"/>
    <w:rsid w:val="00145593"/>
    <w:rsid w:val="00145FEA"/>
    <w:rsid w:val="001471D3"/>
    <w:rsid w:val="0015376F"/>
    <w:rsid w:val="0015553E"/>
    <w:rsid w:val="00155696"/>
    <w:rsid w:val="00155B78"/>
    <w:rsid w:val="001563BE"/>
    <w:rsid w:val="0015656E"/>
    <w:rsid w:val="00160014"/>
    <w:rsid w:val="0016062A"/>
    <w:rsid w:val="001670E5"/>
    <w:rsid w:val="001671F0"/>
    <w:rsid w:val="00167A78"/>
    <w:rsid w:val="001714A4"/>
    <w:rsid w:val="001740B6"/>
    <w:rsid w:val="00174C3B"/>
    <w:rsid w:val="00176124"/>
    <w:rsid w:val="00177267"/>
    <w:rsid w:val="00177AA9"/>
    <w:rsid w:val="00181153"/>
    <w:rsid w:val="00183223"/>
    <w:rsid w:val="001842D7"/>
    <w:rsid w:val="0018492F"/>
    <w:rsid w:val="001912F4"/>
    <w:rsid w:val="001920C2"/>
    <w:rsid w:val="00196024"/>
    <w:rsid w:val="001979F4"/>
    <w:rsid w:val="001A076C"/>
    <w:rsid w:val="001A0B4E"/>
    <w:rsid w:val="001A0EB2"/>
    <w:rsid w:val="001A282B"/>
    <w:rsid w:val="001A2EAE"/>
    <w:rsid w:val="001A2F55"/>
    <w:rsid w:val="001A5497"/>
    <w:rsid w:val="001B1D33"/>
    <w:rsid w:val="001B1E7A"/>
    <w:rsid w:val="001B2525"/>
    <w:rsid w:val="001B29D8"/>
    <w:rsid w:val="001B3911"/>
    <w:rsid w:val="001B3C45"/>
    <w:rsid w:val="001B50E9"/>
    <w:rsid w:val="001B5133"/>
    <w:rsid w:val="001B7CE3"/>
    <w:rsid w:val="001C07B4"/>
    <w:rsid w:val="001C20EC"/>
    <w:rsid w:val="001C21C2"/>
    <w:rsid w:val="001C3974"/>
    <w:rsid w:val="001C3DB6"/>
    <w:rsid w:val="001C4B8F"/>
    <w:rsid w:val="001C54F1"/>
    <w:rsid w:val="001C73F9"/>
    <w:rsid w:val="001C76C8"/>
    <w:rsid w:val="001D0749"/>
    <w:rsid w:val="001D2E12"/>
    <w:rsid w:val="001D4919"/>
    <w:rsid w:val="001D5133"/>
    <w:rsid w:val="001D66D5"/>
    <w:rsid w:val="001D7228"/>
    <w:rsid w:val="001D762C"/>
    <w:rsid w:val="001D77B9"/>
    <w:rsid w:val="001E26B6"/>
    <w:rsid w:val="001E623C"/>
    <w:rsid w:val="001F0109"/>
    <w:rsid w:val="001F0D5F"/>
    <w:rsid w:val="001F131E"/>
    <w:rsid w:val="001F13F5"/>
    <w:rsid w:val="001F1E15"/>
    <w:rsid w:val="001F39FF"/>
    <w:rsid w:val="001F3F37"/>
    <w:rsid w:val="001F4FC7"/>
    <w:rsid w:val="001F720B"/>
    <w:rsid w:val="001F78E3"/>
    <w:rsid w:val="00204572"/>
    <w:rsid w:val="00216546"/>
    <w:rsid w:val="00216BE8"/>
    <w:rsid w:val="00217BA0"/>
    <w:rsid w:val="00217ECA"/>
    <w:rsid w:val="00217EE1"/>
    <w:rsid w:val="0022078C"/>
    <w:rsid w:val="0022122A"/>
    <w:rsid w:val="00221E00"/>
    <w:rsid w:val="0022305D"/>
    <w:rsid w:val="00223213"/>
    <w:rsid w:val="0022344D"/>
    <w:rsid w:val="00223514"/>
    <w:rsid w:val="002235B1"/>
    <w:rsid w:val="002238A2"/>
    <w:rsid w:val="00224D9B"/>
    <w:rsid w:val="00225D59"/>
    <w:rsid w:val="0022602A"/>
    <w:rsid w:val="002301B3"/>
    <w:rsid w:val="00230AAF"/>
    <w:rsid w:val="0023124F"/>
    <w:rsid w:val="00234D3C"/>
    <w:rsid w:val="00234F8D"/>
    <w:rsid w:val="00237810"/>
    <w:rsid w:val="002378EB"/>
    <w:rsid w:val="00237D8C"/>
    <w:rsid w:val="00240302"/>
    <w:rsid w:val="0024153C"/>
    <w:rsid w:val="0024216C"/>
    <w:rsid w:val="0024217F"/>
    <w:rsid w:val="002430F4"/>
    <w:rsid w:val="0024407D"/>
    <w:rsid w:val="00244982"/>
    <w:rsid w:val="00246530"/>
    <w:rsid w:val="00247154"/>
    <w:rsid w:val="00247501"/>
    <w:rsid w:val="00247FED"/>
    <w:rsid w:val="002528CC"/>
    <w:rsid w:val="002542BB"/>
    <w:rsid w:val="002562FF"/>
    <w:rsid w:val="00257C06"/>
    <w:rsid w:val="00260233"/>
    <w:rsid w:val="0026111C"/>
    <w:rsid w:val="0026124C"/>
    <w:rsid w:val="002613CD"/>
    <w:rsid w:val="0026188E"/>
    <w:rsid w:val="0026242F"/>
    <w:rsid w:val="002644E3"/>
    <w:rsid w:val="00267E9B"/>
    <w:rsid w:val="00272E6D"/>
    <w:rsid w:val="0027621D"/>
    <w:rsid w:val="0027622B"/>
    <w:rsid w:val="00276591"/>
    <w:rsid w:val="00280685"/>
    <w:rsid w:val="00281ABB"/>
    <w:rsid w:val="00281B33"/>
    <w:rsid w:val="002823B3"/>
    <w:rsid w:val="00283B28"/>
    <w:rsid w:val="00285922"/>
    <w:rsid w:val="00285D37"/>
    <w:rsid w:val="00290004"/>
    <w:rsid w:val="00290582"/>
    <w:rsid w:val="002966DD"/>
    <w:rsid w:val="002A0CCC"/>
    <w:rsid w:val="002A554E"/>
    <w:rsid w:val="002A5A94"/>
    <w:rsid w:val="002A6139"/>
    <w:rsid w:val="002A7695"/>
    <w:rsid w:val="002B1560"/>
    <w:rsid w:val="002B3379"/>
    <w:rsid w:val="002B3EB9"/>
    <w:rsid w:val="002B6862"/>
    <w:rsid w:val="002B7882"/>
    <w:rsid w:val="002C08E3"/>
    <w:rsid w:val="002C31E3"/>
    <w:rsid w:val="002C47C3"/>
    <w:rsid w:val="002C4F2E"/>
    <w:rsid w:val="002C5626"/>
    <w:rsid w:val="002C592C"/>
    <w:rsid w:val="002C742A"/>
    <w:rsid w:val="002C76B2"/>
    <w:rsid w:val="002D0AAC"/>
    <w:rsid w:val="002D6277"/>
    <w:rsid w:val="002D68B0"/>
    <w:rsid w:val="002D7EA9"/>
    <w:rsid w:val="002E04C3"/>
    <w:rsid w:val="002E1402"/>
    <w:rsid w:val="002E1B11"/>
    <w:rsid w:val="002E34E9"/>
    <w:rsid w:val="002E5431"/>
    <w:rsid w:val="002E6C82"/>
    <w:rsid w:val="002E7B74"/>
    <w:rsid w:val="002F0355"/>
    <w:rsid w:val="002F4504"/>
    <w:rsid w:val="002F7BE4"/>
    <w:rsid w:val="002F7C13"/>
    <w:rsid w:val="0030038B"/>
    <w:rsid w:val="00300687"/>
    <w:rsid w:val="00301243"/>
    <w:rsid w:val="00301FD2"/>
    <w:rsid w:val="0030295F"/>
    <w:rsid w:val="003033A4"/>
    <w:rsid w:val="00304EB6"/>
    <w:rsid w:val="00305164"/>
    <w:rsid w:val="00311D07"/>
    <w:rsid w:val="00311FF2"/>
    <w:rsid w:val="00312067"/>
    <w:rsid w:val="0031422C"/>
    <w:rsid w:val="003167D4"/>
    <w:rsid w:val="00316EE6"/>
    <w:rsid w:val="0032003F"/>
    <w:rsid w:val="003206F1"/>
    <w:rsid w:val="00320726"/>
    <w:rsid w:val="00320CE4"/>
    <w:rsid w:val="00320D1F"/>
    <w:rsid w:val="00320E32"/>
    <w:rsid w:val="00322261"/>
    <w:rsid w:val="00322C0C"/>
    <w:rsid w:val="00323BAB"/>
    <w:rsid w:val="00324943"/>
    <w:rsid w:val="00325466"/>
    <w:rsid w:val="00331D74"/>
    <w:rsid w:val="00335029"/>
    <w:rsid w:val="003358A0"/>
    <w:rsid w:val="00335D67"/>
    <w:rsid w:val="00336A56"/>
    <w:rsid w:val="00342AFA"/>
    <w:rsid w:val="00343E83"/>
    <w:rsid w:val="00345540"/>
    <w:rsid w:val="00350E07"/>
    <w:rsid w:val="00351981"/>
    <w:rsid w:val="0035227F"/>
    <w:rsid w:val="0035288D"/>
    <w:rsid w:val="003554A2"/>
    <w:rsid w:val="00355A32"/>
    <w:rsid w:val="00362309"/>
    <w:rsid w:val="00362EB5"/>
    <w:rsid w:val="00363B13"/>
    <w:rsid w:val="003647EE"/>
    <w:rsid w:val="00365E2A"/>
    <w:rsid w:val="00366952"/>
    <w:rsid w:val="00367E27"/>
    <w:rsid w:val="003703FF"/>
    <w:rsid w:val="00371560"/>
    <w:rsid w:val="003715C2"/>
    <w:rsid w:val="00371CF2"/>
    <w:rsid w:val="00373ACA"/>
    <w:rsid w:val="00373B51"/>
    <w:rsid w:val="00373E9E"/>
    <w:rsid w:val="003800C1"/>
    <w:rsid w:val="003801CE"/>
    <w:rsid w:val="003811CD"/>
    <w:rsid w:val="0038293F"/>
    <w:rsid w:val="00382CCC"/>
    <w:rsid w:val="00384520"/>
    <w:rsid w:val="00384F76"/>
    <w:rsid w:val="00386754"/>
    <w:rsid w:val="00386EE2"/>
    <w:rsid w:val="0038743E"/>
    <w:rsid w:val="0039044C"/>
    <w:rsid w:val="00392501"/>
    <w:rsid w:val="00392E6B"/>
    <w:rsid w:val="00394407"/>
    <w:rsid w:val="003951BE"/>
    <w:rsid w:val="00395491"/>
    <w:rsid w:val="003976C2"/>
    <w:rsid w:val="003A2613"/>
    <w:rsid w:val="003A3F91"/>
    <w:rsid w:val="003A5AA5"/>
    <w:rsid w:val="003A5C46"/>
    <w:rsid w:val="003A5D0B"/>
    <w:rsid w:val="003A5F33"/>
    <w:rsid w:val="003A61AB"/>
    <w:rsid w:val="003A79C9"/>
    <w:rsid w:val="003B0177"/>
    <w:rsid w:val="003B2334"/>
    <w:rsid w:val="003C2419"/>
    <w:rsid w:val="003C2A98"/>
    <w:rsid w:val="003C4A71"/>
    <w:rsid w:val="003C526B"/>
    <w:rsid w:val="003C553E"/>
    <w:rsid w:val="003C698D"/>
    <w:rsid w:val="003C7C44"/>
    <w:rsid w:val="003D1D13"/>
    <w:rsid w:val="003D2094"/>
    <w:rsid w:val="003D3E05"/>
    <w:rsid w:val="003D7406"/>
    <w:rsid w:val="003E03BA"/>
    <w:rsid w:val="003E12D1"/>
    <w:rsid w:val="003E2003"/>
    <w:rsid w:val="003E3B23"/>
    <w:rsid w:val="003E3B7E"/>
    <w:rsid w:val="003E4539"/>
    <w:rsid w:val="003E47DB"/>
    <w:rsid w:val="003E4958"/>
    <w:rsid w:val="003E6162"/>
    <w:rsid w:val="003E6192"/>
    <w:rsid w:val="003E6367"/>
    <w:rsid w:val="003F061B"/>
    <w:rsid w:val="003F073F"/>
    <w:rsid w:val="003F1CAE"/>
    <w:rsid w:val="003F6550"/>
    <w:rsid w:val="00400CFB"/>
    <w:rsid w:val="00401D00"/>
    <w:rsid w:val="0040348F"/>
    <w:rsid w:val="00405D5F"/>
    <w:rsid w:val="0040690B"/>
    <w:rsid w:val="00407628"/>
    <w:rsid w:val="00407ECC"/>
    <w:rsid w:val="00410230"/>
    <w:rsid w:val="00410793"/>
    <w:rsid w:val="004130C4"/>
    <w:rsid w:val="004135FE"/>
    <w:rsid w:val="00414031"/>
    <w:rsid w:val="00414F2C"/>
    <w:rsid w:val="00422D7C"/>
    <w:rsid w:val="00423A9F"/>
    <w:rsid w:val="00425B3A"/>
    <w:rsid w:val="00427F00"/>
    <w:rsid w:val="00430651"/>
    <w:rsid w:val="00431BCD"/>
    <w:rsid w:val="00431C0A"/>
    <w:rsid w:val="0043255F"/>
    <w:rsid w:val="00436C34"/>
    <w:rsid w:val="00436E03"/>
    <w:rsid w:val="004401CE"/>
    <w:rsid w:val="00441C33"/>
    <w:rsid w:val="00442645"/>
    <w:rsid w:val="004438BA"/>
    <w:rsid w:val="004456F6"/>
    <w:rsid w:val="00446024"/>
    <w:rsid w:val="00446129"/>
    <w:rsid w:val="00452090"/>
    <w:rsid w:val="00456C3C"/>
    <w:rsid w:val="00460AE2"/>
    <w:rsid w:val="00463B11"/>
    <w:rsid w:val="0046629E"/>
    <w:rsid w:val="00466300"/>
    <w:rsid w:val="00466352"/>
    <w:rsid w:val="004701C5"/>
    <w:rsid w:val="004719E5"/>
    <w:rsid w:val="00471A94"/>
    <w:rsid w:val="00475F73"/>
    <w:rsid w:val="00476F92"/>
    <w:rsid w:val="00480FA8"/>
    <w:rsid w:val="0048145C"/>
    <w:rsid w:val="0048303B"/>
    <w:rsid w:val="00484155"/>
    <w:rsid w:val="00484563"/>
    <w:rsid w:val="00486311"/>
    <w:rsid w:val="0049081E"/>
    <w:rsid w:val="00490946"/>
    <w:rsid w:val="004919A8"/>
    <w:rsid w:val="00491A60"/>
    <w:rsid w:val="00491E4C"/>
    <w:rsid w:val="00491EDC"/>
    <w:rsid w:val="0049735C"/>
    <w:rsid w:val="004A1CC5"/>
    <w:rsid w:val="004A1DC7"/>
    <w:rsid w:val="004A26AD"/>
    <w:rsid w:val="004A3B8D"/>
    <w:rsid w:val="004A5D98"/>
    <w:rsid w:val="004B0821"/>
    <w:rsid w:val="004B19DA"/>
    <w:rsid w:val="004B23E2"/>
    <w:rsid w:val="004B2879"/>
    <w:rsid w:val="004B2907"/>
    <w:rsid w:val="004B54F9"/>
    <w:rsid w:val="004C2705"/>
    <w:rsid w:val="004C2C4D"/>
    <w:rsid w:val="004C3736"/>
    <w:rsid w:val="004C4EEF"/>
    <w:rsid w:val="004C7430"/>
    <w:rsid w:val="004C7B70"/>
    <w:rsid w:val="004D2608"/>
    <w:rsid w:val="004D49B5"/>
    <w:rsid w:val="004D5E90"/>
    <w:rsid w:val="004D6630"/>
    <w:rsid w:val="004D7ED0"/>
    <w:rsid w:val="004E0ECE"/>
    <w:rsid w:val="004E11AF"/>
    <w:rsid w:val="004E1778"/>
    <w:rsid w:val="004E1C75"/>
    <w:rsid w:val="004E36D6"/>
    <w:rsid w:val="004E3A48"/>
    <w:rsid w:val="004E4795"/>
    <w:rsid w:val="004E5290"/>
    <w:rsid w:val="004E7EB2"/>
    <w:rsid w:val="004E7F36"/>
    <w:rsid w:val="004F0155"/>
    <w:rsid w:val="004F079C"/>
    <w:rsid w:val="004F4164"/>
    <w:rsid w:val="004F46D4"/>
    <w:rsid w:val="004F48C6"/>
    <w:rsid w:val="004F5507"/>
    <w:rsid w:val="0050124E"/>
    <w:rsid w:val="0050171C"/>
    <w:rsid w:val="00501D0B"/>
    <w:rsid w:val="00502151"/>
    <w:rsid w:val="005022A9"/>
    <w:rsid w:val="005049C1"/>
    <w:rsid w:val="00504D2E"/>
    <w:rsid w:val="00504FD4"/>
    <w:rsid w:val="00506508"/>
    <w:rsid w:val="0050756F"/>
    <w:rsid w:val="00507D4C"/>
    <w:rsid w:val="00510962"/>
    <w:rsid w:val="00510A41"/>
    <w:rsid w:val="00511ACA"/>
    <w:rsid w:val="0051323B"/>
    <w:rsid w:val="005134CE"/>
    <w:rsid w:val="00514517"/>
    <w:rsid w:val="00515400"/>
    <w:rsid w:val="00516BDC"/>
    <w:rsid w:val="00517D36"/>
    <w:rsid w:val="00520C9E"/>
    <w:rsid w:val="00521301"/>
    <w:rsid w:val="0052269F"/>
    <w:rsid w:val="00523F60"/>
    <w:rsid w:val="00525D6B"/>
    <w:rsid w:val="005272DA"/>
    <w:rsid w:val="005277D2"/>
    <w:rsid w:val="00531233"/>
    <w:rsid w:val="00533073"/>
    <w:rsid w:val="00533499"/>
    <w:rsid w:val="00534562"/>
    <w:rsid w:val="005347E0"/>
    <w:rsid w:val="00535376"/>
    <w:rsid w:val="0054056C"/>
    <w:rsid w:val="00541B41"/>
    <w:rsid w:val="0054209B"/>
    <w:rsid w:val="00544010"/>
    <w:rsid w:val="005459A0"/>
    <w:rsid w:val="00551076"/>
    <w:rsid w:val="005531F0"/>
    <w:rsid w:val="005535DB"/>
    <w:rsid w:val="00555FE4"/>
    <w:rsid w:val="00556B59"/>
    <w:rsid w:val="005615EE"/>
    <w:rsid w:val="0056188A"/>
    <w:rsid w:val="00562867"/>
    <w:rsid w:val="005639E1"/>
    <w:rsid w:val="0057086C"/>
    <w:rsid w:val="00570A36"/>
    <w:rsid w:val="00571C10"/>
    <w:rsid w:val="00572E5A"/>
    <w:rsid w:val="00574635"/>
    <w:rsid w:val="00575D85"/>
    <w:rsid w:val="005764E6"/>
    <w:rsid w:val="005765AE"/>
    <w:rsid w:val="00580123"/>
    <w:rsid w:val="005802F6"/>
    <w:rsid w:val="00581C0B"/>
    <w:rsid w:val="005858D4"/>
    <w:rsid w:val="005875C0"/>
    <w:rsid w:val="00590C76"/>
    <w:rsid w:val="00591B0A"/>
    <w:rsid w:val="00592058"/>
    <w:rsid w:val="00596A62"/>
    <w:rsid w:val="00597F54"/>
    <w:rsid w:val="005A0281"/>
    <w:rsid w:val="005A0D3E"/>
    <w:rsid w:val="005A2158"/>
    <w:rsid w:val="005A5A2F"/>
    <w:rsid w:val="005A649A"/>
    <w:rsid w:val="005A6E54"/>
    <w:rsid w:val="005A7940"/>
    <w:rsid w:val="005B1908"/>
    <w:rsid w:val="005B3605"/>
    <w:rsid w:val="005B3D86"/>
    <w:rsid w:val="005B4DDC"/>
    <w:rsid w:val="005B5934"/>
    <w:rsid w:val="005B71CC"/>
    <w:rsid w:val="005B7C1E"/>
    <w:rsid w:val="005C0089"/>
    <w:rsid w:val="005C1642"/>
    <w:rsid w:val="005C25BB"/>
    <w:rsid w:val="005C2F92"/>
    <w:rsid w:val="005C46D8"/>
    <w:rsid w:val="005C4C7D"/>
    <w:rsid w:val="005C572E"/>
    <w:rsid w:val="005C5E97"/>
    <w:rsid w:val="005C7423"/>
    <w:rsid w:val="005C7EE9"/>
    <w:rsid w:val="005D0018"/>
    <w:rsid w:val="005D0909"/>
    <w:rsid w:val="005D1BB8"/>
    <w:rsid w:val="005D1E36"/>
    <w:rsid w:val="005D38BA"/>
    <w:rsid w:val="005D3A17"/>
    <w:rsid w:val="005D4646"/>
    <w:rsid w:val="005D607A"/>
    <w:rsid w:val="005D696C"/>
    <w:rsid w:val="005E0CE3"/>
    <w:rsid w:val="005E15AA"/>
    <w:rsid w:val="005E27EE"/>
    <w:rsid w:val="005E2B02"/>
    <w:rsid w:val="005E3F3E"/>
    <w:rsid w:val="005E4F02"/>
    <w:rsid w:val="005E59D9"/>
    <w:rsid w:val="005E5A66"/>
    <w:rsid w:val="005E63A5"/>
    <w:rsid w:val="005E68BD"/>
    <w:rsid w:val="005E7052"/>
    <w:rsid w:val="005E7324"/>
    <w:rsid w:val="005E7F88"/>
    <w:rsid w:val="005F053D"/>
    <w:rsid w:val="005F0A8A"/>
    <w:rsid w:val="005F0E13"/>
    <w:rsid w:val="005F4979"/>
    <w:rsid w:val="005F6359"/>
    <w:rsid w:val="005F6408"/>
    <w:rsid w:val="005F6794"/>
    <w:rsid w:val="005F7E43"/>
    <w:rsid w:val="006002AA"/>
    <w:rsid w:val="00600C72"/>
    <w:rsid w:val="00603B42"/>
    <w:rsid w:val="00604516"/>
    <w:rsid w:val="00604DC3"/>
    <w:rsid w:val="006055A5"/>
    <w:rsid w:val="0060601E"/>
    <w:rsid w:val="00606A9B"/>
    <w:rsid w:val="00606F5A"/>
    <w:rsid w:val="0060766F"/>
    <w:rsid w:val="00607B56"/>
    <w:rsid w:val="00611970"/>
    <w:rsid w:val="00612020"/>
    <w:rsid w:val="00613CC1"/>
    <w:rsid w:val="00615885"/>
    <w:rsid w:val="00615F3C"/>
    <w:rsid w:val="006169A8"/>
    <w:rsid w:val="00617402"/>
    <w:rsid w:val="00620392"/>
    <w:rsid w:val="006215ED"/>
    <w:rsid w:val="0062197C"/>
    <w:rsid w:val="006279C2"/>
    <w:rsid w:val="00627E7F"/>
    <w:rsid w:val="00630674"/>
    <w:rsid w:val="00630C41"/>
    <w:rsid w:val="006345CA"/>
    <w:rsid w:val="00636EB8"/>
    <w:rsid w:val="006414BC"/>
    <w:rsid w:val="00642590"/>
    <w:rsid w:val="0064590C"/>
    <w:rsid w:val="006526F5"/>
    <w:rsid w:val="0065343C"/>
    <w:rsid w:val="00653AF9"/>
    <w:rsid w:val="00653EBE"/>
    <w:rsid w:val="00656844"/>
    <w:rsid w:val="006574AC"/>
    <w:rsid w:val="00657693"/>
    <w:rsid w:val="00663DBB"/>
    <w:rsid w:val="00666373"/>
    <w:rsid w:val="0066662B"/>
    <w:rsid w:val="006666B0"/>
    <w:rsid w:val="00666D89"/>
    <w:rsid w:val="00671E07"/>
    <w:rsid w:val="0067228A"/>
    <w:rsid w:val="00672AB4"/>
    <w:rsid w:val="006769EE"/>
    <w:rsid w:val="006826BA"/>
    <w:rsid w:val="00683EE5"/>
    <w:rsid w:val="00684CD6"/>
    <w:rsid w:val="00690206"/>
    <w:rsid w:val="006922ED"/>
    <w:rsid w:val="006929E4"/>
    <w:rsid w:val="0069458C"/>
    <w:rsid w:val="00695484"/>
    <w:rsid w:val="00697976"/>
    <w:rsid w:val="006A0394"/>
    <w:rsid w:val="006A168A"/>
    <w:rsid w:val="006A183F"/>
    <w:rsid w:val="006A21A2"/>
    <w:rsid w:val="006A2638"/>
    <w:rsid w:val="006A2DB4"/>
    <w:rsid w:val="006A3341"/>
    <w:rsid w:val="006A36CA"/>
    <w:rsid w:val="006A506C"/>
    <w:rsid w:val="006A67CF"/>
    <w:rsid w:val="006A708F"/>
    <w:rsid w:val="006B16F8"/>
    <w:rsid w:val="006B1E9F"/>
    <w:rsid w:val="006B2E8E"/>
    <w:rsid w:val="006B351C"/>
    <w:rsid w:val="006B37AC"/>
    <w:rsid w:val="006B3D89"/>
    <w:rsid w:val="006B5AB0"/>
    <w:rsid w:val="006B5FCE"/>
    <w:rsid w:val="006B6760"/>
    <w:rsid w:val="006B6E49"/>
    <w:rsid w:val="006C0D91"/>
    <w:rsid w:val="006C23B0"/>
    <w:rsid w:val="006C2E54"/>
    <w:rsid w:val="006C63A2"/>
    <w:rsid w:val="006C6C5B"/>
    <w:rsid w:val="006D0563"/>
    <w:rsid w:val="006D0581"/>
    <w:rsid w:val="006D24EE"/>
    <w:rsid w:val="006D411E"/>
    <w:rsid w:val="006D4AE8"/>
    <w:rsid w:val="006D5667"/>
    <w:rsid w:val="006D5B67"/>
    <w:rsid w:val="006D71B2"/>
    <w:rsid w:val="006E094E"/>
    <w:rsid w:val="006E1ED0"/>
    <w:rsid w:val="006E22AF"/>
    <w:rsid w:val="006E27DE"/>
    <w:rsid w:val="006E6F9F"/>
    <w:rsid w:val="006F486B"/>
    <w:rsid w:val="006F4EBA"/>
    <w:rsid w:val="006F6E06"/>
    <w:rsid w:val="00700848"/>
    <w:rsid w:val="00702CC7"/>
    <w:rsid w:val="00703A3D"/>
    <w:rsid w:val="007052C3"/>
    <w:rsid w:val="007056D6"/>
    <w:rsid w:val="007067FE"/>
    <w:rsid w:val="00707954"/>
    <w:rsid w:val="00707AE2"/>
    <w:rsid w:val="0071082E"/>
    <w:rsid w:val="00711A82"/>
    <w:rsid w:val="00714722"/>
    <w:rsid w:val="00715956"/>
    <w:rsid w:val="00715BA9"/>
    <w:rsid w:val="007203D1"/>
    <w:rsid w:val="00720665"/>
    <w:rsid w:val="00722129"/>
    <w:rsid w:val="007240A5"/>
    <w:rsid w:val="0072508B"/>
    <w:rsid w:val="0072629D"/>
    <w:rsid w:val="007270FD"/>
    <w:rsid w:val="0073075A"/>
    <w:rsid w:val="0073181D"/>
    <w:rsid w:val="00731D4B"/>
    <w:rsid w:val="007338C0"/>
    <w:rsid w:val="007355C0"/>
    <w:rsid w:val="007372C0"/>
    <w:rsid w:val="00737DC1"/>
    <w:rsid w:val="00740EBA"/>
    <w:rsid w:val="00742D39"/>
    <w:rsid w:val="00742FFD"/>
    <w:rsid w:val="00744232"/>
    <w:rsid w:val="0074546F"/>
    <w:rsid w:val="00746C1C"/>
    <w:rsid w:val="00750584"/>
    <w:rsid w:val="00752380"/>
    <w:rsid w:val="00754C76"/>
    <w:rsid w:val="007563A1"/>
    <w:rsid w:val="00760FAA"/>
    <w:rsid w:val="007656EB"/>
    <w:rsid w:val="0076688A"/>
    <w:rsid w:val="00766A01"/>
    <w:rsid w:val="00766D8C"/>
    <w:rsid w:val="00770FD6"/>
    <w:rsid w:val="007718CD"/>
    <w:rsid w:val="00771E16"/>
    <w:rsid w:val="00773736"/>
    <w:rsid w:val="00774366"/>
    <w:rsid w:val="007744FC"/>
    <w:rsid w:val="007754C8"/>
    <w:rsid w:val="00777052"/>
    <w:rsid w:val="007770FB"/>
    <w:rsid w:val="00777472"/>
    <w:rsid w:val="00780F1E"/>
    <w:rsid w:val="0078299E"/>
    <w:rsid w:val="0078399D"/>
    <w:rsid w:val="00785536"/>
    <w:rsid w:val="00785E5D"/>
    <w:rsid w:val="0078778F"/>
    <w:rsid w:val="00787BDD"/>
    <w:rsid w:val="0079244E"/>
    <w:rsid w:val="00792852"/>
    <w:rsid w:val="0079287F"/>
    <w:rsid w:val="00792F9F"/>
    <w:rsid w:val="00793019"/>
    <w:rsid w:val="007944A1"/>
    <w:rsid w:val="00794F1D"/>
    <w:rsid w:val="00796874"/>
    <w:rsid w:val="007977A0"/>
    <w:rsid w:val="007A03B1"/>
    <w:rsid w:val="007A0589"/>
    <w:rsid w:val="007A1A7B"/>
    <w:rsid w:val="007A2917"/>
    <w:rsid w:val="007A33A7"/>
    <w:rsid w:val="007B10E0"/>
    <w:rsid w:val="007B3005"/>
    <w:rsid w:val="007C1BC7"/>
    <w:rsid w:val="007C2102"/>
    <w:rsid w:val="007C2290"/>
    <w:rsid w:val="007C3610"/>
    <w:rsid w:val="007C3922"/>
    <w:rsid w:val="007C57EF"/>
    <w:rsid w:val="007C5987"/>
    <w:rsid w:val="007D1D3B"/>
    <w:rsid w:val="007D240D"/>
    <w:rsid w:val="007D3E50"/>
    <w:rsid w:val="007D4146"/>
    <w:rsid w:val="007D4350"/>
    <w:rsid w:val="007D4A9D"/>
    <w:rsid w:val="007D6678"/>
    <w:rsid w:val="007D6849"/>
    <w:rsid w:val="007D692B"/>
    <w:rsid w:val="007D7521"/>
    <w:rsid w:val="007D75A2"/>
    <w:rsid w:val="007E0715"/>
    <w:rsid w:val="007E1BBC"/>
    <w:rsid w:val="007E29AF"/>
    <w:rsid w:val="007E45B9"/>
    <w:rsid w:val="007E4721"/>
    <w:rsid w:val="007E62D2"/>
    <w:rsid w:val="007E68D8"/>
    <w:rsid w:val="007F0A97"/>
    <w:rsid w:val="007F0CB3"/>
    <w:rsid w:val="007F29CA"/>
    <w:rsid w:val="007F2EBD"/>
    <w:rsid w:val="007F5DFB"/>
    <w:rsid w:val="007F65C1"/>
    <w:rsid w:val="007F7412"/>
    <w:rsid w:val="007F74F7"/>
    <w:rsid w:val="008019E6"/>
    <w:rsid w:val="00802515"/>
    <w:rsid w:val="0080288D"/>
    <w:rsid w:val="008032E7"/>
    <w:rsid w:val="008048B8"/>
    <w:rsid w:val="008056EF"/>
    <w:rsid w:val="00810585"/>
    <w:rsid w:val="008125B7"/>
    <w:rsid w:val="0081386D"/>
    <w:rsid w:val="00813944"/>
    <w:rsid w:val="00814048"/>
    <w:rsid w:val="008141D9"/>
    <w:rsid w:val="00815278"/>
    <w:rsid w:val="00820530"/>
    <w:rsid w:val="00822909"/>
    <w:rsid w:val="00822B94"/>
    <w:rsid w:val="008257C7"/>
    <w:rsid w:val="00825816"/>
    <w:rsid w:val="00825BCC"/>
    <w:rsid w:val="00825C58"/>
    <w:rsid w:val="008261C5"/>
    <w:rsid w:val="008302B1"/>
    <w:rsid w:val="00831174"/>
    <w:rsid w:val="00831261"/>
    <w:rsid w:val="0083246D"/>
    <w:rsid w:val="00832837"/>
    <w:rsid w:val="00833099"/>
    <w:rsid w:val="008351AC"/>
    <w:rsid w:val="008363F0"/>
    <w:rsid w:val="00837138"/>
    <w:rsid w:val="00840C19"/>
    <w:rsid w:val="00840CD6"/>
    <w:rsid w:val="00841676"/>
    <w:rsid w:val="008421F6"/>
    <w:rsid w:val="008428E9"/>
    <w:rsid w:val="00843C14"/>
    <w:rsid w:val="00844F93"/>
    <w:rsid w:val="00846690"/>
    <w:rsid w:val="008479EF"/>
    <w:rsid w:val="00851D2B"/>
    <w:rsid w:val="00851DEE"/>
    <w:rsid w:val="008523C7"/>
    <w:rsid w:val="0085296A"/>
    <w:rsid w:val="00857330"/>
    <w:rsid w:val="00857EBF"/>
    <w:rsid w:val="00863EA2"/>
    <w:rsid w:val="00866DDC"/>
    <w:rsid w:val="00867BE0"/>
    <w:rsid w:val="00867CA9"/>
    <w:rsid w:val="00867EF0"/>
    <w:rsid w:val="00870CC9"/>
    <w:rsid w:val="00873B41"/>
    <w:rsid w:val="00873E99"/>
    <w:rsid w:val="00874039"/>
    <w:rsid w:val="00876CE4"/>
    <w:rsid w:val="008771F5"/>
    <w:rsid w:val="00877457"/>
    <w:rsid w:val="00877A40"/>
    <w:rsid w:val="008858D7"/>
    <w:rsid w:val="00886001"/>
    <w:rsid w:val="00886201"/>
    <w:rsid w:val="00886CB8"/>
    <w:rsid w:val="0088769C"/>
    <w:rsid w:val="00890483"/>
    <w:rsid w:val="00890C8E"/>
    <w:rsid w:val="008928E2"/>
    <w:rsid w:val="008930FA"/>
    <w:rsid w:val="008951D4"/>
    <w:rsid w:val="0089599D"/>
    <w:rsid w:val="008967DF"/>
    <w:rsid w:val="008A1707"/>
    <w:rsid w:val="008A1A5B"/>
    <w:rsid w:val="008A301F"/>
    <w:rsid w:val="008A5F49"/>
    <w:rsid w:val="008A701F"/>
    <w:rsid w:val="008A7A50"/>
    <w:rsid w:val="008A7DCF"/>
    <w:rsid w:val="008B0185"/>
    <w:rsid w:val="008B01B2"/>
    <w:rsid w:val="008B0365"/>
    <w:rsid w:val="008B189F"/>
    <w:rsid w:val="008B23C1"/>
    <w:rsid w:val="008B3062"/>
    <w:rsid w:val="008B51CA"/>
    <w:rsid w:val="008B7030"/>
    <w:rsid w:val="008B7C09"/>
    <w:rsid w:val="008C0E75"/>
    <w:rsid w:val="008C4532"/>
    <w:rsid w:val="008C464F"/>
    <w:rsid w:val="008C46A2"/>
    <w:rsid w:val="008C4F4F"/>
    <w:rsid w:val="008C7EA9"/>
    <w:rsid w:val="008D2C68"/>
    <w:rsid w:val="008D67CA"/>
    <w:rsid w:val="008D67F6"/>
    <w:rsid w:val="008E065D"/>
    <w:rsid w:val="008E0CA3"/>
    <w:rsid w:val="008E1704"/>
    <w:rsid w:val="008E2142"/>
    <w:rsid w:val="008E5DA6"/>
    <w:rsid w:val="008E7211"/>
    <w:rsid w:val="008E7A09"/>
    <w:rsid w:val="008F1F28"/>
    <w:rsid w:val="008F2727"/>
    <w:rsid w:val="008F6ADA"/>
    <w:rsid w:val="008F7508"/>
    <w:rsid w:val="0090054A"/>
    <w:rsid w:val="00900A4D"/>
    <w:rsid w:val="00901E90"/>
    <w:rsid w:val="00902CA9"/>
    <w:rsid w:val="00902F65"/>
    <w:rsid w:val="00903C9A"/>
    <w:rsid w:val="009047FE"/>
    <w:rsid w:val="00906E0B"/>
    <w:rsid w:val="0091010D"/>
    <w:rsid w:val="009107BB"/>
    <w:rsid w:val="00913975"/>
    <w:rsid w:val="00913B07"/>
    <w:rsid w:val="00914AA7"/>
    <w:rsid w:val="00916502"/>
    <w:rsid w:val="00920630"/>
    <w:rsid w:val="0092683B"/>
    <w:rsid w:val="0092768A"/>
    <w:rsid w:val="009327BD"/>
    <w:rsid w:val="00932966"/>
    <w:rsid w:val="00934CBA"/>
    <w:rsid w:val="0093503A"/>
    <w:rsid w:val="00937168"/>
    <w:rsid w:val="0094085C"/>
    <w:rsid w:val="00940B5B"/>
    <w:rsid w:val="00942BD6"/>
    <w:rsid w:val="009433EE"/>
    <w:rsid w:val="00944981"/>
    <w:rsid w:val="00944C4F"/>
    <w:rsid w:val="00951CDF"/>
    <w:rsid w:val="00951FFC"/>
    <w:rsid w:val="009527D8"/>
    <w:rsid w:val="00953441"/>
    <w:rsid w:val="009536CD"/>
    <w:rsid w:val="00953E0B"/>
    <w:rsid w:val="00954BA0"/>
    <w:rsid w:val="00955BB7"/>
    <w:rsid w:val="0095606B"/>
    <w:rsid w:val="009612B6"/>
    <w:rsid w:val="009624AB"/>
    <w:rsid w:val="00963E8C"/>
    <w:rsid w:val="00964EFF"/>
    <w:rsid w:val="00965138"/>
    <w:rsid w:val="00972BC3"/>
    <w:rsid w:val="00972FB1"/>
    <w:rsid w:val="009731EE"/>
    <w:rsid w:val="00973615"/>
    <w:rsid w:val="009740EC"/>
    <w:rsid w:val="00975BAA"/>
    <w:rsid w:val="00975EDC"/>
    <w:rsid w:val="00977701"/>
    <w:rsid w:val="009807C8"/>
    <w:rsid w:val="0098219F"/>
    <w:rsid w:val="00983574"/>
    <w:rsid w:val="00983BB5"/>
    <w:rsid w:val="009853AB"/>
    <w:rsid w:val="00985A7E"/>
    <w:rsid w:val="009867D0"/>
    <w:rsid w:val="00986B6A"/>
    <w:rsid w:val="00986D85"/>
    <w:rsid w:val="00987A7C"/>
    <w:rsid w:val="00987CF9"/>
    <w:rsid w:val="00990A23"/>
    <w:rsid w:val="00990F54"/>
    <w:rsid w:val="0099278F"/>
    <w:rsid w:val="00992C4E"/>
    <w:rsid w:val="0099403F"/>
    <w:rsid w:val="0099458E"/>
    <w:rsid w:val="009953BF"/>
    <w:rsid w:val="00996271"/>
    <w:rsid w:val="00996F26"/>
    <w:rsid w:val="00997C3D"/>
    <w:rsid w:val="009A273F"/>
    <w:rsid w:val="009A298B"/>
    <w:rsid w:val="009A2E6D"/>
    <w:rsid w:val="009A2EC6"/>
    <w:rsid w:val="009A3659"/>
    <w:rsid w:val="009A56DA"/>
    <w:rsid w:val="009A7249"/>
    <w:rsid w:val="009A7513"/>
    <w:rsid w:val="009B0096"/>
    <w:rsid w:val="009B02AF"/>
    <w:rsid w:val="009B0360"/>
    <w:rsid w:val="009B0AEA"/>
    <w:rsid w:val="009B2C12"/>
    <w:rsid w:val="009B2D23"/>
    <w:rsid w:val="009B2E30"/>
    <w:rsid w:val="009B31A8"/>
    <w:rsid w:val="009B49A0"/>
    <w:rsid w:val="009B6EF1"/>
    <w:rsid w:val="009C04B3"/>
    <w:rsid w:val="009C1259"/>
    <w:rsid w:val="009C27E0"/>
    <w:rsid w:val="009C4101"/>
    <w:rsid w:val="009C5F49"/>
    <w:rsid w:val="009C623F"/>
    <w:rsid w:val="009C7834"/>
    <w:rsid w:val="009D3F49"/>
    <w:rsid w:val="009D5B2F"/>
    <w:rsid w:val="009D6192"/>
    <w:rsid w:val="009E0EAA"/>
    <w:rsid w:val="009E14DE"/>
    <w:rsid w:val="009E52BF"/>
    <w:rsid w:val="009E5B88"/>
    <w:rsid w:val="009F0BD4"/>
    <w:rsid w:val="009F0D96"/>
    <w:rsid w:val="009F2F8E"/>
    <w:rsid w:val="009F315B"/>
    <w:rsid w:val="009F6461"/>
    <w:rsid w:val="009F6B15"/>
    <w:rsid w:val="00A0213D"/>
    <w:rsid w:val="00A03B73"/>
    <w:rsid w:val="00A048D1"/>
    <w:rsid w:val="00A06F4A"/>
    <w:rsid w:val="00A076DE"/>
    <w:rsid w:val="00A11417"/>
    <w:rsid w:val="00A11F09"/>
    <w:rsid w:val="00A11F7C"/>
    <w:rsid w:val="00A13993"/>
    <w:rsid w:val="00A14CF3"/>
    <w:rsid w:val="00A16772"/>
    <w:rsid w:val="00A2113C"/>
    <w:rsid w:val="00A2311C"/>
    <w:rsid w:val="00A25C4A"/>
    <w:rsid w:val="00A25E03"/>
    <w:rsid w:val="00A265EE"/>
    <w:rsid w:val="00A27957"/>
    <w:rsid w:val="00A27BCD"/>
    <w:rsid w:val="00A3101E"/>
    <w:rsid w:val="00A3172C"/>
    <w:rsid w:val="00A317C7"/>
    <w:rsid w:val="00A322AE"/>
    <w:rsid w:val="00A34708"/>
    <w:rsid w:val="00A35032"/>
    <w:rsid w:val="00A35A1E"/>
    <w:rsid w:val="00A35F2E"/>
    <w:rsid w:val="00A366D3"/>
    <w:rsid w:val="00A371F7"/>
    <w:rsid w:val="00A407DC"/>
    <w:rsid w:val="00A40934"/>
    <w:rsid w:val="00A40DE9"/>
    <w:rsid w:val="00A417D0"/>
    <w:rsid w:val="00A420AD"/>
    <w:rsid w:val="00A42AB7"/>
    <w:rsid w:val="00A42C8F"/>
    <w:rsid w:val="00A4397C"/>
    <w:rsid w:val="00A44268"/>
    <w:rsid w:val="00A442E1"/>
    <w:rsid w:val="00A44807"/>
    <w:rsid w:val="00A448FA"/>
    <w:rsid w:val="00A45E24"/>
    <w:rsid w:val="00A46AF5"/>
    <w:rsid w:val="00A4768E"/>
    <w:rsid w:val="00A50016"/>
    <w:rsid w:val="00A510C4"/>
    <w:rsid w:val="00A51578"/>
    <w:rsid w:val="00A51F60"/>
    <w:rsid w:val="00A54716"/>
    <w:rsid w:val="00A54A02"/>
    <w:rsid w:val="00A55001"/>
    <w:rsid w:val="00A55911"/>
    <w:rsid w:val="00A55DCD"/>
    <w:rsid w:val="00A5641C"/>
    <w:rsid w:val="00A5653A"/>
    <w:rsid w:val="00A601EE"/>
    <w:rsid w:val="00A66235"/>
    <w:rsid w:val="00A66D71"/>
    <w:rsid w:val="00A66EEB"/>
    <w:rsid w:val="00A67DCA"/>
    <w:rsid w:val="00A7113A"/>
    <w:rsid w:val="00A71B7D"/>
    <w:rsid w:val="00A722D9"/>
    <w:rsid w:val="00A729DF"/>
    <w:rsid w:val="00A72FC7"/>
    <w:rsid w:val="00A730C7"/>
    <w:rsid w:val="00A73BED"/>
    <w:rsid w:val="00A74F41"/>
    <w:rsid w:val="00A75D0F"/>
    <w:rsid w:val="00A76458"/>
    <w:rsid w:val="00A76602"/>
    <w:rsid w:val="00A81F2F"/>
    <w:rsid w:val="00A82887"/>
    <w:rsid w:val="00A84216"/>
    <w:rsid w:val="00A84496"/>
    <w:rsid w:val="00A86B96"/>
    <w:rsid w:val="00A8762F"/>
    <w:rsid w:val="00A87918"/>
    <w:rsid w:val="00A879DF"/>
    <w:rsid w:val="00A91A59"/>
    <w:rsid w:val="00A91A8C"/>
    <w:rsid w:val="00A93694"/>
    <w:rsid w:val="00A9522B"/>
    <w:rsid w:val="00A95600"/>
    <w:rsid w:val="00A95C89"/>
    <w:rsid w:val="00A96F78"/>
    <w:rsid w:val="00A97728"/>
    <w:rsid w:val="00AA0071"/>
    <w:rsid w:val="00AA063F"/>
    <w:rsid w:val="00AA0755"/>
    <w:rsid w:val="00AA0BC7"/>
    <w:rsid w:val="00AA1EE4"/>
    <w:rsid w:val="00AA25C3"/>
    <w:rsid w:val="00AA2949"/>
    <w:rsid w:val="00AA43F4"/>
    <w:rsid w:val="00AA530C"/>
    <w:rsid w:val="00AA74CC"/>
    <w:rsid w:val="00AB077A"/>
    <w:rsid w:val="00AB1920"/>
    <w:rsid w:val="00AB1D9C"/>
    <w:rsid w:val="00AB34C7"/>
    <w:rsid w:val="00AB6057"/>
    <w:rsid w:val="00AB60B8"/>
    <w:rsid w:val="00AB68EC"/>
    <w:rsid w:val="00AB7C0C"/>
    <w:rsid w:val="00AB7C2E"/>
    <w:rsid w:val="00AC4472"/>
    <w:rsid w:val="00AD1235"/>
    <w:rsid w:val="00AD29EA"/>
    <w:rsid w:val="00AD4795"/>
    <w:rsid w:val="00AD4D46"/>
    <w:rsid w:val="00AD6FBF"/>
    <w:rsid w:val="00AD723D"/>
    <w:rsid w:val="00AD74B2"/>
    <w:rsid w:val="00AE1497"/>
    <w:rsid w:val="00AE2584"/>
    <w:rsid w:val="00AE581E"/>
    <w:rsid w:val="00AE611A"/>
    <w:rsid w:val="00AE6181"/>
    <w:rsid w:val="00AE6537"/>
    <w:rsid w:val="00AF059F"/>
    <w:rsid w:val="00AF121B"/>
    <w:rsid w:val="00AF3874"/>
    <w:rsid w:val="00AF3EBA"/>
    <w:rsid w:val="00AF52D5"/>
    <w:rsid w:val="00AF55DA"/>
    <w:rsid w:val="00AF5EF1"/>
    <w:rsid w:val="00AF6053"/>
    <w:rsid w:val="00B02E10"/>
    <w:rsid w:val="00B04BE2"/>
    <w:rsid w:val="00B0509A"/>
    <w:rsid w:val="00B05259"/>
    <w:rsid w:val="00B060BA"/>
    <w:rsid w:val="00B0778B"/>
    <w:rsid w:val="00B07A52"/>
    <w:rsid w:val="00B14589"/>
    <w:rsid w:val="00B17715"/>
    <w:rsid w:val="00B20D52"/>
    <w:rsid w:val="00B22EBC"/>
    <w:rsid w:val="00B234D3"/>
    <w:rsid w:val="00B247AF"/>
    <w:rsid w:val="00B24CB1"/>
    <w:rsid w:val="00B24EAE"/>
    <w:rsid w:val="00B2550F"/>
    <w:rsid w:val="00B26554"/>
    <w:rsid w:val="00B277DC"/>
    <w:rsid w:val="00B30742"/>
    <w:rsid w:val="00B317F8"/>
    <w:rsid w:val="00B3199F"/>
    <w:rsid w:val="00B3337D"/>
    <w:rsid w:val="00B34F89"/>
    <w:rsid w:val="00B35207"/>
    <w:rsid w:val="00B371BB"/>
    <w:rsid w:val="00B41467"/>
    <w:rsid w:val="00B41F91"/>
    <w:rsid w:val="00B42FA1"/>
    <w:rsid w:val="00B44589"/>
    <w:rsid w:val="00B449B1"/>
    <w:rsid w:val="00B44C2A"/>
    <w:rsid w:val="00B469B3"/>
    <w:rsid w:val="00B47612"/>
    <w:rsid w:val="00B5227C"/>
    <w:rsid w:val="00B52586"/>
    <w:rsid w:val="00B53AAB"/>
    <w:rsid w:val="00B5494A"/>
    <w:rsid w:val="00B55837"/>
    <w:rsid w:val="00B60A4C"/>
    <w:rsid w:val="00B613B9"/>
    <w:rsid w:val="00B61641"/>
    <w:rsid w:val="00B61797"/>
    <w:rsid w:val="00B61951"/>
    <w:rsid w:val="00B63335"/>
    <w:rsid w:val="00B63534"/>
    <w:rsid w:val="00B67025"/>
    <w:rsid w:val="00B67D25"/>
    <w:rsid w:val="00B722BA"/>
    <w:rsid w:val="00B728CA"/>
    <w:rsid w:val="00B7371A"/>
    <w:rsid w:val="00B759F9"/>
    <w:rsid w:val="00B75A92"/>
    <w:rsid w:val="00B764EB"/>
    <w:rsid w:val="00B77A55"/>
    <w:rsid w:val="00B808C2"/>
    <w:rsid w:val="00B80A1E"/>
    <w:rsid w:val="00B80A9A"/>
    <w:rsid w:val="00B80B00"/>
    <w:rsid w:val="00B80BB0"/>
    <w:rsid w:val="00B82415"/>
    <w:rsid w:val="00B8320B"/>
    <w:rsid w:val="00B84AA8"/>
    <w:rsid w:val="00B864A4"/>
    <w:rsid w:val="00B86575"/>
    <w:rsid w:val="00B87B31"/>
    <w:rsid w:val="00B90328"/>
    <w:rsid w:val="00B91C3A"/>
    <w:rsid w:val="00B9280C"/>
    <w:rsid w:val="00BA02F8"/>
    <w:rsid w:val="00BA0372"/>
    <w:rsid w:val="00BA1829"/>
    <w:rsid w:val="00BA2932"/>
    <w:rsid w:val="00BA4475"/>
    <w:rsid w:val="00BA4A13"/>
    <w:rsid w:val="00BA4B68"/>
    <w:rsid w:val="00BA61B4"/>
    <w:rsid w:val="00BA7105"/>
    <w:rsid w:val="00BB08D8"/>
    <w:rsid w:val="00BB1BD1"/>
    <w:rsid w:val="00BB200B"/>
    <w:rsid w:val="00BB545E"/>
    <w:rsid w:val="00BB566D"/>
    <w:rsid w:val="00BB5773"/>
    <w:rsid w:val="00BB57B2"/>
    <w:rsid w:val="00BB6C25"/>
    <w:rsid w:val="00BC1E38"/>
    <w:rsid w:val="00BC252C"/>
    <w:rsid w:val="00BC2FCB"/>
    <w:rsid w:val="00BC3C36"/>
    <w:rsid w:val="00BC4DDE"/>
    <w:rsid w:val="00BC5246"/>
    <w:rsid w:val="00BC5303"/>
    <w:rsid w:val="00BC7A07"/>
    <w:rsid w:val="00BC7AD8"/>
    <w:rsid w:val="00BD0AC2"/>
    <w:rsid w:val="00BD173E"/>
    <w:rsid w:val="00BD27AB"/>
    <w:rsid w:val="00BD3E7D"/>
    <w:rsid w:val="00BD5898"/>
    <w:rsid w:val="00BE5B7B"/>
    <w:rsid w:val="00BE63FB"/>
    <w:rsid w:val="00BE67D1"/>
    <w:rsid w:val="00BE717D"/>
    <w:rsid w:val="00BE719D"/>
    <w:rsid w:val="00BE73AA"/>
    <w:rsid w:val="00BF13B8"/>
    <w:rsid w:val="00BF1A0C"/>
    <w:rsid w:val="00BF4745"/>
    <w:rsid w:val="00BF79CE"/>
    <w:rsid w:val="00C0038B"/>
    <w:rsid w:val="00C01F2C"/>
    <w:rsid w:val="00C02475"/>
    <w:rsid w:val="00C03101"/>
    <w:rsid w:val="00C032A6"/>
    <w:rsid w:val="00C071DD"/>
    <w:rsid w:val="00C079D3"/>
    <w:rsid w:val="00C10475"/>
    <w:rsid w:val="00C1051B"/>
    <w:rsid w:val="00C12110"/>
    <w:rsid w:val="00C14261"/>
    <w:rsid w:val="00C15CB7"/>
    <w:rsid w:val="00C20B2D"/>
    <w:rsid w:val="00C21C51"/>
    <w:rsid w:val="00C21DEF"/>
    <w:rsid w:val="00C22115"/>
    <w:rsid w:val="00C234E7"/>
    <w:rsid w:val="00C234FB"/>
    <w:rsid w:val="00C24235"/>
    <w:rsid w:val="00C24EAF"/>
    <w:rsid w:val="00C30205"/>
    <w:rsid w:val="00C30FBE"/>
    <w:rsid w:val="00C3132C"/>
    <w:rsid w:val="00C3243F"/>
    <w:rsid w:val="00C330DF"/>
    <w:rsid w:val="00C36BE9"/>
    <w:rsid w:val="00C377E7"/>
    <w:rsid w:val="00C378D2"/>
    <w:rsid w:val="00C40A39"/>
    <w:rsid w:val="00C419D5"/>
    <w:rsid w:val="00C432EE"/>
    <w:rsid w:val="00C4569E"/>
    <w:rsid w:val="00C4763A"/>
    <w:rsid w:val="00C603ED"/>
    <w:rsid w:val="00C60D2B"/>
    <w:rsid w:val="00C6221F"/>
    <w:rsid w:val="00C652C2"/>
    <w:rsid w:val="00C67142"/>
    <w:rsid w:val="00C678E5"/>
    <w:rsid w:val="00C70582"/>
    <w:rsid w:val="00C70C5D"/>
    <w:rsid w:val="00C73BF5"/>
    <w:rsid w:val="00C741EF"/>
    <w:rsid w:val="00C7434C"/>
    <w:rsid w:val="00C7510B"/>
    <w:rsid w:val="00C76F2B"/>
    <w:rsid w:val="00C77844"/>
    <w:rsid w:val="00C77F03"/>
    <w:rsid w:val="00C826B4"/>
    <w:rsid w:val="00C8399D"/>
    <w:rsid w:val="00C840AA"/>
    <w:rsid w:val="00C86CC0"/>
    <w:rsid w:val="00C87370"/>
    <w:rsid w:val="00C906D6"/>
    <w:rsid w:val="00C90839"/>
    <w:rsid w:val="00C9157E"/>
    <w:rsid w:val="00C92B89"/>
    <w:rsid w:val="00C939AB"/>
    <w:rsid w:val="00C93A23"/>
    <w:rsid w:val="00C941AC"/>
    <w:rsid w:val="00C95AF5"/>
    <w:rsid w:val="00C95C85"/>
    <w:rsid w:val="00C96270"/>
    <w:rsid w:val="00C96527"/>
    <w:rsid w:val="00C9718C"/>
    <w:rsid w:val="00CA158F"/>
    <w:rsid w:val="00CA18DE"/>
    <w:rsid w:val="00CA1A48"/>
    <w:rsid w:val="00CA20E7"/>
    <w:rsid w:val="00CA46F0"/>
    <w:rsid w:val="00CA6049"/>
    <w:rsid w:val="00CA67A0"/>
    <w:rsid w:val="00CB1126"/>
    <w:rsid w:val="00CB677A"/>
    <w:rsid w:val="00CC1849"/>
    <w:rsid w:val="00CC22FF"/>
    <w:rsid w:val="00CC3CBC"/>
    <w:rsid w:val="00CC3F26"/>
    <w:rsid w:val="00CC4639"/>
    <w:rsid w:val="00CC4A88"/>
    <w:rsid w:val="00CC5059"/>
    <w:rsid w:val="00CD02B9"/>
    <w:rsid w:val="00CD0552"/>
    <w:rsid w:val="00CD1176"/>
    <w:rsid w:val="00CD5CD2"/>
    <w:rsid w:val="00CD65C0"/>
    <w:rsid w:val="00CE0123"/>
    <w:rsid w:val="00CE2BC5"/>
    <w:rsid w:val="00CE3BEA"/>
    <w:rsid w:val="00CE3F5B"/>
    <w:rsid w:val="00CE4E8B"/>
    <w:rsid w:val="00CE5001"/>
    <w:rsid w:val="00CE50AB"/>
    <w:rsid w:val="00CE6D96"/>
    <w:rsid w:val="00CF19BB"/>
    <w:rsid w:val="00CF1BDA"/>
    <w:rsid w:val="00CF1D31"/>
    <w:rsid w:val="00CF1D59"/>
    <w:rsid w:val="00CF28A4"/>
    <w:rsid w:val="00CF3D7F"/>
    <w:rsid w:val="00CF4366"/>
    <w:rsid w:val="00CF5B4F"/>
    <w:rsid w:val="00CF7268"/>
    <w:rsid w:val="00D00DFE"/>
    <w:rsid w:val="00D01066"/>
    <w:rsid w:val="00D011B5"/>
    <w:rsid w:val="00D01978"/>
    <w:rsid w:val="00D02301"/>
    <w:rsid w:val="00D02ADC"/>
    <w:rsid w:val="00D02DEF"/>
    <w:rsid w:val="00D03252"/>
    <w:rsid w:val="00D03330"/>
    <w:rsid w:val="00D03F94"/>
    <w:rsid w:val="00D05325"/>
    <w:rsid w:val="00D05BD0"/>
    <w:rsid w:val="00D05D57"/>
    <w:rsid w:val="00D1042F"/>
    <w:rsid w:val="00D1187E"/>
    <w:rsid w:val="00D12712"/>
    <w:rsid w:val="00D15B8B"/>
    <w:rsid w:val="00D175FA"/>
    <w:rsid w:val="00D226F2"/>
    <w:rsid w:val="00D22ABE"/>
    <w:rsid w:val="00D23622"/>
    <w:rsid w:val="00D23907"/>
    <w:rsid w:val="00D2398C"/>
    <w:rsid w:val="00D300BC"/>
    <w:rsid w:val="00D3131A"/>
    <w:rsid w:val="00D314AF"/>
    <w:rsid w:val="00D319EB"/>
    <w:rsid w:val="00D31BBE"/>
    <w:rsid w:val="00D31E0D"/>
    <w:rsid w:val="00D32668"/>
    <w:rsid w:val="00D32700"/>
    <w:rsid w:val="00D33B54"/>
    <w:rsid w:val="00D3492B"/>
    <w:rsid w:val="00D354CD"/>
    <w:rsid w:val="00D37539"/>
    <w:rsid w:val="00D413F0"/>
    <w:rsid w:val="00D41ABE"/>
    <w:rsid w:val="00D41BDD"/>
    <w:rsid w:val="00D432CA"/>
    <w:rsid w:val="00D4458A"/>
    <w:rsid w:val="00D4574D"/>
    <w:rsid w:val="00D46819"/>
    <w:rsid w:val="00D46861"/>
    <w:rsid w:val="00D46868"/>
    <w:rsid w:val="00D476D3"/>
    <w:rsid w:val="00D519B6"/>
    <w:rsid w:val="00D51C99"/>
    <w:rsid w:val="00D57A97"/>
    <w:rsid w:val="00D613ED"/>
    <w:rsid w:val="00D6141B"/>
    <w:rsid w:val="00D61ABF"/>
    <w:rsid w:val="00D64133"/>
    <w:rsid w:val="00D66925"/>
    <w:rsid w:val="00D67CD6"/>
    <w:rsid w:val="00D73C2A"/>
    <w:rsid w:val="00D73F06"/>
    <w:rsid w:val="00D740E4"/>
    <w:rsid w:val="00D75973"/>
    <w:rsid w:val="00D75F5E"/>
    <w:rsid w:val="00D76A95"/>
    <w:rsid w:val="00D76F8A"/>
    <w:rsid w:val="00D77A66"/>
    <w:rsid w:val="00D81530"/>
    <w:rsid w:val="00D8387B"/>
    <w:rsid w:val="00D85FC1"/>
    <w:rsid w:val="00D90356"/>
    <w:rsid w:val="00D904F7"/>
    <w:rsid w:val="00D90EA3"/>
    <w:rsid w:val="00D91561"/>
    <w:rsid w:val="00D91902"/>
    <w:rsid w:val="00D91C7C"/>
    <w:rsid w:val="00D92347"/>
    <w:rsid w:val="00D93613"/>
    <w:rsid w:val="00D94C10"/>
    <w:rsid w:val="00D958E6"/>
    <w:rsid w:val="00D9604B"/>
    <w:rsid w:val="00D975B4"/>
    <w:rsid w:val="00D97A9C"/>
    <w:rsid w:val="00D97B78"/>
    <w:rsid w:val="00DA172F"/>
    <w:rsid w:val="00DA32FC"/>
    <w:rsid w:val="00DA3D93"/>
    <w:rsid w:val="00DA4AF5"/>
    <w:rsid w:val="00DA6AF2"/>
    <w:rsid w:val="00DB024D"/>
    <w:rsid w:val="00DB08EB"/>
    <w:rsid w:val="00DB0C57"/>
    <w:rsid w:val="00DB1F33"/>
    <w:rsid w:val="00DB2ABB"/>
    <w:rsid w:val="00DC00F8"/>
    <w:rsid w:val="00DC04EC"/>
    <w:rsid w:val="00DC0634"/>
    <w:rsid w:val="00DC21C5"/>
    <w:rsid w:val="00DC4BEB"/>
    <w:rsid w:val="00DC6831"/>
    <w:rsid w:val="00DC7209"/>
    <w:rsid w:val="00DD0906"/>
    <w:rsid w:val="00DD0B63"/>
    <w:rsid w:val="00DD0CA0"/>
    <w:rsid w:val="00DD0EB5"/>
    <w:rsid w:val="00DD191F"/>
    <w:rsid w:val="00DD19F8"/>
    <w:rsid w:val="00DD3234"/>
    <w:rsid w:val="00DD43C0"/>
    <w:rsid w:val="00DE0407"/>
    <w:rsid w:val="00DE0BD8"/>
    <w:rsid w:val="00DE10AF"/>
    <w:rsid w:val="00DE39ED"/>
    <w:rsid w:val="00DE3B45"/>
    <w:rsid w:val="00DE47E5"/>
    <w:rsid w:val="00DE521F"/>
    <w:rsid w:val="00DE586A"/>
    <w:rsid w:val="00DE5D2E"/>
    <w:rsid w:val="00DE634A"/>
    <w:rsid w:val="00DE7BE3"/>
    <w:rsid w:val="00DF04E6"/>
    <w:rsid w:val="00DF47DA"/>
    <w:rsid w:val="00DF7D08"/>
    <w:rsid w:val="00E0089A"/>
    <w:rsid w:val="00E01123"/>
    <w:rsid w:val="00E059FA"/>
    <w:rsid w:val="00E05D0F"/>
    <w:rsid w:val="00E06099"/>
    <w:rsid w:val="00E06BBF"/>
    <w:rsid w:val="00E070B8"/>
    <w:rsid w:val="00E1201A"/>
    <w:rsid w:val="00E127E1"/>
    <w:rsid w:val="00E14013"/>
    <w:rsid w:val="00E144C8"/>
    <w:rsid w:val="00E146D9"/>
    <w:rsid w:val="00E15973"/>
    <w:rsid w:val="00E2206D"/>
    <w:rsid w:val="00E22525"/>
    <w:rsid w:val="00E22995"/>
    <w:rsid w:val="00E264F2"/>
    <w:rsid w:val="00E268A4"/>
    <w:rsid w:val="00E26E6B"/>
    <w:rsid w:val="00E30B3E"/>
    <w:rsid w:val="00E310C0"/>
    <w:rsid w:val="00E31B13"/>
    <w:rsid w:val="00E31C15"/>
    <w:rsid w:val="00E33848"/>
    <w:rsid w:val="00E33B27"/>
    <w:rsid w:val="00E34B03"/>
    <w:rsid w:val="00E36FA3"/>
    <w:rsid w:val="00E376B9"/>
    <w:rsid w:val="00E40710"/>
    <w:rsid w:val="00E41104"/>
    <w:rsid w:val="00E4429C"/>
    <w:rsid w:val="00E50A91"/>
    <w:rsid w:val="00E50C86"/>
    <w:rsid w:val="00E535F8"/>
    <w:rsid w:val="00E53E8E"/>
    <w:rsid w:val="00E54013"/>
    <w:rsid w:val="00E54899"/>
    <w:rsid w:val="00E5630C"/>
    <w:rsid w:val="00E56BF0"/>
    <w:rsid w:val="00E5766A"/>
    <w:rsid w:val="00E635AB"/>
    <w:rsid w:val="00E67463"/>
    <w:rsid w:val="00E6797F"/>
    <w:rsid w:val="00E67FE6"/>
    <w:rsid w:val="00E70151"/>
    <w:rsid w:val="00E70912"/>
    <w:rsid w:val="00E70CDC"/>
    <w:rsid w:val="00E70EF6"/>
    <w:rsid w:val="00E73BFB"/>
    <w:rsid w:val="00E765FC"/>
    <w:rsid w:val="00E76F36"/>
    <w:rsid w:val="00E778CD"/>
    <w:rsid w:val="00E80523"/>
    <w:rsid w:val="00E806D2"/>
    <w:rsid w:val="00E80DFD"/>
    <w:rsid w:val="00E80E07"/>
    <w:rsid w:val="00E83176"/>
    <w:rsid w:val="00E84FD5"/>
    <w:rsid w:val="00E85D6F"/>
    <w:rsid w:val="00E86FB0"/>
    <w:rsid w:val="00E9071B"/>
    <w:rsid w:val="00E90861"/>
    <w:rsid w:val="00E96FE4"/>
    <w:rsid w:val="00E97F13"/>
    <w:rsid w:val="00EA1BEE"/>
    <w:rsid w:val="00EA2AEA"/>
    <w:rsid w:val="00EA398A"/>
    <w:rsid w:val="00EA42EA"/>
    <w:rsid w:val="00EA45CF"/>
    <w:rsid w:val="00EA5345"/>
    <w:rsid w:val="00EA6685"/>
    <w:rsid w:val="00EA799F"/>
    <w:rsid w:val="00EB28C4"/>
    <w:rsid w:val="00EB3A58"/>
    <w:rsid w:val="00EC1002"/>
    <w:rsid w:val="00EC213E"/>
    <w:rsid w:val="00EC4BD4"/>
    <w:rsid w:val="00EC506A"/>
    <w:rsid w:val="00EC5B53"/>
    <w:rsid w:val="00EC662E"/>
    <w:rsid w:val="00EC6F9C"/>
    <w:rsid w:val="00EC793C"/>
    <w:rsid w:val="00EC7D4B"/>
    <w:rsid w:val="00ED0774"/>
    <w:rsid w:val="00ED0957"/>
    <w:rsid w:val="00ED311F"/>
    <w:rsid w:val="00ED4222"/>
    <w:rsid w:val="00ED4450"/>
    <w:rsid w:val="00ED5049"/>
    <w:rsid w:val="00ED63E4"/>
    <w:rsid w:val="00ED7457"/>
    <w:rsid w:val="00EE0FF1"/>
    <w:rsid w:val="00EE292A"/>
    <w:rsid w:val="00EE2A05"/>
    <w:rsid w:val="00EE395D"/>
    <w:rsid w:val="00EE3989"/>
    <w:rsid w:val="00EE5975"/>
    <w:rsid w:val="00EE7E9E"/>
    <w:rsid w:val="00EF17A7"/>
    <w:rsid w:val="00EF1FEE"/>
    <w:rsid w:val="00EF3BA1"/>
    <w:rsid w:val="00EF49C3"/>
    <w:rsid w:val="00EF5516"/>
    <w:rsid w:val="00EF5EEF"/>
    <w:rsid w:val="00EF6AD1"/>
    <w:rsid w:val="00EF6D82"/>
    <w:rsid w:val="00EF7297"/>
    <w:rsid w:val="00F0024B"/>
    <w:rsid w:val="00F0324E"/>
    <w:rsid w:val="00F04EE2"/>
    <w:rsid w:val="00F0513D"/>
    <w:rsid w:val="00F0586E"/>
    <w:rsid w:val="00F0746A"/>
    <w:rsid w:val="00F0767A"/>
    <w:rsid w:val="00F07B5E"/>
    <w:rsid w:val="00F11482"/>
    <w:rsid w:val="00F13DFF"/>
    <w:rsid w:val="00F15973"/>
    <w:rsid w:val="00F15CFE"/>
    <w:rsid w:val="00F17296"/>
    <w:rsid w:val="00F2056F"/>
    <w:rsid w:val="00F208E0"/>
    <w:rsid w:val="00F22AF8"/>
    <w:rsid w:val="00F26CCF"/>
    <w:rsid w:val="00F26EEA"/>
    <w:rsid w:val="00F27C06"/>
    <w:rsid w:val="00F326F4"/>
    <w:rsid w:val="00F32C83"/>
    <w:rsid w:val="00F3346A"/>
    <w:rsid w:val="00F36DC0"/>
    <w:rsid w:val="00F374FA"/>
    <w:rsid w:val="00F418D5"/>
    <w:rsid w:val="00F41BEF"/>
    <w:rsid w:val="00F42BB9"/>
    <w:rsid w:val="00F432C8"/>
    <w:rsid w:val="00F435D4"/>
    <w:rsid w:val="00F45D64"/>
    <w:rsid w:val="00F46F93"/>
    <w:rsid w:val="00F556E5"/>
    <w:rsid w:val="00F5594A"/>
    <w:rsid w:val="00F60956"/>
    <w:rsid w:val="00F60E9A"/>
    <w:rsid w:val="00F613B2"/>
    <w:rsid w:val="00F63DF3"/>
    <w:rsid w:val="00F65696"/>
    <w:rsid w:val="00F65DA1"/>
    <w:rsid w:val="00F67335"/>
    <w:rsid w:val="00F67EB3"/>
    <w:rsid w:val="00F67F81"/>
    <w:rsid w:val="00F70827"/>
    <w:rsid w:val="00F717AA"/>
    <w:rsid w:val="00F73FC4"/>
    <w:rsid w:val="00F758F4"/>
    <w:rsid w:val="00F773FF"/>
    <w:rsid w:val="00F77F12"/>
    <w:rsid w:val="00F800D3"/>
    <w:rsid w:val="00F805AC"/>
    <w:rsid w:val="00F81309"/>
    <w:rsid w:val="00F828AC"/>
    <w:rsid w:val="00F838F6"/>
    <w:rsid w:val="00F843AD"/>
    <w:rsid w:val="00F90DAA"/>
    <w:rsid w:val="00F9179A"/>
    <w:rsid w:val="00F94715"/>
    <w:rsid w:val="00F9485A"/>
    <w:rsid w:val="00F94BCA"/>
    <w:rsid w:val="00F97DA8"/>
    <w:rsid w:val="00FA06D1"/>
    <w:rsid w:val="00FA13F8"/>
    <w:rsid w:val="00FA2528"/>
    <w:rsid w:val="00FA260C"/>
    <w:rsid w:val="00FA3175"/>
    <w:rsid w:val="00FA46D5"/>
    <w:rsid w:val="00FA759C"/>
    <w:rsid w:val="00FB152A"/>
    <w:rsid w:val="00FB1AEC"/>
    <w:rsid w:val="00FB367E"/>
    <w:rsid w:val="00FB44C3"/>
    <w:rsid w:val="00FB7338"/>
    <w:rsid w:val="00FB7D11"/>
    <w:rsid w:val="00FB7E9C"/>
    <w:rsid w:val="00FC0F81"/>
    <w:rsid w:val="00FC1015"/>
    <w:rsid w:val="00FC1109"/>
    <w:rsid w:val="00FC11C2"/>
    <w:rsid w:val="00FC183C"/>
    <w:rsid w:val="00FC1B8D"/>
    <w:rsid w:val="00FC3646"/>
    <w:rsid w:val="00FD0A5C"/>
    <w:rsid w:val="00FD1475"/>
    <w:rsid w:val="00FD2525"/>
    <w:rsid w:val="00FD3FB7"/>
    <w:rsid w:val="00FD6004"/>
    <w:rsid w:val="00FD7E56"/>
    <w:rsid w:val="00FE2235"/>
    <w:rsid w:val="00FE57B4"/>
    <w:rsid w:val="00FE5D15"/>
    <w:rsid w:val="00FF3261"/>
    <w:rsid w:val="00FF4C9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E0"/>
    <w:pPr>
      <w:spacing w:after="0" w:line="480" w:lineRule="auto"/>
      <w:ind w:firstLine="720"/>
      <w:jc w:val="both"/>
    </w:pPr>
    <w:rPr>
      <w:rFonts w:ascii="Times New Roman" w:hAnsi="Times New Roman"/>
      <w:sz w:val="24"/>
      <w:lang w:val="en-AU"/>
    </w:rPr>
  </w:style>
  <w:style w:type="paragraph" w:styleId="Heading1">
    <w:name w:val="heading 1"/>
    <w:basedOn w:val="Normal"/>
    <w:next w:val="Normal"/>
    <w:link w:val="Heading1Char"/>
    <w:uiPriority w:val="9"/>
    <w:qFormat/>
    <w:rsid w:val="00B24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36"/>
    <w:pPr>
      <w:ind w:left="720"/>
      <w:contextualSpacing/>
    </w:pPr>
  </w:style>
  <w:style w:type="paragraph" w:customStyle="1" w:styleId="EndNoteBibliographyTitle">
    <w:name w:val="EndNote Bibliography Title"/>
    <w:basedOn w:val="Normal"/>
    <w:link w:val="EndNoteBibliographyTitleChar"/>
    <w:rsid w:val="00CF28A4"/>
    <w:pPr>
      <w:spacing w:line="240" w:lineRule="auto"/>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F28A4"/>
    <w:rPr>
      <w:rFonts w:ascii="Calibri" w:hAnsi="Calibri"/>
      <w:noProof/>
    </w:rPr>
  </w:style>
  <w:style w:type="paragraph" w:customStyle="1" w:styleId="EndNoteBibliography">
    <w:name w:val="EndNote Bibliography"/>
    <w:basedOn w:val="Normal"/>
    <w:link w:val="EndNoteBibliographyChar"/>
    <w:rsid w:val="00CF28A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F28A4"/>
    <w:rPr>
      <w:rFonts w:ascii="Calibri" w:hAnsi="Calibri"/>
      <w:noProof/>
    </w:rPr>
  </w:style>
  <w:style w:type="character" w:styleId="Hyperlink">
    <w:name w:val="Hyperlink"/>
    <w:basedOn w:val="DefaultParagraphFont"/>
    <w:uiPriority w:val="99"/>
    <w:unhideWhenUsed/>
    <w:rsid w:val="00780F1E"/>
    <w:rPr>
      <w:color w:val="0000FF" w:themeColor="hyperlink"/>
      <w:u w:val="single"/>
    </w:rPr>
  </w:style>
  <w:style w:type="paragraph" w:styleId="BalloonText">
    <w:name w:val="Balloon Text"/>
    <w:basedOn w:val="Normal"/>
    <w:link w:val="BalloonTextChar"/>
    <w:uiPriority w:val="99"/>
    <w:semiHidden/>
    <w:unhideWhenUsed/>
    <w:rsid w:val="00780F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1E"/>
    <w:rPr>
      <w:rFonts w:ascii="Tahoma" w:hAnsi="Tahoma" w:cs="Tahoma"/>
      <w:sz w:val="16"/>
      <w:szCs w:val="16"/>
      <w:lang w:val="en-AU"/>
    </w:rPr>
  </w:style>
  <w:style w:type="paragraph" w:styleId="Header">
    <w:name w:val="header"/>
    <w:basedOn w:val="Normal"/>
    <w:link w:val="HeaderChar"/>
    <w:uiPriority w:val="99"/>
    <w:unhideWhenUsed/>
    <w:rsid w:val="00386EE2"/>
    <w:pPr>
      <w:tabs>
        <w:tab w:val="center" w:pos="4680"/>
        <w:tab w:val="right" w:pos="9360"/>
      </w:tabs>
      <w:spacing w:line="240" w:lineRule="auto"/>
    </w:pPr>
  </w:style>
  <w:style w:type="character" w:customStyle="1" w:styleId="HeaderChar">
    <w:name w:val="Header Char"/>
    <w:basedOn w:val="DefaultParagraphFont"/>
    <w:link w:val="Header"/>
    <w:uiPriority w:val="99"/>
    <w:rsid w:val="00386EE2"/>
    <w:rPr>
      <w:lang w:val="en-AU"/>
    </w:rPr>
  </w:style>
  <w:style w:type="paragraph" w:styleId="Footer">
    <w:name w:val="footer"/>
    <w:basedOn w:val="Normal"/>
    <w:link w:val="FooterChar"/>
    <w:uiPriority w:val="99"/>
    <w:unhideWhenUsed/>
    <w:rsid w:val="00386EE2"/>
    <w:pPr>
      <w:tabs>
        <w:tab w:val="center" w:pos="4680"/>
        <w:tab w:val="right" w:pos="9360"/>
      </w:tabs>
      <w:spacing w:line="240" w:lineRule="auto"/>
    </w:pPr>
  </w:style>
  <w:style w:type="character" w:customStyle="1" w:styleId="FooterChar">
    <w:name w:val="Footer Char"/>
    <w:basedOn w:val="DefaultParagraphFont"/>
    <w:link w:val="Footer"/>
    <w:uiPriority w:val="99"/>
    <w:rsid w:val="00386EE2"/>
    <w:rPr>
      <w:lang w:val="en-AU"/>
    </w:rPr>
  </w:style>
  <w:style w:type="table" w:styleId="TableGrid">
    <w:name w:val="Table Grid"/>
    <w:basedOn w:val="TableNormal"/>
    <w:uiPriority w:val="59"/>
    <w:rsid w:val="00223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42E1"/>
    <w:rPr>
      <w:color w:val="808080"/>
    </w:rPr>
  </w:style>
  <w:style w:type="paragraph" w:customStyle="1" w:styleId="Body">
    <w:name w:val="Body"/>
    <w:basedOn w:val="BodyText"/>
    <w:link w:val="BodyChar"/>
    <w:qFormat/>
    <w:rsid w:val="00551076"/>
    <w:pPr>
      <w:spacing w:after="0"/>
    </w:pPr>
    <w:rPr>
      <w:rFonts w:eastAsia="Times New Roman" w:cs="Times New Roman"/>
      <w:szCs w:val="24"/>
      <w:lang w:val="en-US"/>
    </w:rPr>
  </w:style>
  <w:style w:type="character" w:customStyle="1" w:styleId="BodyChar">
    <w:name w:val="Body Char"/>
    <w:basedOn w:val="BodyTextChar"/>
    <w:link w:val="Body"/>
    <w:rsid w:val="00551076"/>
    <w:rPr>
      <w:rFonts w:ascii="Times New Roman" w:eastAsia="Times New Roman" w:hAnsi="Times New Roman" w:cs="Times New Roman"/>
      <w:sz w:val="24"/>
      <w:szCs w:val="24"/>
      <w:lang w:val="en-AU"/>
    </w:rPr>
  </w:style>
  <w:style w:type="paragraph" w:styleId="BodyText">
    <w:name w:val="Body Text"/>
    <w:basedOn w:val="Normal"/>
    <w:link w:val="BodyTextChar"/>
    <w:uiPriority w:val="99"/>
    <w:semiHidden/>
    <w:unhideWhenUsed/>
    <w:rsid w:val="00551076"/>
    <w:pPr>
      <w:spacing w:after="120"/>
    </w:pPr>
  </w:style>
  <w:style w:type="character" w:customStyle="1" w:styleId="BodyTextChar">
    <w:name w:val="Body Text Char"/>
    <w:basedOn w:val="DefaultParagraphFont"/>
    <w:link w:val="BodyText"/>
    <w:uiPriority w:val="99"/>
    <w:semiHidden/>
    <w:rsid w:val="00551076"/>
    <w:rPr>
      <w:lang w:val="en-AU"/>
    </w:rPr>
  </w:style>
  <w:style w:type="paragraph" w:styleId="DocumentMap">
    <w:name w:val="Document Map"/>
    <w:basedOn w:val="Normal"/>
    <w:link w:val="DocumentMapChar"/>
    <w:uiPriority w:val="99"/>
    <w:semiHidden/>
    <w:unhideWhenUsed/>
    <w:rsid w:val="007203D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03D1"/>
    <w:rPr>
      <w:rFonts w:ascii="Tahoma" w:hAnsi="Tahoma" w:cs="Tahoma"/>
      <w:sz w:val="16"/>
      <w:szCs w:val="16"/>
      <w:lang w:val="en-AU"/>
    </w:rPr>
  </w:style>
  <w:style w:type="paragraph" w:styleId="EndnoteText">
    <w:name w:val="endnote text"/>
    <w:basedOn w:val="Normal"/>
    <w:link w:val="EndnoteTextChar"/>
    <w:uiPriority w:val="99"/>
    <w:semiHidden/>
    <w:unhideWhenUsed/>
    <w:rsid w:val="008E1704"/>
    <w:pPr>
      <w:spacing w:line="240" w:lineRule="auto"/>
    </w:pPr>
    <w:rPr>
      <w:sz w:val="20"/>
      <w:szCs w:val="20"/>
    </w:rPr>
  </w:style>
  <w:style w:type="character" w:customStyle="1" w:styleId="EndnoteTextChar">
    <w:name w:val="Endnote Text Char"/>
    <w:basedOn w:val="DefaultParagraphFont"/>
    <w:link w:val="EndnoteText"/>
    <w:uiPriority w:val="99"/>
    <w:semiHidden/>
    <w:rsid w:val="008E1704"/>
    <w:rPr>
      <w:sz w:val="20"/>
      <w:szCs w:val="20"/>
      <w:lang w:val="en-AU"/>
    </w:rPr>
  </w:style>
  <w:style w:type="character" w:styleId="EndnoteReference">
    <w:name w:val="endnote reference"/>
    <w:basedOn w:val="DefaultParagraphFont"/>
    <w:uiPriority w:val="99"/>
    <w:semiHidden/>
    <w:unhideWhenUsed/>
    <w:rsid w:val="008E1704"/>
    <w:rPr>
      <w:vertAlign w:val="superscript"/>
    </w:rPr>
  </w:style>
  <w:style w:type="paragraph" w:styleId="FootnoteText">
    <w:name w:val="footnote text"/>
    <w:basedOn w:val="Normal"/>
    <w:link w:val="FootnoteTextChar"/>
    <w:uiPriority w:val="99"/>
    <w:semiHidden/>
    <w:unhideWhenUsed/>
    <w:rsid w:val="00F374FA"/>
    <w:pPr>
      <w:spacing w:line="240" w:lineRule="auto"/>
    </w:pPr>
    <w:rPr>
      <w:sz w:val="20"/>
      <w:szCs w:val="20"/>
    </w:rPr>
  </w:style>
  <w:style w:type="character" w:customStyle="1" w:styleId="FootnoteTextChar">
    <w:name w:val="Footnote Text Char"/>
    <w:basedOn w:val="DefaultParagraphFont"/>
    <w:link w:val="FootnoteText"/>
    <w:uiPriority w:val="99"/>
    <w:semiHidden/>
    <w:rsid w:val="00F374FA"/>
    <w:rPr>
      <w:sz w:val="20"/>
      <w:szCs w:val="20"/>
      <w:lang w:val="en-AU"/>
    </w:rPr>
  </w:style>
  <w:style w:type="character" w:styleId="FootnoteReference">
    <w:name w:val="footnote reference"/>
    <w:basedOn w:val="DefaultParagraphFont"/>
    <w:uiPriority w:val="99"/>
    <w:semiHidden/>
    <w:unhideWhenUsed/>
    <w:rsid w:val="00F374FA"/>
    <w:rPr>
      <w:vertAlign w:val="superscript"/>
    </w:rPr>
  </w:style>
  <w:style w:type="character" w:customStyle="1" w:styleId="Heading1Char">
    <w:name w:val="Heading 1 Char"/>
    <w:basedOn w:val="DefaultParagraphFont"/>
    <w:link w:val="Heading1"/>
    <w:uiPriority w:val="9"/>
    <w:rsid w:val="00B247AF"/>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B247AF"/>
    <w:pPr>
      <w:outlineLvl w:val="9"/>
    </w:pPr>
    <w:rPr>
      <w:lang w:val="en-US"/>
    </w:rPr>
  </w:style>
  <w:style w:type="paragraph" w:styleId="TOC1">
    <w:name w:val="toc 1"/>
    <w:basedOn w:val="Normal"/>
    <w:next w:val="Normal"/>
    <w:autoRedefine/>
    <w:uiPriority w:val="39"/>
    <w:unhideWhenUsed/>
    <w:rsid w:val="00CD1176"/>
    <w:pPr>
      <w:tabs>
        <w:tab w:val="right" w:leader="dot" w:pos="9350"/>
      </w:tabs>
      <w:spacing w:after="100"/>
    </w:pPr>
    <w:rPr>
      <w:rFonts w:cs="Times New Roman"/>
      <w:i/>
      <w:noProof/>
      <w:szCs w:val="24"/>
      <w:lang w:val="en-US"/>
    </w:rPr>
  </w:style>
  <w:style w:type="paragraph" w:styleId="Caption">
    <w:name w:val="caption"/>
    <w:basedOn w:val="Normal"/>
    <w:next w:val="Normal"/>
    <w:uiPriority w:val="35"/>
    <w:unhideWhenUsed/>
    <w:qFormat/>
    <w:rsid w:val="00A417D0"/>
    <w:pPr>
      <w:spacing w:line="240" w:lineRule="auto"/>
      <w:ind w:firstLine="0"/>
      <w:jc w:val="center"/>
    </w:pPr>
    <w:rPr>
      <w:b/>
      <w:bCs/>
      <w:szCs w:val="18"/>
    </w:rPr>
  </w:style>
  <w:style w:type="paragraph" w:styleId="TableofFigures">
    <w:name w:val="table of figures"/>
    <w:basedOn w:val="Normal"/>
    <w:next w:val="Normal"/>
    <w:uiPriority w:val="99"/>
    <w:unhideWhenUsed/>
    <w:rsid w:val="00086B06"/>
  </w:style>
  <w:style w:type="paragraph" w:customStyle="1" w:styleId="NormalCentred">
    <w:name w:val="Normal Centred"/>
    <w:basedOn w:val="Normal"/>
    <w:qFormat/>
    <w:rsid w:val="00A417D0"/>
    <w:pPr>
      <w:suppressAutoHyphens/>
      <w:spacing w:line="240" w:lineRule="auto"/>
      <w:ind w:firstLine="0"/>
      <w:contextualSpacing/>
      <w:jc w:val="center"/>
    </w:pPr>
    <w:rPr>
      <w:rFonts w:eastAsia="Times New Roman" w:cs="Times New Roman"/>
      <w:szCs w:val="20"/>
      <w:lang w:val="en-US"/>
    </w:rPr>
  </w:style>
  <w:style w:type="paragraph" w:customStyle="1" w:styleId="Abstract">
    <w:name w:val="Abstract"/>
    <w:basedOn w:val="Normal"/>
    <w:qFormat/>
    <w:rsid w:val="00867BE0"/>
    <w:pPr>
      <w:ind w:firstLine="0"/>
    </w:pPr>
    <w:rPr>
      <w:rFonts w:eastAsia="Times New Roman" w:cs="Times New Roman"/>
      <w:szCs w:val="24"/>
      <w:lang w:val="en-US"/>
    </w:rPr>
  </w:style>
  <w:style w:type="paragraph" w:customStyle="1" w:styleId="TitlesCentred">
    <w:name w:val="Titles Centred"/>
    <w:basedOn w:val="Normal"/>
    <w:qFormat/>
    <w:rsid w:val="00B24EAE"/>
    <w:pPr>
      <w:ind w:firstLine="0"/>
      <w:contextualSpacing/>
      <w:jc w:val="center"/>
      <w:outlineLvl w:val="0"/>
    </w:pPr>
    <w:rPr>
      <w:rFonts w:cs="Times New Roman"/>
      <w:b/>
      <w:szCs w:val="28"/>
      <w:lang w:val="en-US"/>
    </w:rPr>
  </w:style>
  <w:style w:type="paragraph" w:customStyle="1" w:styleId="Tabletext">
    <w:name w:val="Table text"/>
    <w:basedOn w:val="Normal"/>
    <w:qFormat/>
    <w:rsid w:val="005C2F92"/>
    <w:pPr>
      <w:tabs>
        <w:tab w:val="decimal" w:pos="720"/>
      </w:tabs>
      <w:spacing w:line="240" w:lineRule="auto"/>
      <w:ind w:firstLine="0"/>
      <w:contextualSpacing/>
      <w:jc w:val="left"/>
    </w:pPr>
    <w:rPr>
      <w:rFonts w:eastAsia="Times New Roman" w:cs="Times New Roman"/>
      <w:color w:val="000000"/>
      <w:sz w:val="20"/>
      <w:szCs w:val="20"/>
      <w:lang w:val="en-US"/>
    </w:rPr>
  </w:style>
  <w:style w:type="paragraph" w:customStyle="1" w:styleId="Tabletextleftbold">
    <w:name w:val="Table text left bold"/>
    <w:basedOn w:val="Normal"/>
    <w:qFormat/>
    <w:rsid w:val="00B24EAE"/>
    <w:pPr>
      <w:spacing w:line="240" w:lineRule="auto"/>
      <w:ind w:firstLine="0"/>
      <w:contextualSpacing/>
      <w:jc w:val="left"/>
    </w:pPr>
    <w:rPr>
      <w:rFonts w:eastAsia="Times New Roman" w:cs="Times New Roman"/>
      <w:b/>
      <w:bCs/>
      <w:color w:val="000000"/>
      <w:sz w:val="20"/>
      <w:szCs w:val="20"/>
      <w:lang w:val="en-US"/>
    </w:rPr>
  </w:style>
  <w:style w:type="paragraph" w:customStyle="1" w:styleId="Tabletextcentredbold">
    <w:name w:val="Table text centred bold"/>
    <w:basedOn w:val="Normal"/>
    <w:qFormat/>
    <w:rsid w:val="003E4539"/>
    <w:pPr>
      <w:spacing w:line="240" w:lineRule="auto"/>
      <w:ind w:firstLine="0"/>
      <w:contextualSpacing/>
      <w:jc w:val="center"/>
    </w:pPr>
    <w:rPr>
      <w:rFonts w:eastAsia="Times New Roman" w:cs="Times New Roman"/>
      <w:b/>
      <w:bCs/>
      <w:color w:val="000000"/>
      <w:sz w:val="20"/>
      <w:szCs w:val="20"/>
      <w:lang w:val="en-US"/>
    </w:rPr>
  </w:style>
  <w:style w:type="paragraph" w:customStyle="1" w:styleId="Tabletextleft">
    <w:name w:val="Table text left"/>
    <w:basedOn w:val="Normal"/>
    <w:qFormat/>
    <w:rsid w:val="00431C0A"/>
    <w:pPr>
      <w:ind w:left="-130" w:firstLine="0"/>
      <w:contextualSpacing/>
      <w:jc w:val="left"/>
    </w:pPr>
    <w:rPr>
      <w:rFonts w:eastAsiaTheme="minorEastAsia" w:cs="Times New Roman"/>
      <w:sz w:val="20"/>
      <w:szCs w:val="20"/>
      <w:lang w:val="en-US"/>
    </w:rPr>
  </w:style>
  <w:style w:type="paragraph" w:customStyle="1" w:styleId="Tableblurb">
    <w:name w:val="Table blurb"/>
    <w:basedOn w:val="Caption"/>
    <w:qFormat/>
    <w:rsid w:val="009536CD"/>
    <w:pPr>
      <w:jc w:val="both"/>
    </w:pPr>
    <w:rPr>
      <w:rFonts w:eastAsiaTheme="minorEastAsia" w:cs="Times New Roman"/>
      <w:b w:val="0"/>
      <w:sz w:val="20"/>
      <w:szCs w:val="20"/>
      <w:lang w:val="en-US"/>
    </w:rPr>
  </w:style>
  <w:style w:type="paragraph" w:customStyle="1" w:styleId="Tabletextcentred">
    <w:name w:val="Table text centred"/>
    <w:basedOn w:val="Tabletext"/>
    <w:qFormat/>
    <w:rsid w:val="003E4539"/>
    <w:pPr>
      <w:tabs>
        <w:tab w:val="clear" w:pos="720"/>
      </w:tabs>
      <w:jc w:val="center"/>
    </w:pPr>
  </w:style>
  <w:style w:type="paragraph" w:customStyle="1" w:styleId="References">
    <w:name w:val="References"/>
    <w:basedOn w:val="EndNoteBibliography"/>
    <w:autoRedefine/>
    <w:qFormat/>
    <w:rsid w:val="005B3605"/>
    <w:pPr>
      <w:ind w:left="284" w:hanging="284"/>
    </w:pPr>
    <w:rPr>
      <w:rFonts w:ascii="Times New Roman" w:hAnsi="Times New Roman" w:cs="Times New Roman"/>
      <w:sz w:val="20"/>
      <w:szCs w:val="20"/>
    </w:rPr>
  </w:style>
  <w:style w:type="paragraph" w:customStyle="1" w:styleId="Footnote">
    <w:name w:val="Footnote"/>
    <w:basedOn w:val="FootnoteText"/>
    <w:qFormat/>
    <w:rsid w:val="00386754"/>
    <w:pPr>
      <w:ind w:firstLine="0"/>
      <w:jc w:val="left"/>
    </w:pPr>
    <w:rPr>
      <w:rFonts w:cs="Times New Roman"/>
    </w:rPr>
  </w:style>
  <w:style w:type="character" w:styleId="FollowedHyperlink">
    <w:name w:val="FollowedHyperlink"/>
    <w:basedOn w:val="DefaultParagraphFont"/>
    <w:uiPriority w:val="99"/>
    <w:semiHidden/>
    <w:unhideWhenUsed/>
    <w:rsid w:val="004B54F9"/>
    <w:rPr>
      <w:color w:val="800080" w:themeColor="followedHyperlink"/>
      <w:u w:val="single"/>
    </w:rPr>
  </w:style>
  <w:style w:type="paragraph" w:customStyle="1" w:styleId="Default">
    <w:name w:val="Default"/>
    <w:rsid w:val="00863EA2"/>
    <w:pPr>
      <w:autoSpaceDE w:val="0"/>
      <w:autoSpaceDN w:val="0"/>
      <w:adjustRightInd w:val="0"/>
      <w:spacing w:after="0" w:line="240" w:lineRule="auto"/>
    </w:pPr>
    <w:rPr>
      <w:rFonts w:ascii="Times New Roman" w:eastAsiaTheme="minorEastAsia" w:hAnsi="Times New Roman" w:cs="Times New Roman"/>
      <w:color w:val="000000"/>
      <w:sz w:val="24"/>
      <w:szCs w:val="24"/>
      <w:lang w:val="en-AU" w:eastAsia="zh-CN"/>
    </w:rPr>
  </w:style>
  <w:style w:type="paragraph" w:customStyle="1" w:styleId="Tabletextright">
    <w:name w:val="Table text right"/>
    <w:basedOn w:val="Tabletext"/>
    <w:qFormat/>
    <w:rsid w:val="00831174"/>
    <w:pPr>
      <w:jc w:val="right"/>
    </w:pPr>
  </w:style>
  <w:style w:type="character" w:customStyle="1" w:styleId="apple-converted-space">
    <w:name w:val="apple-converted-space"/>
    <w:basedOn w:val="DefaultParagraphFont"/>
    <w:rsid w:val="0099403F"/>
  </w:style>
  <w:style w:type="character" w:styleId="CommentReference">
    <w:name w:val="annotation reference"/>
    <w:basedOn w:val="DefaultParagraphFont"/>
    <w:uiPriority w:val="99"/>
    <w:semiHidden/>
    <w:unhideWhenUsed/>
    <w:rsid w:val="009C4101"/>
    <w:rPr>
      <w:sz w:val="16"/>
      <w:szCs w:val="16"/>
    </w:rPr>
  </w:style>
  <w:style w:type="paragraph" w:styleId="CommentText">
    <w:name w:val="annotation text"/>
    <w:basedOn w:val="Normal"/>
    <w:link w:val="CommentTextChar"/>
    <w:uiPriority w:val="99"/>
    <w:semiHidden/>
    <w:unhideWhenUsed/>
    <w:rsid w:val="009C4101"/>
    <w:pPr>
      <w:spacing w:line="240" w:lineRule="auto"/>
    </w:pPr>
    <w:rPr>
      <w:sz w:val="20"/>
      <w:szCs w:val="20"/>
    </w:rPr>
  </w:style>
  <w:style w:type="character" w:customStyle="1" w:styleId="CommentTextChar">
    <w:name w:val="Comment Text Char"/>
    <w:basedOn w:val="DefaultParagraphFont"/>
    <w:link w:val="CommentText"/>
    <w:uiPriority w:val="99"/>
    <w:semiHidden/>
    <w:rsid w:val="009C4101"/>
    <w:rPr>
      <w:rFonts w:ascii="Times New Roman" w:hAnsi="Times New Roman"/>
      <w:sz w:val="20"/>
      <w:szCs w:val="20"/>
      <w:lang w:val="en-AU"/>
    </w:rPr>
  </w:style>
  <w:style w:type="paragraph" w:styleId="CommentSubject">
    <w:name w:val="annotation subject"/>
    <w:basedOn w:val="CommentText"/>
    <w:next w:val="CommentText"/>
    <w:link w:val="CommentSubjectChar"/>
    <w:uiPriority w:val="99"/>
    <w:semiHidden/>
    <w:unhideWhenUsed/>
    <w:rsid w:val="009C4101"/>
    <w:rPr>
      <w:b/>
      <w:bCs/>
    </w:rPr>
  </w:style>
  <w:style w:type="character" w:customStyle="1" w:styleId="CommentSubjectChar">
    <w:name w:val="Comment Subject Char"/>
    <w:basedOn w:val="CommentTextChar"/>
    <w:link w:val="CommentSubject"/>
    <w:uiPriority w:val="99"/>
    <w:semiHidden/>
    <w:rsid w:val="009C4101"/>
    <w:rPr>
      <w:rFonts w:ascii="Times New Roman" w:hAnsi="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E0"/>
    <w:pPr>
      <w:spacing w:after="0" w:line="480" w:lineRule="auto"/>
      <w:ind w:firstLine="720"/>
      <w:jc w:val="both"/>
    </w:pPr>
    <w:rPr>
      <w:rFonts w:ascii="Times New Roman" w:hAnsi="Times New Roman"/>
      <w:sz w:val="24"/>
      <w:lang w:val="en-AU"/>
    </w:rPr>
  </w:style>
  <w:style w:type="paragraph" w:styleId="Heading1">
    <w:name w:val="heading 1"/>
    <w:basedOn w:val="Normal"/>
    <w:next w:val="Normal"/>
    <w:link w:val="Heading1Char"/>
    <w:uiPriority w:val="9"/>
    <w:qFormat/>
    <w:rsid w:val="00B247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A36"/>
    <w:pPr>
      <w:ind w:left="720"/>
      <w:contextualSpacing/>
    </w:pPr>
  </w:style>
  <w:style w:type="paragraph" w:customStyle="1" w:styleId="EndNoteBibliographyTitle">
    <w:name w:val="EndNote Bibliography Title"/>
    <w:basedOn w:val="Normal"/>
    <w:link w:val="EndNoteBibliographyTitleChar"/>
    <w:rsid w:val="00CF28A4"/>
    <w:pPr>
      <w:spacing w:line="240" w:lineRule="auto"/>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CF28A4"/>
    <w:rPr>
      <w:rFonts w:ascii="Calibri" w:hAnsi="Calibri"/>
      <w:noProof/>
    </w:rPr>
  </w:style>
  <w:style w:type="paragraph" w:customStyle="1" w:styleId="EndNoteBibliography">
    <w:name w:val="EndNote Bibliography"/>
    <w:basedOn w:val="Normal"/>
    <w:link w:val="EndNoteBibliographyChar"/>
    <w:rsid w:val="00CF28A4"/>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CF28A4"/>
    <w:rPr>
      <w:rFonts w:ascii="Calibri" w:hAnsi="Calibri"/>
      <w:noProof/>
    </w:rPr>
  </w:style>
  <w:style w:type="character" w:styleId="Hyperlink">
    <w:name w:val="Hyperlink"/>
    <w:basedOn w:val="DefaultParagraphFont"/>
    <w:uiPriority w:val="99"/>
    <w:unhideWhenUsed/>
    <w:rsid w:val="00780F1E"/>
    <w:rPr>
      <w:color w:val="0000FF" w:themeColor="hyperlink"/>
      <w:u w:val="single"/>
    </w:rPr>
  </w:style>
  <w:style w:type="paragraph" w:styleId="BalloonText">
    <w:name w:val="Balloon Text"/>
    <w:basedOn w:val="Normal"/>
    <w:link w:val="BalloonTextChar"/>
    <w:uiPriority w:val="99"/>
    <w:semiHidden/>
    <w:unhideWhenUsed/>
    <w:rsid w:val="00780F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F1E"/>
    <w:rPr>
      <w:rFonts w:ascii="Tahoma" w:hAnsi="Tahoma" w:cs="Tahoma"/>
      <w:sz w:val="16"/>
      <w:szCs w:val="16"/>
      <w:lang w:val="en-AU"/>
    </w:rPr>
  </w:style>
  <w:style w:type="paragraph" w:styleId="Header">
    <w:name w:val="header"/>
    <w:basedOn w:val="Normal"/>
    <w:link w:val="HeaderChar"/>
    <w:uiPriority w:val="99"/>
    <w:unhideWhenUsed/>
    <w:rsid w:val="00386EE2"/>
    <w:pPr>
      <w:tabs>
        <w:tab w:val="center" w:pos="4680"/>
        <w:tab w:val="right" w:pos="9360"/>
      </w:tabs>
      <w:spacing w:line="240" w:lineRule="auto"/>
    </w:pPr>
  </w:style>
  <w:style w:type="character" w:customStyle="1" w:styleId="HeaderChar">
    <w:name w:val="Header Char"/>
    <w:basedOn w:val="DefaultParagraphFont"/>
    <w:link w:val="Header"/>
    <w:uiPriority w:val="99"/>
    <w:rsid w:val="00386EE2"/>
    <w:rPr>
      <w:lang w:val="en-AU"/>
    </w:rPr>
  </w:style>
  <w:style w:type="paragraph" w:styleId="Footer">
    <w:name w:val="footer"/>
    <w:basedOn w:val="Normal"/>
    <w:link w:val="FooterChar"/>
    <w:uiPriority w:val="99"/>
    <w:unhideWhenUsed/>
    <w:rsid w:val="00386EE2"/>
    <w:pPr>
      <w:tabs>
        <w:tab w:val="center" w:pos="4680"/>
        <w:tab w:val="right" w:pos="9360"/>
      </w:tabs>
      <w:spacing w:line="240" w:lineRule="auto"/>
    </w:pPr>
  </w:style>
  <w:style w:type="character" w:customStyle="1" w:styleId="FooterChar">
    <w:name w:val="Footer Char"/>
    <w:basedOn w:val="DefaultParagraphFont"/>
    <w:link w:val="Footer"/>
    <w:uiPriority w:val="99"/>
    <w:rsid w:val="00386EE2"/>
    <w:rPr>
      <w:lang w:val="en-AU"/>
    </w:rPr>
  </w:style>
  <w:style w:type="table" w:styleId="TableGrid">
    <w:name w:val="Table Grid"/>
    <w:basedOn w:val="TableNormal"/>
    <w:uiPriority w:val="59"/>
    <w:rsid w:val="00223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42E1"/>
    <w:rPr>
      <w:color w:val="808080"/>
    </w:rPr>
  </w:style>
  <w:style w:type="paragraph" w:customStyle="1" w:styleId="Body">
    <w:name w:val="Body"/>
    <w:basedOn w:val="BodyText"/>
    <w:link w:val="BodyChar"/>
    <w:qFormat/>
    <w:rsid w:val="00551076"/>
    <w:pPr>
      <w:spacing w:after="0"/>
    </w:pPr>
    <w:rPr>
      <w:rFonts w:eastAsia="Times New Roman" w:cs="Times New Roman"/>
      <w:szCs w:val="24"/>
      <w:lang w:val="en-US"/>
    </w:rPr>
  </w:style>
  <w:style w:type="character" w:customStyle="1" w:styleId="BodyChar">
    <w:name w:val="Body Char"/>
    <w:basedOn w:val="BodyTextChar"/>
    <w:link w:val="Body"/>
    <w:rsid w:val="00551076"/>
    <w:rPr>
      <w:rFonts w:ascii="Times New Roman" w:eastAsia="Times New Roman" w:hAnsi="Times New Roman" w:cs="Times New Roman"/>
      <w:sz w:val="24"/>
      <w:szCs w:val="24"/>
      <w:lang w:val="en-AU"/>
    </w:rPr>
  </w:style>
  <w:style w:type="paragraph" w:styleId="BodyText">
    <w:name w:val="Body Text"/>
    <w:basedOn w:val="Normal"/>
    <w:link w:val="BodyTextChar"/>
    <w:uiPriority w:val="99"/>
    <w:semiHidden/>
    <w:unhideWhenUsed/>
    <w:rsid w:val="00551076"/>
    <w:pPr>
      <w:spacing w:after="120"/>
    </w:pPr>
  </w:style>
  <w:style w:type="character" w:customStyle="1" w:styleId="BodyTextChar">
    <w:name w:val="Body Text Char"/>
    <w:basedOn w:val="DefaultParagraphFont"/>
    <w:link w:val="BodyText"/>
    <w:uiPriority w:val="99"/>
    <w:semiHidden/>
    <w:rsid w:val="00551076"/>
    <w:rPr>
      <w:lang w:val="en-AU"/>
    </w:rPr>
  </w:style>
  <w:style w:type="paragraph" w:styleId="DocumentMap">
    <w:name w:val="Document Map"/>
    <w:basedOn w:val="Normal"/>
    <w:link w:val="DocumentMapChar"/>
    <w:uiPriority w:val="99"/>
    <w:semiHidden/>
    <w:unhideWhenUsed/>
    <w:rsid w:val="007203D1"/>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203D1"/>
    <w:rPr>
      <w:rFonts w:ascii="Tahoma" w:hAnsi="Tahoma" w:cs="Tahoma"/>
      <w:sz w:val="16"/>
      <w:szCs w:val="16"/>
      <w:lang w:val="en-AU"/>
    </w:rPr>
  </w:style>
  <w:style w:type="paragraph" w:styleId="EndnoteText">
    <w:name w:val="endnote text"/>
    <w:basedOn w:val="Normal"/>
    <w:link w:val="EndnoteTextChar"/>
    <w:uiPriority w:val="99"/>
    <w:semiHidden/>
    <w:unhideWhenUsed/>
    <w:rsid w:val="008E1704"/>
    <w:pPr>
      <w:spacing w:line="240" w:lineRule="auto"/>
    </w:pPr>
    <w:rPr>
      <w:sz w:val="20"/>
      <w:szCs w:val="20"/>
    </w:rPr>
  </w:style>
  <w:style w:type="character" w:customStyle="1" w:styleId="EndnoteTextChar">
    <w:name w:val="Endnote Text Char"/>
    <w:basedOn w:val="DefaultParagraphFont"/>
    <w:link w:val="EndnoteText"/>
    <w:uiPriority w:val="99"/>
    <w:semiHidden/>
    <w:rsid w:val="008E1704"/>
    <w:rPr>
      <w:sz w:val="20"/>
      <w:szCs w:val="20"/>
      <w:lang w:val="en-AU"/>
    </w:rPr>
  </w:style>
  <w:style w:type="character" w:styleId="EndnoteReference">
    <w:name w:val="endnote reference"/>
    <w:basedOn w:val="DefaultParagraphFont"/>
    <w:uiPriority w:val="99"/>
    <w:semiHidden/>
    <w:unhideWhenUsed/>
    <w:rsid w:val="008E1704"/>
    <w:rPr>
      <w:vertAlign w:val="superscript"/>
    </w:rPr>
  </w:style>
  <w:style w:type="paragraph" w:styleId="FootnoteText">
    <w:name w:val="footnote text"/>
    <w:basedOn w:val="Normal"/>
    <w:link w:val="FootnoteTextChar"/>
    <w:uiPriority w:val="99"/>
    <w:semiHidden/>
    <w:unhideWhenUsed/>
    <w:rsid w:val="00F374FA"/>
    <w:pPr>
      <w:spacing w:line="240" w:lineRule="auto"/>
    </w:pPr>
    <w:rPr>
      <w:sz w:val="20"/>
      <w:szCs w:val="20"/>
    </w:rPr>
  </w:style>
  <w:style w:type="character" w:customStyle="1" w:styleId="FootnoteTextChar">
    <w:name w:val="Footnote Text Char"/>
    <w:basedOn w:val="DefaultParagraphFont"/>
    <w:link w:val="FootnoteText"/>
    <w:uiPriority w:val="99"/>
    <w:semiHidden/>
    <w:rsid w:val="00F374FA"/>
    <w:rPr>
      <w:sz w:val="20"/>
      <w:szCs w:val="20"/>
      <w:lang w:val="en-AU"/>
    </w:rPr>
  </w:style>
  <w:style w:type="character" w:styleId="FootnoteReference">
    <w:name w:val="footnote reference"/>
    <w:basedOn w:val="DefaultParagraphFont"/>
    <w:uiPriority w:val="99"/>
    <w:semiHidden/>
    <w:unhideWhenUsed/>
    <w:rsid w:val="00F374FA"/>
    <w:rPr>
      <w:vertAlign w:val="superscript"/>
    </w:rPr>
  </w:style>
  <w:style w:type="character" w:customStyle="1" w:styleId="Heading1Char">
    <w:name w:val="Heading 1 Char"/>
    <w:basedOn w:val="DefaultParagraphFont"/>
    <w:link w:val="Heading1"/>
    <w:uiPriority w:val="9"/>
    <w:rsid w:val="00B247AF"/>
    <w:rPr>
      <w:rFonts w:asciiTheme="majorHAnsi" w:eastAsiaTheme="majorEastAsia" w:hAnsiTheme="majorHAnsi" w:cstheme="majorBidi"/>
      <w:b/>
      <w:bCs/>
      <w:color w:val="365F91" w:themeColor="accent1" w:themeShade="BF"/>
      <w:sz w:val="28"/>
      <w:szCs w:val="28"/>
      <w:lang w:val="en-AU"/>
    </w:rPr>
  </w:style>
  <w:style w:type="paragraph" w:styleId="TOCHeading">
    <w:name w:val="TOC Heading"/>
    <w:basedOn w:val="Heading1"/>
    <w:next w:val="Normal"/>
    <w:uiPriority w:val="39"/>
    <w:unhideWhenUsed/>
    <w:qFormat/>
    <w:rsid w:val="00B247AF"/>
    <w:pPr>
      <w:outlineLvl w:val="9"/>
    </w:pPr>
    <w:rPr>
      <w:lang w:val="en-US"/>
    </w:rPr>
  </w:style>
  <w:style w:type="paragraph" w:styleId="TOC1">
    <w:name w:val="toc 1"/>
    <w:basedOn w:val="Normal"/>
    <w:next w:val="Normal"/>
    <w:autoRedefine/>
    <w:uiPriority w:val="39"/>
    <w:unhideWhenUsed/>
    <w:rsid w:val="00CD1176"/>
    <w:pPr>
      <w:tabs>
        <w:tab w:val="right" w:leader="dot" w:pos="9350"/>
      </w:tabs>
      <w:spacing w:after="100"/>
    </w:pPr>
    <w:rPr>
      <w:rFonts w:cs="Times New Roman"/>
      <w:i/>
      <w:noProof/>
      <w:szCs w:val="24"/>
      <w:lang w:val="en-US"/>
    </w:rPr>
  </w:style>
  <w:style w:type="paragraph" w:styleId="Caption">
    <w:name w:val="caption"/>
    <w:basedOn w:val="Normal"/>
    <w:next w:val="Normal"/>
    <w:uiPriority w:val="35"/>
    <w:unhideWhenUsed/>
    <w:qFormat/>
    <w:rsid w:val="00A417D0"/>
    <w:pPr>
      <w:spacing w:line="240" w:lineRule="auto"/>
      <w:ind w:firstLine="0"/>
      <w:jc w:val="center"/>
    </w:pPr>
    <w:rPr>
      <w:b/>
      <w:bCs/>
      <w:szCs w:val="18"/>
    </w:rPr>
  </w:style>
  <w:style w:type="paragraph" w:styleId="TableofFigures">
    <w:name w:val="table of figures"/>
    <w:basedOn w:val="Normal"/>
    <w:next w:val="Normal"/>
    <w:uiPriority w:val="99"/>
    <w:unhideWhenUsed/>
    <w:rsid w:val="00086B06"/>
  </w:style>
  <w:style w:type="paragraph" w:customStyle="1" w:styleId="NormalCentred">
    <w:name w:val="Normal Centred"/>
    <w:basedOn w:val="Normal"/>
    <w:qFormat/>
    <w:rsid w:val="00A417D0"/>
    <w:pPr>
      <w:suppressAutoHyphens/>
      <w:spacing w:line="240" w:lineRule="auto"/>
      <w:ind w:firstLine="0"/>
      <w:contextualSpacing/>
      <w:jc w:val="center"/>
    </w:pPr>
    <w:rPr>
      <w:rFonts w:eastAsia="Times New Roman" w:cs="Times New Roman"/>
      <w:szCs w:val="20"/>
      <w:lang w:val="en-US"/>
    </w:rPr>
  </w:style>
  <w:style w:type="paragraph" w:customStyle="1" w:styleId="Abstract">
    <w:name w:val="Abstract"/>
    <w:basedOn w:val="Normal"/>
    <w:qFormat/>
    <w:rsid w:val="00867BE0"/>
    <w:pPr>
      <w:ind w:firstLine="0"/>
    </w:pPr>
    <w:rPr>
      <w:rFonts w:eastAsia="Times New Roman" w:cs="Times New Roman"/>
      <w:szCs w:val="24"/>
      <w:lang w:val="en-US"/>
    </w:rPr>
  </w:style>
  <w:style w:type="paragraph" w:customStyle="1" w:styleId="TitlesCentred">
    <w:name w:val="Titles Centred"/>
    <w:basedOn w:val="Normal"/>
    <w:qFormat/>
    <w:rsid w:val="00B24EAE"/>
    <w:pPr>
      <w:ind w:firstLine="0"/>
      <w:contextualSpacing/>
      <w:jc w:val="center"/>
      <w:outlineLvl w:val="0"/>
    </w:pPr>
    <w:rPr>
      <w:rFonts w:cs="Times New Roman"/>
      <w:b/>
      <w:szCs w:val="28"/>
      <w:lang w:val="en-US"/>
    </w:rPr>
  </w:style>
  <w:style w:type="paragraph" w:customStyle="1" w:styleId="Tabletext">
    <w:name w:val="Table text"/>
    <w:basedOn w:val="Normal"/>
    <w:qFormat/>
    <w:rsid w:val="005C2F92"/>
    <w:pPr>
      <w:tabs>
        <w:tab w:val="decimal" w:pos="720"/>
      </w:tabs>
      <w:spacing w:line="240" w:lineRule="auto"/>
      <w:ind w:firstLine="0"/>
      <w:contextualSpacing/>
      <w:jc w:val="left"/>
    </w:pPr>
    <w:rPr>
      <w:rFonts w:eastAsia="Times New Roman" w:cs="Times New Roman"/>
      <w:color w:val="000000"/>
      <w:sz w:val="20"/>
      <w:szCs w:val="20"/>
      <w:lang w:val="en-US"/>
    </w:rPr>
  </w:style>
  <w:style w:type="paragraph" w:customStyle="1" w:styleId="Tabletextleftbold">
    <w:name w:val="Table text left bold"/>
    <w:basedOn w:val="Normal"/>
    <w:qFormat/>
    <w:rsid w:val="00B24EAE"/>
    <w:pPr>
      <w:spacing w:line="240" w:lineRule="auto"/>
      <w:ind w:firstLine="0"/>
      <w:contextualSpacing/>
      <w:jc w:val="left"/>
    </w:pPr>
    <w:rPr>
      <w:rFonts w:eastAsia="Times New Roman" w:cs="Times New Roman"/>
      <w:b/>
      <w:bCs/>
      <w:color w:val="000000"/>
      <w:sz w:val="20"/>
      <w:szCs w:val="20"/>
      <w:lang w:val="en-US"/>
    </w:rPr>
  </w:style>
  <w:style w:type="paragraph" w:customStyle="1" w:styleId="Tabletextcentredbold">
    <w:name w:val="Table text centred bold"/>
    <w:basedOn w:val="Normal"/>
    <w:qFormat/>
    <w:rsid w:val="003E4539"/>
    <w:pPr>
      <w:spacing w:line="240" w:lineRule="auto"/>
      <w:ind w:firstLine="0"/>
      <w:contextualSpacing/>
      <w:jc w:val="center"/>
    </w:pPr>
    <w:rPr>
      <w:rFonts w:eastAsia="Times New Roman" w:cs="Times New Roman"/>
      <w:b/>
      <w:bCs/>
      <w:color w:val="000000"/>
      <w:sz w:val="20"/>
      <w:szCs w:val="20"/>
      <w:lang w:val="en-US"/>
    </w:rPr>
  </w:style>
  <w:style w:type="paragraph" w:customStyle="1" w:styleId="Tabletextleft">
    <w:name w:val="Table text left"/>
    <w:basedOn w:val="Normal"/>
    <w:qFormat/>
    <w:rsid w:val="00431C0A"/>
    <w:pPr>
      <w:ind w:left="-130" w:firstLine="0"/>
      <w:contextualSpacing/>
      <w:jc w:val="left"/>
    </w:pPr>
    <w:rPr>
      <w:rFonts w:eastAsiaTheme="minorEastAsia" w:cs="Times New Roman"/>
      <w:sz w:val="20"/>
      <w:szCs w:val="20"/>
      <w:lang w:val="en-US"/>
    </w:rPr>
  </w:style>
  <w:style w:type="paragraph" w:customStyle="1" w:styleId="Tableblurb">
    <w:name w:val="Table blurb"/>
    <w:basedOn w:val="Caption"/>
    <w:qFormat/>
    <w:rsid w:val="009536CD"/>
    <w:pPr>
      <w:jc w:val="both"/>
    </w:pPr>
    <w:rPr>
      <w:rFonts w:eastAsiaTheme="minorEastAsia" w:cs="Times New Roman"/>
      <w:b w:val="0"/>
      <w:sz w:val="20"/>
      <w:szCs w:val="20"/>
      <w:lang w:val="en-US"/>
    </w:rPr>
  </w:style>
  <w:style w:type="paragraph" w:customStyle="1" w:styleId="Tabletextcentred">
    <w:name w:val="Table text centred"/>
    <w:basedOn w:val="Tabletext"/>
    <w:qFormat/>
    <w:rsid w:val="003E4539"/>
    <w:pPr>
      <w:tabs>
        <w:tab w:val="clear" w:pos="720"/>
      </w:tabs>
      <w:jc w:val="center"/>
    </w:pPr>
  </w:style>
  <w:style w:type="paragraph" w:customStyle="1" w:styleId="References">
    <w:name w:val="References"/>
    <w:basedOn w:val="EndNoteBibliography"/>
    <w:autoRedefine/>
    <w:qFormat/>
    <w:rsid w:val="005B3605"/>
    <w:pPr>
      <w:ind w:left="284" w:hanging="284"/>
    </w:pPr>
    <w:rPr>
      <w:rFonts w:ascii="Times New Roman" w:hAnsi="Times New Roman" w:cs="Times New Roman"/>
      <w:sz w:val="20"/>
      <w:szCs w:val="20"/>
    </w:rPr>
  </w:style>
  <w:style w:type="paragraph" w:customStyle="1" w:styleId="Footnote">
    <w:name w:val="Footnote"/>
    <w:basedOn w:val="FootnoteText"/>
    <w:qFormat/>
    <w:rsid w:val="00386754"/>
    <w:pPr>
      <w:ind w:firstLine="0"/>
      <w:jc w:val="left"/>
    </w:pPr>
    <w:rPr>
      <w:rFonts w:cs="Times New Roman"/>
    </w:rPr>
  </w:style>
  <w:style w:type="character" w:styleId="FollowedHyperlink">
    <w:name w:val="FollowedHyperlink"/>
    <w:basedOn w:val="DefaultParagraphFont"/>
    <w:uiPriority w:val="99"/>
    <w:semiHidden/>
    <w:unhideWhenUsed/>
    <w:rsid w:val="004B54F9"/>
    <w:rPr>
      <w:color w:val="800080" w:themeColor="followedHyperlink"/>
      <w:u w:val="single"/>
    </w:rPr>
  </w:style>
  <w:style w:type="paragraph" w:customStyle="1" w:styleId="Default">
    <w:name w:val="Default"/>
    <w:rsid w:val="00863EA2"/>
    <w:pPr>
      <w:autoSpaceDE w:val="0"/>
      <w:autoSpaceDN w:val="0"/>
      <w:adjustRightInd w:val="0"/>
      <w:spacing w:after="0" w:line="240" w:lineRule="auto"/>
    </w:pPr>
    <w:rPr>
      <w:rFonts w:ascii="Times New Roman" w:eastAsiaTheme="minorEastAsia" w:hAnsi="Times New Roman" w:cs="Times New Roman"/>
      <w:color w:val="000000"/>
      <w:sz w:val="24"/>
      <w:szCs w:val="24"/>
      <w:lang w:val="en-AU" w:eastAsia="zh-CN"/>
    </w:rPr>
  </w:style>
  <w:style w:type="paragraph" w:customStyle="1" w:styleId="Tabletextright">
    <w:name w:val="Table text right"/>
    <w:basedOn w:val="Tabletext"/>
    <w:qFormat/>
    <w:rsid w:val="00831174"/>
    <w:pPr>
      <w:jc w:val="right"/>
    </w:pPr>
  </w:style>
  <w:style w:type="character" w:customStyle="1" w:styleId="apple-converted-space">
    <w:name w:val="apple-converted-space"/>
    <w:basedOn w:val="DefaultParagraphFont"/>
    <w:rsid w:val="0099403F"/>
  </w:style>
  <w:style w:type="character" w:styleId="CommentReference">
    <w:name w:val="annotation reference"/>
    <w:basedOn w:val="DefaultParagraphFont"/>
    <w:uiPriority w:val="99"/>
    <w:semiHidden/>
    <w:unhideWhenUsed/>
    <w:rsid w:val="009C4101"/>
    <w:rPr>
      <w:sz w:val="16"/>
      <w:szCs w:val="16"/>
    </w:rPr>
  </w:style>
  <w:style w:type="paragraph" w:styleId="CommentText">
    <w:name w:val="annotation text"/>
    <w:basedOn w:val="Normal"/>
    <w:link w:val="CommentTextChar"/>
    <w:uiPriority w:val="99"/>
    <w:semiHidden/>
    <w:unhideWhenUsed/>
    <w:rsid w:val="009C4101"/>
    <w:pPr>
      <w:spacing w:line="240" w:lineRule="auto"/>
    </w:pPr>
    <w:rPr>
      <w:sz w:val="20"/>
      <w:szCs w:val="20"/>
    </w:rPr>
  </w:style>
  <w:style w:type="character" w:customStyle="1" w:styleId="CommentTextChar">
    <w:name w:val="Comment Text Char"/>
    <w:basedOn w:val="DefaultParagraphFont"/>
    <w:link w:val="CommentText"/>
    <w:uiPriority w:val="99"/>
    <w:semiHidden/>
    <w:rsid w:val="009C4101"/>
    <w:rPr>
      <w:rFonts w:ascii="Times New Roman" w:hAnsi="Times New Roman"/>
      <w:sz w:val="20"/>
      <w:szCs w:val="20"/>
      <w:lang w:val="en-AU"/>
    </w:rPr>
  </w:style>
  <w:style w:type="paragraph" w:styleId="CommentSubject">
    <w:name w:val="annotation subject"/>
    <w:basedOn w:val="CommentText"/>
    <w:next w:val="CommentText"/>
    <w:link w:val="CommentSubjectChar"/>
    <w:uiPriority w:val="99"/>
    <w:semiHidden/>
    <w:unhideWhenUsed/>
    <w:rsid w:val="009C4101"/>
    <w:rPr>
      <w:b/>
      <w:bCs/>
    </w:rPr>
  </w:style>
  <w:style w:type="character" w:customStyle="1" w:styleId="CommentSubjectChar">
    <w:name w:val="Comment Subject Char"/>
    <w:basedOn w:val="CommentTextChar"/>
    <w:link w:val="CommentSubject"/>
    <w:uiPriority w:val="99"/>
    <w:semiHidden/>
    <w:rsid w:val="009C4101"/>
    <w:rPr>
      <w:rFonts w:ascii="Times New Roman" w:hAnsi="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485">
      <w:bodyDiv w:val="1"/>
      <w:marLeft w:val="0"/>
      <w:marRight w:val="0"/>
      <w:marTop w:val="0"/>
      <w:marBottom w:val="0"/>
      <w:divBdr>
        <w:top w:val="none" w:sz="0" w:space="0" w:color="auto"/>
        <w:left w:val="none" w:sz="0" w:space="0" w:color="auto"/>
        <w:bottom w:val="none" w:sz="0" w:space="0" w:color="auto"/>
        <w:right w:val="none" w:sz="0" w:space="0" w:color="auto"/>
      </w:divBdr>
    </w:div>
    <w:div w:id="17123928">
      <w:bodyDiv w:val="1"/>
      <w:marLeft w:val="0"/>
      <w:marRight w:val="0"/>
      <w:marTop w:val="0"/>
      <w:marBottom w:val="0"/>
      <w:divBdr>
        <w:top w:val="none" w:sz="0" w:space="0" w:color="auto"/>
        <w:left w:val="none" w:sz="0" w:space="0" w:color="auto"/>
        <w:bottom w:val="none" w:sz="0" w:space="0" w:color="auto"/>
        <w:right w:val="none" w:sz="0" w:space="0" w:color="auto"/>
      </w:divBdr>
    </w:div>
    <w:div w:id="28771720">
      <w:bodyDiv w:val="1"/>
      <w:marLeft w:val="0"/>
      <w:marRight w:val="0"/>
      <w:marTop w:val="0"/>
      <w:marBottom w:val="0"/>
      <w:divBdr>
        <w:top w:val="none" w:sz="0" w:space="0" w:color="auto"/>
        <w:left w:val="none" w:sz="0" w:space="0" w:color="auto"/>
        <w:bottom w:val="none" w:sz="0" w:space="0" w:color="auto"/>
        <w:right w:val="none" w:sz="0" w:space="0" w:color="auto"/>
      </w:divBdr>
    </w:div>
    <w:div w:id="229509369">
      <w:bodyDiv w:val="1"/>
      <w:marLeft w:val="0"/>
      <w:marRight w:val="0"/>
      <w:marTop w:val="0"/>
      <w:marBottom w:val="0"/>
      <w:divBdr>
        <w:top w:val="none" w:sz="0" w:space="0" w:color="auto"/>
        <w:left w:val="none" w:sz="0" w:space="0" w:color="auto"/>
        <w:bottom w:val="none" w:sz="0" w:space="0" w:color="auto"/>
        <w:right w:val="none" w:sz="0" w:space="0" w:color="auto"/>
      </w:divBdr>
    </w:div>
    <w:div w:id="350835909">
      <w:bodyDiv w:val="1"/>
      <w:marLeft w:val="0"/>
      <w:marRight w:val="0"/>
      <w:marTop w:val="0"/>
      <w:marBottom w:val="0"/>
      <w:divBdr>
        <w:top w:val="none" w:sz="0" w:space="0" w:color="auto"/>
        <w:left w:val="none" w:sz="0" w:space="0" w:color="auto"/>
        <w:bottom w:val="none" w:sz="0" w:space="0" w:color="auto"/>
        <w:right w:val="none" w:sz="0" w:space="0" w:color="auto"/>
      </w:divBdr>
    </w:div>
    <w:div w:id="418329441">
      <w:bodyDiv w:val="1"/>
      <w:marLeft w:val="0"/>
      <w:marRight w:val="0"/>
      <w:marTop w:val="0"/>
      <w:marBottom w:val="0"/>
      <w:divBdr>
        <w:top w:val="none" w:sz="0" w:space="0" w:color="auto"/>
        <w:left w:val="none" w:sz="0" w:space="0" w:color="auto"/>
        <w:bottom w:val="none" w:sz="0" w:space="0" w:color="auto"/>
        <w:right w:val="none" w:sz="0" w:space="0" w:color="auto"/>
      </w:divBdr>
    </w:div>
    <w:div w:id="592933175">
      <w:bodyDiv w:val="1"/>
      <w:marLeft w:val="0"/>
      <w:marRight w:val="0"/>
      <w:marTop w:val="0"/>
      <w:marBottom w:val="0"/>
      <w:divBdr>
        <w:top w:val="none" w:sz="0" w:space="0" w:color="auto"/>
        <w:left w:val="none" w:sz="0" w:space="0" w:color="auto"/>
        <w:bottom w:val="none" w:sz="0" w:space="0" w:color="auto"/>
        <w:right w:val="none" w:sz="0" w:space="0" w:color="auto"/>
      </w:divBdr>
    </w:div>
    <w:div w:id="700276881">
      <w:bodyDiv w:val="1"/>
      <w:marLeft w:val="0"/>
      <w:marRight w:val="0"/>
      <w:marTop w:val="0"/>
      <w:marBottom w:val="0"/>
      <w:divBdr>
        <w:top w:val="none" w:sz="0" w:space="0" w:color="auto"/>
        <w:left w:val="none" w:sz="0" w:space="0" w:color="auto"/>
        <w:bottom w:val="none" w:sz="0" w:space="0" w:color="auto"/>
        <w:right w:val="none" w:sz="0" w:space="0" w:color="auto"/>
      </w:divBdr>
    </w:div>
    <w:div w:id="739208326">
      <w:bodyDiv w:val="1"/>
      <w:marLeft w:val="0"/>
      <w:marRight w:val="0"/>
      <w:marTop w:val="0"/>
      <w:marBottom w:val="0"/>
      <w:divBdr>
        <w:top w:val="none" w:sz="0" w:space="0" w:color="auto"/>
        <w:left w:val="none" w:sz="0" w:space="0" w:color="auto"/>
        <w:bottom w:val="none" w:sz="0" w:space="0" w:color="auto"/>
        <w:right w:val="none" w:sz="0" w:space="0" w:color="auto"/>
      </w:divBdr>
    </w:div>
    <w:div w:id="875191779">
      <w:bodyDiv w:val="1"/>
      <w:marLeft w:val="0"/>
      <w:marRight w:val="0"/>
      <w:marTop w:val="0"/>
      <w:marBottom w:val="0"/>
      <w:divBdr>
        <w:top w:val="none" w:sz="0" w:space="0" w:color="auto"/>
        <w:left w:val="none" w:sz="0" w:space="0" w:color="auto"/>
        <w:bottom w:val="none" w:sz="0" w:space="0" w:color="auto"/>
        <w:right w:val="none" w:sz="0" w:space="0" w:color="auto"/>
      </w:divBdr>
    </w:div>
    <w:div w:id="892617952">
      <w:bodyDiv w:val="1"/>
      <w:marLeft w:val="0"/>
      <w:marRight w:val="0"/>
      <w:marTop w:val="0"/>
      <w:marBottom w:val="0"/>
      <w:divBdr>
        <w:top w:val="none" w:sz="0" w:space="0" w:color="auto"/>
        <w:left w:val="none" w:sz="0" w:space="0" w:color="auto"/>
        <w:bottom w:val="none" w:sz="0" w:space="0" w:color="auto"/>
        <w:right w:val="none" w:sz="0" w:space="0" w:color="auto"/>
      </w:divBdr>
    </w:div>
    <w:div w:id="899097878">
      <w:bodyDiv w:val="1"/>
      <w:marLeft w:val="0"/>
      <w:marRight w:val="0"/>
      <w:marTop w:val="0"/>
      <w:marBottom w:val="0"/>
      <w:divBdr>
        <w:top w:val="none" w:sz="0" w:space="0" w:color="auto"/>
        <w:left w:val="none" w:sz="0" w:space="0" w:color="auto"/>
        <w:bottom w:val="none" w:sz="0" w:space="0" w:color="auto"/>
        <w:right w:val="none" w:sz="0" w:space="0" w:color="auto"/>
      </w:divBdr>
    </w:div>
    <w:div w:id="950815880">
      <w:bodyDiv w:val="1"/>
      <w:marLeft w:val="0"/>
      <w:marRight w:val="0"/>
      <w:marTop w:val="0"/>
      <w:marBottom w:val="0"/>
      <w:divBdr>
        <w:top w:val="none" w:sz="0" w:space="0" w:color="auto"/>
        <w:left w:val="none" w:sz="0" w:space="0" w:color="auto"/>
        <w:bottom w:val="none" w:sz="0" w:space="0" w:color="auto"/>
        <w:right w:val="none" w:sz="0" w:space="0" w:color="auto"/>
      </w:divBdr>
    </w:div>
    <w:div w:id="1031145508">
      <w:bodyDiv w:val="1"/>
      <w:marLeft w:val="0"/>
      <w:marRight w:val="0"/>
      <w:marTop w:val="0"/>
      <w:marBottom w:val="0"/>
      <w:divBdr>
        <w:top w:val="none" w:sz="0" w:space="0" w:color="auto"/>
        <w:left w:val="none" w:sz="0" w:space="0" w:color="auto"/>
        <w:bottom w:val="none" w:sz="0" w:space="0" w:color="auto"/>
        <w:right w:val="none" w:sz="0" w:space="0" w:color="auto"/>
      </w:divBdr>
    </w:div>
    <w:div w:id="1090277841">
      <w:bodyDiv w:val="1"/>
      <w:marLeft w:val="0"/>
      <w:marRight w:val="0"/>
      <w:marTop w:val="0"/>
      <w:marBottom w:val="0"/>
      <w:divBdr>
        <w:top w:val="none" w:sz="0" w:space="0" w:color="auto"/>
        <w:left w:val="none" w:sz="0" w:space="0" w:color="auto"/>
        <w:bottom w:val="none" w:sz="0" w:space="0" w:color="auto"/>
        <w:right w:val="none" w:sz="0" w:space="0" w:color="auto"/>
      </w:divBdr>
    </w:div>
    <w:div w:id="1192114278">
      <w:bodyDiv w:val="1"/>
      <w:marLeft w:val="0"/>
      <w:marRight w:val="0"/>
      <w:marTop w:val="0"/>
      <w:marBottom w:val="0"/>
      <w:divBdr>
        <w:top w:val="none" w:sz="0" w:space="0" w:color="auto"/>
        <w:left w:val="none" w:sz="0" w:space="0" w:color="auto"/>
        <w:bottom w:val="none" w:sz="0" w:space="0" w:color="auto"/>
        <w:right w:val="none" w:sz="0" w:space="0" w:color="auto"/>
      </w:divBdr>
    </w:div>
    <w:div w:id="1511141946">
      <w:bodyDiv w:val="1"/>
      <w:marLeft w:val="0"/>
      <w:marRight w:val="0"/>
      <w:marTop w:val="0"/>
      <w:marBottom w:val="0"/>
      <w:divBdr>
        <w:top w:val="none" w:sz="0" w:space="0" w:color="auto"/>
        <w:left w:val="none" w:sz="0" w:space="0" w:color="auto"/>
        <w:bottom w:val="none" w:sz="0" w:space="0" w:color="auto"/>
        <w:right w:val="none" w:sz="0" w:space="0" w:color="auto"/>
      </w:divBdr>
    </w:div>
    <w:div w:id="1570581215">
      <w:bodyDiv w:val="1"/>
      <w:marLeft w:val="0"/>
      <w:marRight w:val="0"/>
      <w:marTop w:val="0"/>
      <w:marBottom w:val="0"/>
      <w:divBdr>
        <w:top w:val="none" w:sz="0" w:space="0" w:color="auto"/>
        <w:left w:val="none" w:sz="0" w:space="0" w:color="auto"/>
        <w:bottom w:val="none" w:sz="0" w:space="0" w:color="auto"/>
        <w:right w:val="none" w:sz="0" w:space="0" w:color="auto"/>
      </w:divBdr>
    </w:div>
    <w:div w:id="1602831313">
      <w:bodyDiv w:val="1"/>
      <w:marLeft w:val="0"/>
      <w:marRight w:val="0"/>
      <w:marTop w:val="0"/>
      <w:marBottom w:val="0"/>
      <w:divBdr>
        <w:top w:val="none" w:sz="0" w:space="0" w:color="auto"/>
        <w:left w:val="none" w:sz="0" w:space="0" w:color="auto"/>
        <w:bottom w:val="none" w:sz="0" w:space="0" w:color="auto"/>
        <w:right w:val="none" w:sz="0" w:space="0" w:color="auto"/>
      </w:divBdr>
    </w:div>
    <w:div w:id="1616667123">
      <w:bodyDiv w:val="1"/>
      <w:marLeft w:val="0"/>
      <w:marRight w:val="0"/>
      <w:marTop w:val="0"/>
      <w:marBottom w:val="0"/>
      <w:divBdr>
        <w:top w:val="none" w:sz="0" w:space="0" w:color="auto"/>
        <w:left w:val="none" w:sz="0" w:space="0" w:color="auto"/>
        <w:bottom w:val="none" w:sz="0" w:space="0" w:color="auto"/>
        <w:right w:val="none" w:sz="0" w:space="0" w:color="auto"/>
      </w:divBdr>
    </w:div>
    <w:div w:id="1722944337">
      <w:bodyDiv w:val="1"/>
      <w:marLeft w:val="0"/>
      <w:marRight w:val="0"/>
      <w:marTop w:val="0"/>
      <w:marBottom w:val="0"/>
      <w:divBdr>
        <w:top w:val="none" w:sz="0" w:space="0" w:color="auto"/>
        <w:left w:val="none" w:sz="0" w:space="0" w:color="auto"/>
        <w:bottom w:val="none" w:sz="0" w:space="0" w:color="auto"/>
        <w:right w:val="none" w:sz="0" w:space="0" w:color="auto"/>
      </w:divBdr>
      <w:divsChild>
        <w:div w:id="280496635">
          <w:marLeft w:val="547"/>
          <w:marRight w:val="0"/>
          <w:marTop w:val="134"/>
          <w:marBottom w:val="0"/>
          <w:divBdr>
            <w:top w:val="none" w:sz="0" w:space="0" w:color="auto"/>
            <w:left w:val="none" w:sz="0" w:space="0" w:color="auto"/>
            <w:bottom w:val="none" w:sz="0" w:space="0" w:color="auto"/>
            <w:right w:val="none" w:sz="0" w:space="0" w:color="auto"/>
          </w:divBdr>
        </w:div>
        <w:div w:id="1149857771">
          <w:marLeft w:val="547"/>
          <w:marRight w:val="0"/>
          <w:marTop w:val="134"/>
          <w:marBottom w:val="0"/>
          <w:divBdr>
            <w:top w:val="none" w:sz="0" w:space="0" w:color="auto"/>
            <w:left w:val="none" w:sz="0" w:space="0" w:color="auto"/>
            <w:bottom w:val="none" w:sz="0" w:space="0" w:color="auto"/>
            <w:right w:val="none" w:sz="0" w:space="0" w:color="auto"/>
          </w:divBdr>
        </w:div>
      </w:divsChild>
    </w:div>
    <w:div w:id="1732996727">
      <w:bodyDiv w:val="1"/>
      <w:marLeft w:val="0"/>
      <w:marRight w:val="0"/>
      <w:marTop w:val="0"/>
      <w:marBottom w:val="0"/>
      <w:divBdr>
        <w:top w:val="none" w:sz="0" w:space="0" w:color="auto"/>
        <w:left w:val="none" w:sz="0" w:space="0" w:color="auto"/>
        <w:bottom w:val="none" w:sz="0" w:space="0" w:color="auto"/>
        <w:right w:val="none" w:sz="0" w:space="0" w:color="auto"/>
      </w:divBdr>
    </w:div>
    <w:div w:id="1746148040">
      <w:bodyDiv w:val="1"/>
      <w:marLeft w:val="0"/>
      <w:marRight w:val="0"/>
      <w:marTop w:val="0"/>
      <w:marBottom w:val="0"/>
      <w:divBdr>
        <w:top w:val="none" w:sz="0" w:space="0" w:color="auto"/>
        <w:left w:val="none" w:sz="0" w:space="0" w:color="auto"/>
        <w:bottom w:val="none" w:sz="0" w:space="0" w:color="auto"/>
        <w:right w:val="none" w:sz="0" w:space="0" w:color="auto"/>
      </w:divBdr>
    </w:div>
    <w:div w:id="1802725727">
      <w:bodyDiv w:val="1"/>
      <w:marLeft w:val="0"/>
      <w:marRight w:val="0"/>
      <w:marTop w:val="0"/>
      <w:marBottom w:val="0"/>
      <w:divBdr>
        <w:top w:val="none" w:sz="0" w:space="0" w:color="auto"/>
        <w:left w:val="none" w:sz="0" w:space="0" w:color="auto"/>
        <w:bottom w:val="none" w:sz="0" w:space="0" w:color="auto"/>
        <w:right w:val="none" w:sz="0" w:space="0" w:color="auto"/>
      </w:divBdr>
    </w:div>
    <w:div w:id="1865556789">
      <w:bodyDiv w:val="1"/>
      <w:marLeft w:val="0"/>
      <w:marRight w:val="0"/>
      <w:marTop w:val="0"/>
      <w:marBottom w:val="0"/>
      <w:divBdr>
        <w:top w:val="none" w:sz="0" w:space="0" w:color="auto"/>
        <w:left w:val="none" w:sz="0" w:space="0" w:color="auto"/>
        <w:bottom w:val="none" w:sz="0" w:space="0" w:color="auto"/>
        <w:right w:val="none" w:sz="0" w:space="0" w:color="auto"/>
      </w:divBdr>
    </w:div>
    <w:div w:id="1920407588">
      <w:bodyDiv w:val="1"/>
      <w:marLeft w:val="0"/>
      <w:marRight w:val="0"/>
      <w:marTop w:val="0"/>
      <w:marBottom w:val="0"/>
      <w:divBdr>
        <w:top w:val="none" w:sz="0" w:space="0" w:color="auto"/>
        <w:left w:val="none" w:sz="0" w:space="0" w:color="auto"/>
        <w:bottom w:val="none" w:sz="0" w:space="0" w:color="auto"/>
        <w:right w:val="none" w:sz="0" w:space="0" w:color="auto"/>
      </w:divBdr>
    </w:div>
    <w:div w:id="1928802408">
      <w:bodyDiv w:val="1"/>
      <w:marLeft w:val="0"/>
      <w:marRight w:val="0"/>
      <w:marTop w:val="0"/>
      <w:marBottom w:val="0"/>
      <w:divBdr>
        <w:top w:val="none" w:sz="0" w:space="0" w:color="auto"/>
        <w:left w:val="none" w:sz="0" w:space="0" w:color="auto"/>
        <w:bottom w:val="none" w:sz="0" w:space="0" w:color="auto"/>
        <w:right w:val="none" w:sz="0" w:space="0" w:color="auto"/>
      </w:divBdr>
    </w:div>
    <w:div w:id="1970041461">
      <w:bodyDiv w:val="1"/>
      <w:marLeft w:val="0"/>
      <w:marRight w:val="0"/>
      <w:marTop w:val="0"/>
      <w:marBottom w:val="0"/>
      <w:divBdr>
        <w:top w:val="none" w:sz="0" w:space="0" w:color="auto"/>
        <w:left w:val="none" w:sz="0" w:space="0" w:color="auto"/>
        <w:bottom w:val="none" w:sz="0" w:space="0" w:color="auto"/>
        <w:right w:val="none" w:sz="0" w:space="0" w:color="auto"/>
      </w:divBdr>
      <w:divsChild>
        <w:div w:id="349140398">
          <w:marLeft w:val="547"/>
          <w:marRight w:val="0"/>
          <w:marTop w:val="106"/>
          <w:marBottom w:val="0"/>
          <w:divBdr>
            <w:top w:val="none" w:sz="0" w:space="0" w:color="auto"/>
            <w:left w:val="none" w:sz="0" w:space="0" w:color="auto"/>
            <w:bottom w:val="none" w:sz="0" w:space="0" w:color="auto"/>
            <w:right w:val="none" w:sz="0" w:space="0" w:color="auto"/>
          </w:divBdr>
        </w:div>
        <w:div w:id="518736367">
          <w:marLeft w:val="1166"/>
          <w:marRight w:val="0"/>
          <w:marTop w:val="106"/>
          <w:marBottom w:val="0"/>
          <w:divBdr>
            <w:top w:val="none" w:sz="0" w:space="0" w:color="auto"/>
            <w:left w:val="none" w:sz="0" w:space="0" w:color="auto"/>
            <w:bottom w:val="none" w:sz="0" w:space="0" w:color="auto"/>
            <w:right w:val="none" w:sz="0" w:space="0" w:color="auto"/>
          </w:divBdr>
        </w:div>
        <w:div w:id="1184979279">
          <w:marLeft w:val="1166"/>
          <w:marRight w:val="0"/>
          <w:marTop w:val="106"/>
          <w:marBottom w:val="0"/>
          <w:divBdr>
            <w:top w:val="none" w:sz="0" w:space="0" w:color="auto"/>
            <w:left w:val="none" w:sz="0" w:space="0" w:color="auto"/>
            <w:bottom w:val="none" w:sz="0" w:space="0" w:color="auto"/>
            <w:right w:val="none" w:sz="0" w:space="0" w:color="auto"/>
          </w:divBdr>
        </w:div>
        <w:div w:id="1782188178">
          <w:marLeft w:val="547"/>
          <w:marRight w:val="0"/>
          <w:marTop w:val="106"/>
          <w:marBottom w:val="0"/>
          <w:divBdr>
            <w:top w:val="none" w:sz="0" w:space="0" w:color="auto"/>
            <w:left w:val="none" w:sz="0" w:space="0" w:color="auto"/>
            <w:bottom w:val="none" w:sz="0" w:space="0" w:color="auto"/>
            <w:right w:val="none" w:sz="0" w:space="0" w:color="auto"/>
          </w:divBdr>
        </w:div>
        <w:div w:id="1825585225">
          <w:marLeft w:val="547"/>
          <w:marRight w:val="0"/>
          <w:marTop w:val="106"/>
          <w:marBottom w:val="0"/>
          <w:divBdr>
            <w:top w:val="none" w:sz="0" w:space="0" w:color="auto"/>
            <w:left w:val="none" w:sz="0" w:space="0" w:color="auto"/>
            <w:bottom w:val="none" w:sz="0" w:space="0" w:color="auto"/>
            <w:right w:val="none" w:sz="0" w:space="0" w:color="auto"/>
          </w:divBdr>
        </w:div>
      </w:divsChild>
    </w:div>
    <w:div w:id="1991518368">
      <w:bodyDiv w:val="1"/>
      <w:marLeft w:val="0"/>
      <w:marRight w:val="0"/>
      <w:marTop w:val="0"/>
      <w:marBottom w:val="0"/>
      <w:divBdr>
        <w:top w:val="none" w:sz="0" w:space="0" w:color="auto"/>
        <w:left w:val="none" w:sz="0" w:space="0" w:color="auto"/>
        <w:bottom w:val="none" w:sz="0" w:space="0" w:color="auto"/>
        <w:right w:val="none" w:sz="0" w:space="0" w:color="auto"/>
      </w:divBdr>
    </w:div>
    <w:div w:id="2021547778">
      <w:bodyDiv w:val="1"/>
      <w:marLeft w:val="0"/>
      <w:marRight w:val="0"/>
      <w:marTop w:val="0"/>
      <w:marBottom w:val="0"/>
      <w:divBdr>
        <w:top w:val="none" w:sz="0" w:space="0" w:color="auto"/>
        <w:left w:val="none" w:sz="0" w:space="0" w:color="auto"/>
        <w:bottom w:val="none" w:sz="0" w:space="0" w:color="auto"/>
        <w:right w:val="none" w:sz="0" w:space="0" w:color="auto"/>
      </w:divBdr>
    </w:div>
    <w:div w:id="20747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the-london-bullion-marke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12020\AppData\Local\Microsoft\Windows\Temporary%20Internet%20Files\Content.Outlook\O8GMBLUV\ETF%20yearly%20-%20Adr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ropbox\Dropbox\GoldIS%20Project\Global%20Trends\Edwina%20Chai%20Gold%20Deman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wina\Documents\Uni\1.%20Thesis\pric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ropbox\Dropbox\GoldIS%20Project\goldetfvolume\Trading%20volum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12020\Documents\Research\Honours\Edwina\Gold%20spot%20trad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12020.old\Documents\Research\Adrian\Gold%20Price%20Discovery\WP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12020.ADSROOT\AppData\Local\Microsoft\Windows\Temporary%20Internet%20Files\Content.Outlook\M9T0T85O\Long%20memory%20test%2015%2003%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'ETF yearly'!$B$1</c:f>
              <c:strCache>
                <c:ptCount val="1"/>
                <c:pt idx="0">
                  <c:v>Asia</c:v>
                </c:pt>
              </c:strCache>
            </c:strRef>
          </c:tx>
          <c:spPr>
            <a:solidFill>
              <a:schemeClr val="accent6">
                <a:lumMod val="75000"/>
              </a:schemeClr>
            </a:solidFill>
          </c:spPr>
          <c:invertIfNegative val="0"/>
          <c:cat>
            <c:numRef>
              <c:f>'ETF yearly'!$A$2:$A$12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'ETF yearly'!$B$2:$B$12</c:f>
              <c:numCache>
                <c:formatCode>General</c:formatCode>
                <c:ptCount val="11"/>
                <c:pt idx="0">
                  <c:v>0</c:v>
                </c:pt>
                <c:pt idx="1">
                  <c:v>4.1505249999999865E-3</c:v>
                </c:pt>
                <c:pt idx="2">
                  <c:v>3.4289630000000214E-3</c:v>
                </c:pt>
                <c:pt idx="3">
                  <c:v>1.3922220000000104E-3</c:v>
                </c:pt>
                <c:pt idx="4">
                  <c:v>1.8793850000000134E-3</c:v>
                </c:pt>
                <c:pt idx="5">
                  <c:v>1.6201227000000061E-2</c:v>
                </c:pt>
                <c:pt idx="6">
                  <c:v>5.4478571000000267E-2</c:v>
                </c:pt>
                <c:pt idx="7">
                  <c:v>4.4679424000000113E-2</c:v>
                </c:pt>
                <c:pt idx="8">
                  <c:v>4.7423949999999999E-2</c:v>
                </c:pt>
                <c:pt idx="9">
                  <c:v>1.8688816690000001</c:v>
                </c:pt>
                <c:pt idx="10">
                  <c:v>0.59966148499999949</c:v>
                </c:pt>
              </c:numCache>
            </c:numRef>
          </c:val>
        </c:ser>
        <c:ser>
          <c:idx val="2"/>
          <c:order val="1"/>
          <c:tx>
            <c:strRef>
              <c:f>'ETF yearly'!$C$1</c:f>
              <c:strCache>
                <c:ptCount val="1"/>
                <c:pt idx="0">
                  <c:v>Europe</c:v>
                </c:pt>
              </c:strCache>
            </c:strRef>
          </c:tx>
          <c:spPr>
            <a:solidFill>
              <a:srgbClr val="FF0000"/>
            </a:solidFill>
          </c:spPr>
          <c:invertIfNegative val="0"/>
          <c:cat>
            <c:numRef>
              <c:f>'ETF yearly'!$A$2:$A$12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'ETF yearly'!$C$2:$C$12</c:f>
              <c:numCache>
                <c:formatCode>General</c:formatCode>
                <c:ptCount val="11"/>
                <c:pt idx="0">
                  <c:v>0</c:v>
                </c:pt>
                <c:pt idx="1">
                  <c:v>0</c:v>
                </c:pt>
                <c:pt idx="2">
                  <c:v>0</c:v>
                </c:pt>
                <c:pt idx="3">
                  <c:v>0</c:v>
                </c:pt>
                <c:pt idx="4">
                  <c:v>3.0407000000000251E-3</c:v>
                </c:pt>
                <c:pt idx="5">
                  <c:v>3.6640100000000296E-3</c:v>
                </c:pt>
                <c:pt idx="6">
                  <c:v>2.0444225000000052E-2</c:v>
                </c:pt>
                <c:pt idx="7">
                  <c:v>3.149310500000025E-2</c:v>
                </c:pt>
                <c:pt idx="8">
                  <c:v>4.4975982999999997E-2</c:v>
                </c:pt>
                <c:pt idx="9">
                  <c:v>7.6543308999999976E-2</c:v>
                </c:pt>
                <c:pt idx="10">
                  <c:v>0.12719087099999987</c:v>
                </c:pt>
              </c:numCache>
            </c:numRef>
          </c:val>
        </c:ser>
        <c:ser>
          <c:idx val="3"/>
          <c:order val="2"/>
          <c:tx>
            <c:strRef>
              <c:f>'ETF yearly'!$D$1</c:f>
              <c:strCache>
                <c:ptCount val="1"/>
                <c:pt idx="0">
                  <c:v>US</c:v>
                </c:pt>
              </c:strCache>
            </c:strRef>
          </c:tx>
          <c:spPr>
            <a:solidFill>
              <a:srgbClr val="00B0F0"/>
            </a:solidFill>
          </c:spPr>
          <c:invertIfNegative val="0"/>
          <c:cat>
            <c:numRef>
              <c:f>'ETF yearly'!$A$2:$A$12</c:f>
              <c:numCache>
                <c:formatCode>General</c:formatCode>
                <c:ptCount val="11"/>
                <c:pt idx="0">
                  <c:v>2002</c:v>
                </c:pt>
                <c:pt idx="1">
                  <c:v>2003</c:v>
                </c:pt>
                <c:pt idx="2">
                  <c:v>2004</c:v>
                </c:pt>
                <c:pt idx="3">
                  <c:v>2005</c:v>
                </c:pt>
                <c:pt idx="4">
                  <c:v>2006</c:v>
                </c:pt>
                <c:pt idx="5">
                  <c:v>2007</c:v>
                </c:pt>
                <c:pt idx="6">
                  <c:v>2008</c:v>
                </c:pt>
                <c:pt idx="7">
                  <c:v>2009</c:v>
                </c:pt>
                <c:pt idx="8">
                  <c:v>2010</c:v>
                </c:pt>
                <c:pt idx="9">
                  <c:v>2011</c:v>
                </c:pt>
                <c:pt idx="10">
                  <c:v>2012</c:v>
                </c:pt>
              </c:numCache>
            </c:numRef>
          </c:cat>
          <c:val>
            <c:numRef>
              <c:f>'ETF yearly'!$D$2:$D$12</c:f>
              <c:numCache>
                <c:formatCode>General</c:formatCode>
                <c:ptCount val="11"/>
                <c:pt idx="0">
                  <c:v>0</c:v>
                </c:pt>
                <c:pt idx="1">
                  <c:v>0</c:v>
                </c:pt>
                <c:pt idx="2">
                  <c:v>0.11044759999999949</c:v>
                </c:pt>
                <c:pt idx="3">
                  <c:v>0.67967130000000586</c:v>
                </c:pt>
                <c:pt idx="4">
                  <c:v>2.0018366000000003</c:v>
                </c:pt>
                <c:pt idx="5">
                  <c:v>2.2499395970000169</c:v>
                </c:pt>
                <c:pt idx="6">
                  <c:v>6.1229450689999387</c:v>
                </c:pt>
                <c:pt idx="7">
                  <c:v>8.2157129400000013</c:v>
                </c:pt>
                <c:pt idx="8">
                  <c:v>8.0835768490000248</c:v>
                </c:pt>
                <c:pt idx="9">
                  <c:v>9.8565841430000773</c:v>
                </c:pt>
                <c:pt idx="10">
                  <c:v>7.8802453029999997</c:v>
                </c:pt>
              </c:numCache>
            </c:numRef>
          </c:val>
        </c:ser>
        <c:dLbls>
          <c:showLegendKey val="0"/>
          <c:showVal val="0"/>
          <c:showCatName val="0"/>
          <c:showSerName val="0"/>
          <c:showPercent val="0"/>
          <c:showBubbleSize val="0"/>
        </c:dLbls>
        <c:gapWidth val="150"/>
        <c:overlap val="100"/>
        <c:axId val="47939584"/>
        <c:axId val="47941504"/>
      </c:barChart>
      <c:catAx>
        <c:axId val="47939584"/>
        <c:scaling>
          <c:orientation val="minMax"/>
        </c:scaling>
        <c:delete val="0"/>
        <c:axPos val="b"/>
        <c:title>
          <c:tx>
            <c:rich>
              <a:bodyPr/>
              <a:lstStyle/>
              <a:p>
                <a:pPr>
                  <a:defRPr/>
                </a:pPr>
                <a:r>
                  <a:rPr lang="en-AU"/>
                  <a:t>Year</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7941504"/>
        <c:crosses val="autoZero"/>
        <c:auto val="1"/>
        <c:lblAlgn val="ctr"/>
        <c:lblOffset val="100"/>
        <c:noMultiLvlLbl val="0"/>
      </c:catAx>
      <c:valAx>
        <c:axId val="47941504"/>
        <c:scaling>
          <c:orientation val="minMax"/>
        </c:scaling>
        <c:delete val="0"/>
        <c:axPos val="l"/>
        <c:title>
          <c:tx>
            <c:rich>
              <a:bodyPr rot="-5400000" vert="horz"/>
              <a:lstStyle/>
              <a:p>
                <a:pPr>
                  <a:defRPr/>
                </a:pPr>
                <a:r>
                  <a:rPr lang="en-AU"/>
                  <a:t>Trading Volume ($ Billions)</a:t>
                </a:r>
              </a:p>
            </c:rich>
          </c:tx>
          <c:overlay val="0"/>
        </c:title>
        <c:numFmt formatCode="#,##0"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47939584"/>
        <c:crosses val="autoZero"/>
        <c:crossBetween val="between"/>
      </c:valAx>
    </c:plotArea>
    <c:legend>
      <c:legendPos val="t"/>
      <c:overlay val="1"/>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Total!$B$25</c:f>
              <c:strCache>
                <c:ptCount val="1"/>
                <c:pt idx="0">
                  <c:v>Americas</c:v>
                </c:pt>
              </c:strCache>
            </c:strRef>
          </c:tx>
          <c:spPr>
            <a:solidFill>
              <a:schemeClr val="accent1">
                <a:lumMod val="50000"/>
              </a:schemeClr>
            </a:solidFill>
          </c:spPr>
          <c:invertIfNegative val="0"/>
          <c:cat>
            <c:numRef>
              <c:f>Total!$C$23:$R$23</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Total!$C$25:$R$25</c:f>
              <c:numCache>
                <c:formatCode>_(* #,##0.00_);_(* \(#,##0.00\);_(* "-"??_);_(@_)</c:formatCode>
                <c:ptCount val="16"/>
                <c:pt idx="0">
                  <c:v>461.8</c:v>
                </c:pt>
                <c:pt idx="1">
                  <c:v>528.30000000000007</c:v>
                </c:pt>
                <c:pt idx="2">
                  <c:v>554.4</c:v>
                </c:pt>
                <c:pt idx="3">
                  <c:v>513.1</c:v>
                </c:pt>
                <c:pt idx="4">
                  <c:v>510.8</c:v>
                </c:pt>
                <c:pt idx="5">
                  <c:v>496</c:v>
                </c:pt>
                <c:pt idx="6">
                  <c:v>375.4</c:v>
                </c:pt>
                <c:pt idx="7">
                  <c:v>372.1</c:v>
                </c:pt>
                <c:pt idx="8">
                  <c:v>377.3</c:v>
                </c:pt>
                <c:pt idx="9">
                  <c:v>336.09999999999923</c:v>
                </c:pt>
                <c:pt idx="10">
                  <c:v>274.5</c:v>
                </c:pt>
                <c:pt idx="11">
                  <c:v>256.89999999999969</c:v>
                </c:pt>
                <c:pt idx="12">
                  <c:v>264.60000000000002</c:v>
                </c:pt>
                <c:pt idx="13">
                  <c:v>233.3</c:v>
                </c:pt>
                <c:pt idx="14">
                  <c:v>199.5</c:v>
                </c:pt>
                <c:pt idx="15">
                  <c:v>161.80000000000001</c:v>
                </c:pt>
              </c:numCache>
            </c:numRef>
          </c:val>
        </c:ser>
        <c:ser>
          <c:idx val="2"/>
          <c:order val="1"/>
          <c:tx>
            <c:strRef>
              <c:f>Total!$B$27</c:f>
              <c:strCache>
                <c:ptCount val="1"/>
                <c:pt idx="0">
                  <c:v>Greater China</c:v>
                </c:pt>
              </c:strCache>
            </c:strRef>
          </c:tx>
          <c:spPr>
            <a:solidFill>
              <a:srgbClr val="FF0000"/>
            </a:solidFill>
          </c:spPr>
          <c:invertIfNegative val="0"/>
          <c:cat>
            <c:numRef>
              <c:f>Total!$C$23:$R$23</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Total!$C$27:$R$27</c:f>
              <c:numCache>
                <c:formatCode>_(* #,##0.00_);_(* \(#,##0.00\);_(* "-"??_);_(@_)</c:formatCode>
                <c:ptCount val="16"/>
                <c:pt idx="0">
                  <c:v>529.6</c:v>
                </c:pt>
                <c:pt idx="1">
                  <c:v>367.30000000000007</c:v>
                </c:pt>
                <c:pt idx="2">
                  <c:v>308.60000000000002</c:v>
                </c:pt>
                <c:pt idx="3">
                  <c:v>292.59999999999923</c:v>
                </c:pt>
                <c:pt idx="4">
                  <c:v>269.7</c:v>
                </c:pt>
                <c:pt idx="5">
                  <c:v>237.79999999999998</c:v>
                </c:pt>
                <c:pt idx="6">
                  <c:v>238.3</c:v>
                </c:pt>
                <c:pt idx="7">
                  <c:v>270.8</c:v>
                </c:pt>
                <c:pt idx="8">
                  <c:v>292.60000000000002</c:v>
                </c:pt>
                <c:pt idx="9">
                  <c:v>294.60000000000002</c:v>
                </c:pt>
                <c:pt idx="10">
                  <c:v>365.09999999999923</c:v>
                </c:pt>
                <c:pt idx="11">
                  <c:v>432.1</c:v>
                </c:pt>
                <c:pt idx="12">
                  <c:v>472.3</c:v>
                </c:pt>
                <c:pt idx="13">
                  <c:v>607.5</c:v>
                </c:pt>
                <c:pt idx="14">
                  <c:v>821.59999999999991</c:v>
                </c:pt>
                <c:pt idx="15">
                  <c:v>817.5</c:v>
                </c:pt>
              </c:numCache>
            </c:numRef>
          </c:val>
        </c:ser>
        <c:ser>
          <c:idx val="1"/>
          <c:order val="2"/>
          <c:tx>
            <c:strRef>
              <c:f>Total!$B$26</c:f>
              <c:strCache>
                <c:ptCount val="1"/>
                <c:pt idx="0">
                  <c:v>India</c:v>
                </c:pt>
              </c:strCache>
            </c:strRef>
          </c:tx>
          <c:spPr>
            <a:solidFill>
              <a:schemeClr val="accent6">
                <a:lumMod val="50000"/>
              </a:schemeClr>
            </a:solidFill>
          </c:spPr>
          <c:invertIfNegative val="0"/>
          <c:cat>
            <c:numRef>
              <c:f>Total!$C$23:$R$23</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Total!$C$26:$R$26</c:f>
              <c:numCache>
                <c:formatCode>_(* #,##0.00_);_(* \(#,##0.00\);_(* "-"??_);_(@_)</c:formatCode>
                <c:ptCount val="16"/>
                <c:pt idx="0">
                  <c:v>688</c:v>
                </c:pt>
                <c:pt idx="1">
                  <c:v>774.40000000000009</c:v>
                </c:pt>
                <c:pt idx="2">
                  <c:v>730.7</c:v>
                </c:pt>
                <c:pt idx="3">
                  <c:v>723</c:v>
                </c:pt>
                <c:pt idx="4">
                  <c:v>726.7</c:v>
                </c:pt>
                <c:pt idx="5">
                  <c:v>575.70000000000005</c:v>
                </c:pt>
                <c:pt idx="6">
                  <c:v>565</c:v>
                </c:pt>
                <c:pt idx="7">
                  <c:v>662.5</c:v>
                </c:pt>
                <c:pt idx="8">
                  <c:v>721.6</c:v>
                </c:pt>
                <c:pt idx="9">
                  <c:v>691.1</c:v>
                </c:pt>
                <c:pt idx="10">
                  <c:v>769.2</c:v>
                </c:pt>
                <c:pt idx="11">
                  <c:v>660.2</c:v>
                </c:pt>
                <c:pt idx="12">
                  <c:v>578.5</c:v>
                </c:pt>
                <c:pt idx="13">
                  <c:v>963.1</c:v>
                </c:pt>
                <c:pt idx="14">
                  <c:v>986.3</c:v>
                </c:pt>
                <c:pt idx="15">
                  <c:v>864.2</c:v>
                </c:pt>
              </c:numCache>
            </c:numRef>
          </c:val>
        </c:ser>
        <c:ser>
          <c:idx val="0"/>
          <c:order val="3"/>
          <c:tx>
            <c:strRef>
              <c:f>Total!$B$24</c:f>
              <c:strCache>
                <c:ptCount val="1"/>
                <c:pt idx="0">
                  <c:v>Other</c:v>
                </c:pt>
              </c:strCache>
            </c:strRef>
          </c:tx>
          <c:spPr>
            <a:solidFill>
              <a:schemeClr val="bg1">
                <a:lumMod val="75000"/>
              </a:schemeClr>
            </a:solidFill>
          </c:spPr>
          <c:invertIfNegative val="0"/>
          <c:cat>
            <c:numRef>
              <c:f>Total!$C$23:$R$23</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Total!$C$24:$R$24</c:f>
              <c:numCache>
                <c:formatCode>_(* #,##0.00_);_(* \(#,##0.00\);_(* "-"??_);_(@_)</c:formatCode>
                <c:ptCount val="16"/>
                <c:pt idx="0">
                  <c:v>2090.7000000000003</c:v>
                </c:pt>
                <c:pt idx="1">
                  <c:v>1781.1000000000004</c:v>
                </c:pt>
                <c:pt idx="2">
                  <c:v>1917</c:v>
                </c:pt>
                <c:pt idx="3">
                  <c:v>1814.4000000000003</c:v>
                </c:pt>
                <c:pt idx="4">
                  <c:v>1905.9999999999995</c:v>
                </c:pt>
                <c:pt idx="5">
                  <c:v>1757.8999999999996</c:v>
                </c:pt>
                <c:pt idx="6">
                  <c:v>950.8</c:v>
                </c:pt>
                <c:pt idx="7">
                  <c:v>999.19000000000051</c:v>
                </c:pt>
                <c:pt idx="8">
                  <c:v>1700.6</c:v>
                </c:pt>
                <c:pt idx="9">
                  <c:v>1317</c:v>
                </c:pt>
                <c:pt idx="10">
                  <c:v>1402.1999999999998</c:v>
                </c:pt>
                <c:pt idx="11">
                  <c:v>1557.8000000000002</c:v>
                </c:pt>
                <c:pt idx="12">
                  <c:v>1188</c:v>
                </c:pt>
                <c:pt idx="13">
                  <c:v>1251.3</c:v>
                </c:pt>
                <c:pt idx="14">
                  <c:v>1480.1</c:v>
                </c:pt>
                <c:pt idx="15">
                  <c:v>1320.1999999999998</c:v>
                </c:pt>
              </c:numCache>
            </c:numRef>
          </c:val>
        </c:ser>
        <c:dLbls>
          <c:showLegendKey val="0"/>
          <c:showVal val="0"/>
          <c:showCatName val="0"/>
          <c:showSerName val="0"/>
          <c:showPercent val="0"/>
          <c:showBubbleSize val="0"/>
        </c:dLbls>
        <c:gapWidth val="150"/>
        <c:overlap val="100"/>
        <c:axId val="48119808"/>
        <c:axId val="48121728"/>
      </c:barChart>
      <c:catAx>
        <c:axId val="48119808"/>
        <c:scaling>
          <c:orientation val="minMax"/>
        </c:scaling>
        <c:delete val="0"/>
        <c:axPos val="b"/>
        <c:title>
          <c:tx>
            <c:rich>
              <a:bodyPr/>
              <a:lstStyle/>
              <a:p>
                <a:pPr>
                  <a:defRPr/>
                </a:pPr>
                <a:r>
                  <a:rPr lang="en-AU" sz="1000" b="0">
                    <a:latin typeface="Times New Roman" pitchFamily="18" charset="0"/>
                    <a:cs typeface="Times New Roman" pitchFamily="18" charset="0"/>
                  </a:rPr>
                  <a:t>Year</a:t>
                </a:r>
              </a:p>
            </c:rich>
          </c:tx>
          <c:overlay val="0"/>
        </c:title>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48121728"/>
        <c:crosses val="autoZero"/>
        <c:auto val="1"/>
        <c:lblAlgn val="ctr"/>
        <c:lblOffset val="100"/>
        <c:noMultiLvlLbl val="0"/>
      </c:catAx>
      <c:valAx>
        <c:axId val="48121728"/>
        <c:scaling>
          <c:orientation val="minMax"/>
        </c:scaling>
        <c:delete val="0"/>
        <c:axPos val="l"/>
        <c:title>
          <c:tx>
            <c:rich>
              <a:bodyPr rot="-5400000" vert="horz"/>
              <a:lstStyle/>
              <a:p>
                <a:pPr>
                  <a:defRPr/>
                </a:pPr>
                <a:r>
                  <a:rPr lang="en-AU" sz="1000">
                    <a:latin typeface="Times New Roman" pitchFamily="18" charset="0"/>
                    <a:cs typeface="Times New Roman" pitchFamily="18" charset="0"/>
                  </a:rPr>
                  <a:t>Tons</a:t>
                </a:r>
              </a:p>
            </c:rich>
          </c:tx>
          <c:overlay val="0"/>
        </c:title>
        <c:numFmt formatCode="#,##0"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48119808"/>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39421629667363"/>
          <c:y val="0.14749438821904137"/>
          <c:w val="0.76190109410535856"/>
          <c:h val="0.65643012312059146"/>
        </c:manualLayout>
      </c:layout>
      <c:lineChart>
        <c:grouping val="standard"/>
        <c:varyColors val="0"/>
        <c:ser>
          <c:idx val="0"/>
          <c:order val="0"/>
          <c:tx>
            <c:v>Gold Price</c:v>
          </c:tx>
          <c:spPr>
            <a:ln w="25400">
              <a:solidFill>
                <a:srgbClr val="FF0000"/>
              </a:solidFill>
            </a:ln>
          </c:spPr>
          <c:marker>
            <c:symbol val="none"/>
          </c:marker>
          <c:cat>
            <c:numRef>
              <c:f>Sheet1!$G$4:$G$19</c:f>
              <c:numCache>
                <c:formatCode>d/mm/yyyy</c:formatCode>
                <c:ptCount val="16"/>
                <c:pt idx="0">
                  <c:v>35431</c:v>
                </c:pt>
                <c:pt idx="1">
                  <c:v>35796</c:v>
                </c:pt>
                <c:pt idx="2">
                  <c:v>36161</c:v>
                </c:pt>
                <c:pt idx="3">
                  <c:v>36526</c:v>
                </c:pt>
                <c:pt idx="4">
                  <c:v>36892</c:v>
                </c:pt>
                <c:pt idx="5">
                  <c:v>37257</c:v>
                </c:pt>
                <c:pt idx="6">
                  <c:v>37622</c:v>
                </c:pt>
                <c:pt idx="7">
                  <c:v>37987</c:v>
                </c:pt>
                <c:pt idx="8">
                  <c:v>38353</c:v>
                </c:pt>
                <c:pt idx="9">
                  <c:v>38718</c:v>
                </c:pt>
                <c:pt idx="10">
                  <c:v>39083</c:v>
                </c:pt>
                <c:pt idx="11">
                  <c:v>39448</c:v>
                </c:pt>
                <c:pt idx="12">
                  <c:v>39814</c:v>
                </c:pt>
                <c:pt idx="13">
                  <c:v>40179</c:v>
                </c:pt>
                <c:pt idx="14">
                  <c:v>40544</c:v>
                </c:pt>
                <c:pt idx="15">
                  <c:v>40909</c:v>
                </c:pt>
              </c:numCache>
            </c:numRef>
          </c:cat>
          <c:val>
            <c:numRef>
              <c:f>Sheet1!$H$4:$H$19</c:f>
              <c:numCache>
                <c:formatCode>General</c:formatCode>
                <c:ptCount val="16"/>
                <c:pt idx="0">
                  <c:v>331.09583333333438</c:v>
                </c:pt>
                <c:pt idx="1">
                  <c:v>294.16083333334728</c:v>
                </c:pt>
                <c:pt idx="2">
                  <c:v>278.76833333333337</c:v>
                </c:pt>
                <c:pt idx="3">
                  <c:v>279.03166666666658</c:v>
                </c:pt>
                <c:pt idx="4">
                  <c:v>270.98916666666668</c:v>
                </c:pt>
                <c:pt idx="5">
                  <c:v>309.97166666666675</c:v>
                </c:pt>
                <c:pt idx="6">
                  <c:v>363.50916666666672</c:v>
                </c:pt>
                <c:pt idx="7">
                  <c:v>409.21250000000003</c:v>
                </c:pt>
                <c:pt idx="8">
                  <c:v>444.84333333333478</c:v>
                </c:pt>
                <c:pt idx="9">
                  <c:v>604.33583333333343</c:v>
                </c:pt>
                <c:pt idx="10">
                  <c:v>696.72083333333353</c:v>
                </c:pt>
                <c:pt idx="11">
                  <c:v>871.70749999999998</c:v>
                </c:pt>
                <c:pt idx="12">
                  <c:v>972.96666666666658</c:v>
                </c:pt>
                <c:pt idx="13">
                  <c:v>1224.6641666666658</c:v>
                </c:pt>
                <c:pt idx="14">
                  <c:v>1568.3066666666953</c:v>
                </c:pt>
                <c:pt idx="15">
                  <c:v>1668.8133333332996</c:v>
                </c:pt>
              </c:numCache>
            </c:numRef>
          </c:val>
          <c:smooth val="0"/>
        </c:ser>
        <c:dLbls>
          <c:showLegendKey val="0"/>
          <c:showVal val="0"/>
          <c:showCatName val="0"/>
          <c:showSerName val="0"/>
          <c:showPercent val="0"/>
          <c:showBubbleSize val="0"/>
        </c:dLbls>
        <c:marker val="1"/>
        <c:smooth val="0"/>
        <c:axId val="111280896"/>
        <c:axId val="111282816"/>
      </c:lineChart>
      <c:lineChart>
        <c:grouping val="standard"/>
        <c:varyColors val="0"/>
        <c:ser>
          <c:idx val="1"/>
          <c:order val="1"/>
          <c:tx>
            <c:v>Jewellery Demand</c:v>
          </c:tx>
          <c:spPr>
            <a:ln w="19050">
              <a:solidFill>
                <a:srgbClr val="FFC000"/>
              </a:solidFill>
            </a:ln>
          </c:spPr>
          <c:marker>
            <c:symbol val="none"/>
          </c:marker>
          <c:cat>
            <c:numRef>
              <c:f>Sheet1!$G$4:$G$19</c:f>
              <c:numCache>
                <c:formatCode>d/mm/yyyy</c:formatCode>
                <c:ptCount val="16"/>
                <c:pt idx="0">
                  <c:v>35431</c:v>
                </c:pt>
                <c:pt idx="1">
                  <c:v>35796</c:v>
                </c:pt>
                <c:pt idx="2">
                  <c:v>36161</c:v>
                </c:pt>
                <c:pt idx="3">
                  <c:v>36526</c:v>
                </c:pt>
                <c:pt idx="4">
                  <c:v>36892</c:v>
                </c:pt>
                <c:pt idx="5">
                  <c:v>37257</c:v>
                </c:pt>
                <c:pt idx="6">
                  <c:v>37622</c:v>
                </c:pt>
                <c:pt idx="7">
                  <c:v>37987</c:v>
                </c:pt>
                <c:pt idx="8">
                  <c:v>38353</c:v>
                </c:pt>
                <c:pt idx="9">
                  <c:v>38718</c:v>
                </c:pt>
                <c:pt idx="10">
                  <c:v>39083</c:v>
                </c:pt>
                <c:pt idx="11">
                  <c:v>39448</c:v>
                </c:pt>
                <c:pt idx="12">
                  <c:v>39814</c:v>
                </c:pt>
                <c:pt idx="13">
                  <c:v>40179</c:v>
                </c:pt>
                <c:pt idx="14">
                  <c:v>40544</c:v>
                </c:pt>
                <c:pt idx="15">
                  <c:v>40909</c:v>
                </c:pt>
              </c:numCache>
            </c:numRef>
          </c:cat>
          <c:val>
            <c:numRef>
              <c:f>Sheet1!$I$4:$I$19</c:f>
              <c:numCache>
                <c:formatCode>0%</c:formatCode>
                <c:ptCount val="16"/>
                <c:pt idx="0">
                  <c:v>0.14672304439746919</c:v>
                </c:pt>
                <c:pt idx="1">
                  <c:v>0.10853371051391154</c:v>
                </c:pt>
                <c:pt idx="2">
                  <c:v>9.7143763884481121E-2</c:v>
                </c:pt>
                <c:pt idx="3">
                  <c:v>8.8150379715061011E-2</c:v>
                </c:pt>
                <c:pt idx="4">
                  <c:v>8.6716710182767665E-2</c:v>
                </c:pt>
                <c:pt idx="5">
                  <c:v>8.6808229728243244E-2</c:v>
                </c:pt>
                <c:pt idx="6">
                  <c:v>0.12485811577752555</c:v>
                </c:pt>
                <c:pt idx="7">
                  <c:v>0.12878550191983018</c:v>
                </c:pt>
                <c:pt idx="8">
                  <c:v>0.10272528935399475</c:v>
                </c:pt>
                <c:pt idx="9">
                  <c:v>0.12148749393444579</c:v>
                </c:pt>
                <c:pt idx="10">
                  <c:v>0.13791810721872791</c:v>
                </c:pt>
                <c:pt idx="11">
                  <c:v>0.16536464424381317</c:v>
                </c:pt>
                <c:pt idx="12">
                  <c:v>0.21414370917353026</c:v>
                </c:pt>
                <c:pt idx="13">
                  <c:v>0.20790252900344638</c:v>
                </c:pt>
                <c:pt idx="14">
                  <c:v>0.2787384006896203</c:v>
                </c:pt>
                <c:pt idx="15">
                  <c:v>0.28508542081542831</c:v>
                </c:pt>
              </c:numCache>
            </c:numRef>
          </c:val>
          <c:smooth val="0"/>
        </c:ser>
        <c:ser>
          <c:idx val="2"/>
          <c:order val="2"/>
          <c:tx>
            <c:v>Investment Demand</c:v>
          </c:tx>
          <c:spPr>
            <a:ln w="19050">
              <a:solidFill>
                <a:schemeClr val="tx2"/>
              </a:solidFill>
            </a:ln>
          </c:spPr>
          <c:marker>
            <c:symbol val="none"/>
          </c:marker>
          <c:cat>
            <c:numRef>
              <c:f>Sheet1!$G$4:$G$19</c:f>
              <c:numCache>
                <c:formatCode>d/mm/yyyy</c:formatCode>
                <c:ptCount val="16"/>
                <c:pt idx="0">
                  <c:v>35431</c:v>
                </c:pt>
                <c:pt idx="1">
                  <c:v>35796</c:v>
                </c:pt>
                <c:pt idx="2">
                  <c:v>36161</c:v>
                </c:pt>
                <c:pt idx="3">
                  <c:v>36526</c:v>
                </c:pt>
                <c:pt idx="4">
                  <c:v>36892</c:v>
                </c:pt>
                <c:pt idx="5">
                  <c:v>37257</c:v>
                </c:pt>
                <c:pt idx="6">
                  <c:v>37622</c:v>
                </c:pt>
                <c:pt idx="7">
                  <c:v>37987</c:v>
                </c:pt>
                <c:pt idx="8">
                  <c:v>38353</c:v>
                </c:pt>
                <c:pt idx="9">
                  <c:v>38718</c:v>
                </c:pt>
                <c:pt idx="10">
                  <c:v>39083</c:v>
                </c:pt>
                <c:pt idx="11">
                  <c:v>39448</c:v>
                </c:pt>
                <c:pt idx="12">
                  <c:v>39814</c:v>
                </c:pt>
                <c:pt idx="13">
                  <c:v>40179</c:v>
                </c:pt>
                <c:pt idx="14">
                  <c:v>40544</c:v>
                </c:pt>
                <c:pt idx="15">
                  <c:v>40909</c:v>
                </c:pt>
              </c:numCache>
            </c:numRef>
          </c:cat>
          <c:val>
            <c:numRef>
              <c:f>Sheet1!$J$4:$J$19</c:f>
              <c:numCache>
                <c:formatCode>0%</c:formatCode>
                <c:ptCount val="16"/>
                <c:pt idx="0">
                  <c:v>9.5404051404922655E-2</c:v>
                </c:pt>
                <c:pt idx="1">
                  <c:v>8.1602373887240745E-2</c:v>
                </c:pt>
                <c:pt idx="2">
                  <c:v>6.9502363080346493E-3</c:v>
                </c:pt>
                <c:pt idx="3">
                  <c:v>7.4760383386581933E-2</c:v>
                </c:pt>
                <c:pt idx="4">
                  <c:v>1.1454753722794956E-2</c:v>
                </c:pt>
                <c:pt idx="5">
                  <c:v>3.2286469034341087E-3</c:v>
                </c:pt>
                <c:pt idx="6">
                  <c:v>2.6127415891195431E-2</c:v>
                </c:pt>
                <c:pt idx="7">
                  <c:v>4.1132838840188903E-2</c:v>
                </c:pt>
                <c:pt idx="8">
                  <c:v>3.8164002062919082E-2</c:v>
                </c:pt>
                <c:pt idx="9">
                  <c:v>5.1626781392847584E-2</c:v>
                </c:pt>
                <c:pt idx="10">
                  <c:v>8.2866195466731712E-2</c:v>
                </c:pt>
                <c:pt idx="11">
                  <c:v>0.1021708046275835</c:v>
                </c:pt>
                <c:pt idx="12">
                  <c:v>0.12828106070803608</c:v>
                </c:pt>
                <c:pt idx="13">
                  <c:v>0.1800824037785147</c:v>
                </c:pt>
                <c:pt idx="14">
                  <c:v>0.17942457436980336</c:v>
                </c:pt>
                <c:pt idx="15">
                  <c:v>0.21784149741139897</c:v>
                </c:pt>
              </c:numCache>
            </c:numRef>
          </c:val>
          <c:smooth val="0"/>
        </c:ser>
        <c:dLbls>
          <c:showLegendKey val="0"/>
          <c:showVal val="0"/>
          <c:showCatName val="0"/>
          <c:showSerName val="0"/>
          <c:showPercent val="0"/>
          <c:showBubbleSize val="0"/>
        </c:dLbls>
        <c:marker val="1"/>
        <c:smooth val="0"/>
        <c:axId val="111291008"/>
        <c:axId val="111289088"/>
      </c:lineChart>
      <c:dateAx>
        <c:axId val="111280896"/>
        <c:scaling>
          <c:orientation val="minMax"/>
          <c:max val="40939"/>
          <c:min val="35461"/>
        </c:scaling>
        <c:delete val="0"/>
        <c:axPos val="b"/>
        <c:title>
          <c:tx>
            <c:rich>
              <a:bodyPr/>
              <a:lstStyle/>
              <a:p>
                <a:pPr>
                  <a:defRPr/>
                </a:pPr>
                <a:r>
                  <a:rPr lang="en-US"/>
                  <a:t>Year</a:t>
                </a:r>
              </a:p>
            </c:rich>
          </c:tx>
          <c:layout>
            <c:manualLayout>
              <c:xMode val="edge"/>
              <c:yMode val="edge"/>
              <c:x val="0.4255214971943545"/>
              <c:y val="0.93208060186581942"/>
            </c:manualLayout>
          </c:layout>
          <c:overlay val="0"/>
        </c:title>
        <c:numFmt formatCode="yyyy" sourceLinked="0"/>
        <c:majorTickMark val="none"/>
        <c:minorTickMark val="none"/>
        <c:tickLblPos val="nextTo"/>
        <c:crossAx val="111282816"/>
        <c:crosses val="autoZero"/>
        <c:auto val="1"/>
        <c:lblOffset val="100"/>
        <c:baseTimeUnit val="years"/>
        <c:majorUnit val="1"/>
        <c:majorTimeUnit val="years"/>
      </c:dateAx>
      <c:valAx>
        <c:axId val="111282816"/>
        <c:scaling>
          <c:orientation val="minMax"/>
        </c:scaling>
        <c:delete val="0"/>
        <c:axPos val="l"/>
        <c:title>
          <c:tx>
            <c:rich>
              <a:bodyPr rot="-5400000" vert="horz"/>
              <a:lstStyle/>
              <a:p>
                <a:pPr>
                  <a:defRPr/>
                </a:pPr>
                <a:r>
                  <a:rPr lang="en-US"/>
                  <a:t>US$/ounce</a:t>
                </a:r>
              </a:p>
            </c:rich>
          </c:tx>
          <c:layout>
            <c:manualLayout>
              <c:xMode val="edge"/>
              <c:yMode val="edge"/>
              <c:x val="4.7599946516914084E-4"/>
              <c:y val="0.31328636552010708"/>
            </c:manualLayout>
          </c:layout>
          <c:overlay val="0"/>
        </c:title>
        <c:numFmt formatCode="#,###" sourceLinked="0"/>
        <c:majorTickMark val="none"/>
        <c:minorTickMark val="none"/>
        <c:tickLblPos val="nextTo"/>
        <c:crossAx val="111280896"/>
        <c:crosses val="autoZero"/>
        <c:crossBetween val="between"/>
      </c:valAx>
      <c:valAx>
        <c:axId val="111289088"/>
        <c:scaling>
          <c:orientation val="minMax"/>
        </c:scaling>
        <c:delete val="0"/>
        <c:axPos val="r"/>
        <c:title>
          <c:tx>
            <c:rich>
              <a:bodyPr rot="-5400000" vert="horz"/>
              <a:lstStyle/>
              <a:p>
                <a:pPr>
                  <a:defRPr/>
                </a:pPr>
                <a:r>
                  <a:rPr lang="en-US"/>
                  <a:t>% Share</a:t>
                </a:r>
              </a:p>
            </c:rich>
          </c:tx>
          <c:layout>
            <c:manualLayout>
              <c:xMode val="edge"/>
              <c:yMode val="edge"/>
              <c:x val="0.9468161607601725"/>
              <c:y val="0.33190202946346448"/>
            </c:manualLayout>
          </c:layout>
          <c:overlay val="0"/>
        </c:title>
        <c:numFmt formatCode="0%" sourceLinked="1"/>
        <c:majorTickMark val="none"/>
        <c:minorTickMark val="none"/>
        <c:tickLblPos val="nextTo"/>
        <c:crossAx val="111291008"/>
        <c:crosses val="max"/>
        <c:crossBetween val="between"/>
      </c:valAx>
      <c:dateAx>
        <c:axId val="111291008"/>
        <c:scaling>
          <c:orientation val="minMax"/>
        </c:scaling>
        <c:delete val="1"/>
        <c:axPos val="b"/>
        <c:numFmt formatCode="d/mm/yyyy" sourceLinked="1"/>
        <c:majorTickMark val="out"/>
        <c:minorTickMark val="none"/>
        <c:tickLblPos val="none"/>
        <c:crossAx val="111289088"/>
        <c:crosses val="autoZero"/>
        <c:auto val="1"/>
        <c:lblOffset val="100"/>
        <c:baseTimeUnit val="years"/>
      </c:dateAx>
    </c:plotArea>
    <c:legend>
      <c:legendPos val="t"/>
      <c:overlay val="0"/>
    </c:legend>
    <c:plotVisOnly val="1"/>
    <c:dispBlanksAs val="gap"/>
    <c:showDLblsOverMax val="0"/>
  </c:chart>
  <c:spPr>
    <a:ln>
      <a:noFill/>
    </a:ln>
  </c:spPr>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8355205599302"/>
          <c:y val="0.14740549637889713"/>
          <c:w val="0.76041545168735691"/>
          <c:h val="0.71273975772690701"/>
        </c:manualLayout>
      </c:layout>
      <c:barChart>
        <c:barDir val="col"/>
        <c:grouping val="stacked"/>
        <c:varyColors val="0"/>
        <c:ser>
          <c:idx val="0"/>
          <c:order val="1"/>
          <c:tx>
            <c:strRef>
              <c:f>'#LN00059'!$H$3</c:f>
              <c:strCache>
                <c:ptCount val="1"/>
                <c:pt idx="0">
                  <c:v>Asia</c:v>
                </c:pt>
              </c:strCache>
            </c:strRef>
          </c:tx>
          <c:spPr>
            <a:solidFill>
              <a:srgbClr val="FF0000"/>
            </a:solidFill>
            <a:ln w="22225">
              <a:noFill/>
            </a:ln>
          </c:spPr>
          <c:invertIfNegative val="0"/>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'#LN00059'!$B$22:$B$38</c:f>
              <c:numCache>
                <c:formatCode>General</c:formatCode>
                <c:ptCount val="17"/>
                <c:pt idx="0">
                  <c:v>0.18655000000000024</c:v>
                </c:pt>
                <c:pt idx="1">
                  <c:v>0.14818000000000001</c:v>
                </c:pt>
                <c:pt idx="2">
                  <c:v>0.1943</c:v>
                </c:pt>
                <c:pt idx="3">
                  <c:v>0.20361000000000001</c:v>
                </c:pt>
                <c:pt idx="4">
                  <c:v>0.17465</c:v>
                </c:pt>
                <c:pt idx="5">
                  <c:v>9.7700000000000023E-2</c:v>
                </c:pt>
                <c:pt idx="6">
                  <c:v>0.11693000000000002</c:v>
                </c:pt>
                <c:pt idx="7">
                  <c:v>0.19142000000000001</c:v>
                </c:pt>
                <c:pt idx="8">
                  <c:v>0.17280000000000001</c:v>
                </c:pt>
                <c:pt idx="9">
                  <c:v>0.21970000000000045</c:v>
                </c:pt>
                <c:pt idx="10">
                  <c:v>0.41670000000000001</c:v>
                </c:pt>
                <c:pt idx="11">
                  <c:v>1.0331599999999999</c:v>
                </c:pt>
                <c:pt idx="12">
                  <c:v>3.4724799999999925</c:v>
                </c:pt>
                <c:pt idx="13">
                  <c:v>5.1927399999999881</c:v>
                </c:pt>
                <c:pt idx="14">
                  <c:v>5.7953900000000003</c:v>
                </c:pt>
                <c:pt idx="15">
                  <c:v>5.668719999999988</c:v>
                </c:pt>
                <c:pt idx="16">
                  <c:v>4.5618699999999999</c:v>
                </c:pt>
              </c:numCache>
            </c:numRef>
          </c:val>
        </c:ser>
        <c:ser>
          <c:idx val="5"/>
          <c:order val="5"/>
          <c:tx>
            <c:strRef>
              <c:f>'#LN00059'!$C$3</c:f>
              <c:strCache>
                <c:ptCount val="1"/>
                <c:pt idx="0">
                  <c:v>Europe</c:v>
                </c:pt>
              </c:strCache>
            </c:strRef>
          </c:tx>
          <c:spPr>
            <a:solidFill>
              <a:schemeClr val="bg1">
                <a:lumMod val="75000"/>
              </a:schemeClr>
            </a:solidFill>
          </c:spPr>
          <c:invertIfNegative val="0"/>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'#LN00059'!$F$22:$F$38</c:f>
              <c:numCache>
                <c:formatCode>General</c:formatCode>
                <c:ptCount val="17"/>
                <c:pt idx="0">
                  <c:v>0.31366000000000038</c:v>
                </c:pt>
                <c:pt idx="1">
                  <c:v>0.31386000000000103</c:v>
                </c:pt>
                <c:pt idx="2">
                  <c:v>0.30986000000000097</c:v>
                </c:pt>
                <c:pt idx="3">
                  <c:v>0.2278</c:v>
                </c:pt>
                <c:pt idx="4">
                  <c:v>0.2581</c:v>
                </c:pt>
                <c:pt idx="5">
                  <c:v>0.26736000000000032</c:v>
                </c:pt>
                <c:pt idx="6">
                  <c:v>0.15674000000000057</c:v>
                </c:pt>
                <c:pt idx="7">
                  <c:v>0.22511</c:v>
                </c:pt>
                <c:pt idx="8">
                  <c:v>0.26820000000000005</c:v>
                </c:pt>
                <c:pt idx="9">
                  <c:v>0.32572000000000084</c:v>
                </c:pt>
                <c:pt idx="10">
                  <c:v>0.58205999999999958</c:v>
                </c:pt>
                <c:pt idx="11">
                  <c:v>1.56002</c:v>
                </c:pt>
                <c:pt idx="12">
                  <c:v>5.8652499999999996</c:v>
                </c:pt>
                <c:pt idx="13">
                  <c:v>8.3077900000000007</c:v>
                </c:pt>
                <c:pt idx="14">
                  <c:v>8.3256200000000007</c:v>
                </c:pt>
                <c:pt idx="15">
                  <c:v>8.5036000000000005</c:v>
                </c:pt>
                <c:pt idx="16">
                  <c:v>7.9589299999999996</c:v>
                </c:pt>
              </c:numCache>
            </c:numRef>
          </c:val>
        </c:ser>
        <c:ser>
          <c:idx val="6"/>
          <c:order val="6"/>
          <c:tx>
            <c:strRef>
              <c:f>'#LN00059'!$D$3</c:f>
              <c:strCache>
                <c:ptCount val="1"/>
                <c:pt idx="0">
                  <c:v>London / New York</c:v>
                </c:pt>
              </c:strCache>
            </c:strRef>
          </c:tx>
          <c:spPr>
            <a:solidFill>
              <a:srgbClr val="9BBB59"/>
            </a:solidFill>
          </c:spPr>
          <c:invertIfNegative val="0"/>
          <c:val>
            <c:numRef>
              <c:f>'#LN00059'!$D$22:$D$38</c:f>
              <c:numCache>
                <c:formatCode>General</c:formatCode>
                <c:ptCount val="17"/>
                <c:pt idx="0">
                  <c:v>0.45705000000000001</c:v>
                </c:pt>
                <c:pt idx="1">
                  <c:v>0.47681000000000084</c:v>
                </c:pt>
                <c:pt idx="2">
                  <c:v>0.47657000000000038</c:v>
                </c:pt>
                <c:pt idx="3">
                  <c:v>0.30787000000000103</c:v>
                </c:pt>
                <c:pt idx="4">
                  <c:v>0.44113999999999998</c:v>
                </c:pt>
                <c:pt idx="5">
                  <c:v>0.47432000000000096</c:v>
                </c:pt>
                <c:pt idx="6">
                  <c:v>0.33769000000000032</c:v>
                </c:pt>
                <c:pt idx="7">
                  <c:v>0.34431000000000084</c:v>
                </c:pt>
                <c:pt idx="8">
                  <c:v>0.38660000000000072</c:v>
                </c:pt>
                <c:pt idx="9">
                  <c:v>0.30621000000000032</c:v>
                </c:pt>
                <c:pt idx="10">
                  <c:v>0.46859000000000001</c:v>
                </c:pt>
                <c:pt idx="11">
                  <c:v>0.81735000000000002</c:v>
                </c:pt>
                <c:pt idx="12">
                  <c:v>1.8932199999999999</c:v>
                </c:pt>
                <c:pt idx="13">
                  <c:v>2.7414700000000001</c:v>
                </c:pt>
                <c:pt idx="14">
                  <c:v>2.8946199999999944</c:v>
                </c:pt>
                <c:pt idx="15">
                  <c:v>2.73455</c:v>
                </c:pt>
                <c:pt idx="16">
                  <c:v>2.5570200000000001</c:v>
                </c:pt>
              </c:numCache>
            </c:numRef>
          </c:val>
        </c:ser>
        <c:ser>
          <c:idx val="7"/>
          <c:order val="7"/>
          <c:tx>
            <c:strRef>
              <c:f>'#LN00059'!$E$3</c:f>
              <c:strCache>
                <c:ptCount val="1"/>
                <c:pt idx="0">
                  <c:v>US</c:v>
                </c:pt>
              </c:strCache>
            </c:strRef>
          </c:tx>
          <c:spPr>
            <a:solidFill>
              <a:schemeClr val="tx2"/>
            </a:solidFill>
          </c:spPr>
          <c:invertIfNegative val="0"/>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'#LN00059'!$E$22:$E$38</c:f>
              <c:numCache>
                <c:formatCode>General</c:formatCode>
                <c:ptCount val="17"/>
                <c:pt idx="0">
                  <c:v>0.77632000000000156</c:v>
                </c:pt>
                <c:pt idx="1">
                  <c:v>0.77907000000000193</c:v>
                </c:pt>
                <c:pt idx="2">
                  <c:v>0.76914000000000193</c:v>
                </c:pt>
                <c:pt idx="3">
                  <c:v>0.51440999999999959</c:v>
                </c:pt>
                <c:pt idx="4">
                  <c:v>0.70894000000000168</c:v>
                </c:pt>
                <c:pt idx="5">
                  <c:v>0.74976000000000065</c:v>
                </c:pt>
                <c:pt idx="6">
                  <c:v>0.45328000000000002</c:v>
                </c:pt>
                <c:pt idx="7">
                  <c:v>0.442</c:v>
                </c:pt>
                <c:pt idx="8">
                  <c:v>0.46681000000000072</c:v>
                </c:pt>
                <c:pt idx="9">
                  <c:v>0.37007000000000084</c:v>
                </c:pt>
                <c:pt idx="10">
                  <c:v>0.71026999999999996</c:v>
                </c:pt>
                <c:pt idx="11">
                  <c:v>1.424829999999996</c:v>
                </c:pt>
                <c:pt idx="12">
                  <c:v>3.11232</c:v>
                </c:pt>
                <c:pt idx="13">
                  <c:v>4.9747599999999998</c:v>
                </c:pt>
                <c:pt idx="14">
                  <c:v>5.3415099999999995</c:v>
                </c:pt>
                <c:pt idx="15">
                  <c:v>7.1427399999999945</c:v>
                </c:pt>
                <c:pt idx="16">
                  <c:v>6.6283999999999965</c:v>
                </c:pt>
              </c:numCache>
            </c:numRef>
          </c:val>
        </c:ser>
        <c:dLbls>
          <c:showLegendKey val="0"/>
          <c:showVal val="0"/>
          <c:showCatName val="0"/>
          <c:showSerName val="0"/>
          <c:showPercent val="0"/>
          <c:showBubbleSize val="0"/>
        </c:dLbls>
        <c:gapWidth val="150"/>
        <c:overlap val="100"/>
        <c:axId val="112945792"/>
        <c:axId val="112943872"/>
      </c:barChart>
      <c:lineChart>
        <c:grouping val="standard"/>
        <c:varyColors val="0"/>
        <c:ser>
          <c:idx val="4"/>
          <c:order val="0"/>
          <c:tx>
            <c:strRef>
              <c:f>'#LN00059'!$H$3</c:f>
              <c:strCache>
                <c:ptCount val="1"/>
                <c:pt idx="0">
                  <c:v>Asia</c:v>
                </c:pt>
              </c:strCache>
            </c:strRef>
          </c:tx>
          <c:spPr>
            <a:ln w="31750">
              <a:solidFill>
                <a:srgbClr val="FF0000"/>
              </a:solidFill>
            </a:ln>
          </c:spPr>
          <c:marker>
            <c:symbol val="none"/>
          </c:marker>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'#LN00059'!$H$4:$H$20</c:f>
              <c:numCache>
                <c:formatCode>General</c:formatCode>
                <c:ptCount val="17"/>
                <c:pt idx="0">
                  <c:v>0.10760968631387072</c:v>
                </c:pt>
                <c:pt idx="1">
                  <c:v>8.625547173325919E-2</c:v>
                </c:pt>
                <c:pt idx="2">
                  <c:v>0.11103681987804805</c:v>
                </c:pt>
                <c:pt idx="3">
                  <c:v>0.16240856990165017</c:v>
                </c:pt>
                <c:pt idx="4">
                  <c:v>0.11034033977116936</c:v>
                </c:pt>
                <c:pt idx="5">
                  <c:v>6.1479794102470516E-2</c:v>
                </c:pt>
                <c:pt idx="6">
                  <c:v>0.10983055305079652</c:v>
                </c:pt>
                <c:pt idx="7">
                  <c:v>0.15914003524990891</c:v>
                </c:pt>
                <c:pt idx="8">
                  <c:v>0.13349711451549431</c:v>
                </c:pt>
                <c:pt idx="9">
                  <c:v>0.17983138249979597</c:v>
                </c:pt>
                <c:pt idx="10">
                  <c:v>0.19135570025991636</c:v>
                </c:pt>
                <c:pt idx="11">
                  <c:v>0.21366764832401311</c:v>
                </c:pt>
                <c:pt idx="12">
                  <c:v>0.24209821051963784</c:v>
                </c:pt>
                <c:pt idx="13">
                  <c:v>0.24474707731057899</c:v>
                </c:pt>
                <c:pt idx="14">
                  <c:v>0.25921875517172577</c:v>
                </c:pt>
                <c:pt idx="15">
                  <c:v>0.23570943562078592</c:v>
                </c:pt>
                <c:pt idx="16">
                  <c:v>0.21016418335389594</c:v>
                </c:pt>
              </c:numCache>
            </c:numRef>
          </c:val>
          <c:smooth val="0"/>
        </c:ser>
        <c:ser>
          <c:idx val="1"/>
          <c:order val="2"/>
          <c:tx>
            <c:strRef>
              <c:f>'#LN00059'!$I$3</c:f>
              <c:strCache>
                <c:ptCount val="1"/>
                <c:pt idx="0">
                  <c:v>Europe</c:v>
                </c:pt>
              </c:strCache>
            </c:strRef>
          </c:tx>
          <c:spPr>
            <a:ln w="28575">
              <a:solidFill>
                <a:schemeClr val="bg1">
                  <a:lumMod val="75000"/>
                </a:schemeClr>
              </a:solidFill>
            </a:ln>
          </c:spPr>
          <c:marker>
            <c:symbol val="none"/>
          </c:marker>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'#LN00059'!$L$4:$L$20</c:f>
              <c:numCache>
                <c:formatCode>General</c:formatCode>
                <c:ptCount val="17"/>
                <c:pt idx="0">
                  <c:v>0.18093194430023476</c:v>
                </c:pt>
                <c:pt idx="1">
                  <c:v>0.18269768091645724</c:v>
                </c:pt>
                <c:pt idx="2">
                  <c:v>0.17707601136084392</c:v>
                </c:pt>
                <c:pt idx="3">
                  <c:v>0.18170361094050363</c:v>
                </c:pt>
                <c:pt idx="4">
                  <c:v>0.16306236298275872</c:v>
                </c:pt>
                <c:pt idx="5">
                  <c:v>0.16824194218256486</c:v>
                </c:pt>
                <c:pt idx="6">
                  <c:v>0.14722347460174331</c:v>
                </c:pt>
                <c:pt idx="7">
                  <c:v>0.18714874796315389</c:v>
                </c:pt>
                <c:pt idx="8">
                  <c:v>0.20719864648758893</c:v>
                </c:pt>
                <c:pt idx="9">
                  <c:v>0.26661209789637391</c:v>
                </c:pt>
                <c:pt idx="10">
                  <c:v>0.26729181399876928</c:v>
                </c:pt>
                <c:pt idx="11">
                  <c:v>0.32262747758181526</c:v>
                </c:pt>
                <c:pt idx="12">
                  <c:v>0.40892000220312386</c:v>
                </c:pt>
                <c:pt idx="13">
                  <c:v>0.39156732696227048</c:v>
                </c:pt>
                <c:pt idx="14">
                  <c:v>0.37239199647182081</c:v>
                </c:pt>
                <c:pt idx="15">
                  <c:v>0.35358577540342734</c:v>
                </c:pt>
                <c:pt idx="16">
                  <c:v>0.36666586812443713</c:v>
                </c:pt>
              </c:numCache>
            </c:numRef>
          </c:val>
          <c:smooth val="0"/>
        </c:ser>
        <c:ser>
          <c:idx val="2"/>
          <c:order val="3"/>
          <c:tx>
            <c:strRef>
              <c:f>'#LN00059'!$J$3</c:f>
              <c:strCache>
                <c:ptCount val="1"/>
                <c:pt idx="0">
                  <c:v>London / New York</c:v>
                </c:pt>
              </c:strCache>
            </c:strRef>
          </c:tx>
          <c:spPr>
            <a:ln w="31750">
              <a:prstDash val="sysDash"/>
            </a:ln>
          </c:spPr>
          <c:marker>
            <c:symbol val="none"/>
          </c:marker>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'#LN00059'!$J$4:$J$20</c:f>
              <c:numCache>
                <c:formatCode>General</c:formatCode>
                <c:ptCount val="17"/>
                <c:pt idx="0">
                  <c:v>0.26364517357145328</c:v>
                </c:pt>
                <c:pt idx="1">
                  <c:v>0.27755075905746562</c:v>
                </c:pt>
                <c:pt idx="2">
                  <c:v>0.27234594569882337</c:v>
                </c:pt>
                <c:pt idx="3">
                  <c:v>0.24557107418899421</c:v>
                </c:pt>
                <c:pt idx="4">
                  <c:v>0.27870333516549478</c:v>
                </c:pt>
                <c:pt idx="5">
                  <c:v>0.29847590520659056</c:v>
                </c:pt>
                <c:pt idx="6">
                  <c:v>0.31718703035768064</c:v>
                </c:pt>
                <c:pt idx="7">
                  <c:v>0.28624754747098524</c:v>
                </c:pt>
                <c:pt idx="8">
                  <c:v>0.29866889161857613</c:v>
                </c:pt>
                <c:pt idx="9">
                  <c:v>0.25064254727019725</c:v>
                </c:pt>
                <c:pt idx="10">
                  <c:v>0.21518446744611094</c:v>
                </c:pt>
                <c:pt idx="11">
                  <c:v>0.16903601800072798</c:v>
                </c:pt>
                <c:pt idx="12">
                  <c:v>0.13199361094088027</c:v>
                </c:pt>
                <c:pt idx="13">
                  <c:v>0.12921247164977123</c:v>
                </c:pt>
                <c:pt idx="14">
                  <c:v>0.12947183763218373</c:v>
                </c:pt>
                <c:pt idx="15">
                  <c:v>0.11370454656021485</c:v>
                </c:pt>
                <c:pt idx="16">
                  <c:v>0.11780125696689712</c:v>
                </c:pt>
              </c:numCache>
            </c:numRef>
          </c:val>
          <c:smooth val="0"/>
        </c:ser>
        <c:ser>
          <c:idx val="3"/>
          <c:order val="4"/>
          <c:tx>
            <c:strRef>
              <c:f>'#LN00059'!$K$3</c:f>
              <c:strCache>
                <c:ptCount val="1"/>
                <c:pt idx="0">
                  <c:v>US</c:v>
                </c:pt>
              </c:strCache>
            </c:strRef>
          </c:tx>
          <c:spPr>
            <a:ln w="12700">
              <a:solidFill>
                <a:schemeClr val="tx2"/>
              </a:solidFill>
            </a:ln>
          </c:spPr>
          <c:marker>
            <c:symbol val="none"/>
          </c:marker>
          <c:cat>
            <c:numRef>
              <c:f>'#LN00059'!$A$4:$A$20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'#LN00059'!$K$4:$K$20</c:f>
              <c:numCache>
                <c:formatCode>General</c:formatCode>
                <c:ptCount val="17"/>
                <c:pt idx="0">
                  <c:v>0.44781319581444345</c:v>
                </c:pt>
                <c:pt idx="1">
                  <c:v>0.45349608829282007</c:v>
                </c:pt>
                <c:pt idx="2">
                  <c:v>0.43954122306228482</c:v>
                </c:pt>
                <c:pt idx="3">
                  <c:v>0.41031674496885356</c:v>
                </c:pt>
                <c:pt idx="4">
                  <c:v>0.4478939620805773</c:v>
                </c:pt>
                <c:pt idx="5">
                  <c:v>0.4718023585083756</c:v>
                </c:pt>
                <c:pt idx="6">
                  <c:v>0.42575894198978187</c:v>
                </c:pt>
                <c:pt idx="7">
                  <c:v>0.36746366931595409</c:v>
                </c:pt>
                <c:pt idx="8">
                  <c:v>0.3606353473783423</c:v>
                </c:pt>
                <c:pt idx="9">
                  <c:v>0.30291397233363476</c:v>
                </c:pt>
                <c:pt idx="10">
                  <c:v>0.32616801829520414</c:v>
                </c:pt>
                <c:pt idx="11">
                  <c:v>0.29466885609344573</c:v>
                </c:pt>
                <c:pt idx="12">
                  <c:v>0.21698817633635883</c:v>
                </c:pt>
                <c:pt idx="13">
                  <c:v>0.23447312407738041</c:v>
                </c:pt>
                <c:pt idx="14">
                  <c:v>0.23891741072427047</c:v>
                </c:pt>
                <c:pt idx="15">
                  <c:v>0.29700024241557349</c:v>
                </c:pt>
                <c:pt idx="16">
                  <c:v>0.30536869155477275</c:v>
                </c:pt>
              </c:numCache>
            </c:numRef>
          </c:val>
          <c:smooth val="0"/>
        </c:ser>
        <c:dLbls>
          <c:showLegendKey val="0"/>
          <c:showVal val="0"/>
          <c:showCatName val="0"/>
          <c:showSerName val="0"/>
          <c:showPercent val="0"/>
          <c:showBubbleSize val="0"/>
        </c:dLbls>
        <c:marker val="1"/>
        <c:smooth val="0"/>
        <c:axId val="112940160"/>
        <c:axId val="112941696"/>
      </c:lineChart>
      <c:catAx>
        <c:axId val="112940160"/>
        <c:scaling>
          <c:orientation val="minMax"/>
        </c:scaling>
        <c:delete val="0"/>
        <c:axPos val="b"/>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en-US"/>
          </a:p>
        </c:txPr>
        <c:crossAx val="112941696"/>
        <c:crosses val="autoZero"/>
        <c:auto val="1"/>
        <c:lblAlgn val="ctr"/>
        <c:lblOffset val="100"/>
        <c:noMultiLvlLbl val="0"/>
      </c:catAx>
      <c:valAx>
        <c:axId val="112941696"/>
        <c:scaling>
          <c:orientation val="minMax"/>
        </c:scaling>
        <c:delete val="0"/>
        <c:axPos val="l"/>
        <c:title>
          <c:tx>
            <c:rich>
              <a:bodyPr rot="-5400000" vert="horz"/>
              <a:lstStyle/>
              <a:p>
                <a:pPr>
                  <a:defRPr b="0" i="1">
                    <a:latin typeface="Times New Roman" pitchFamily="18" charset="0"/>
                    <a:cs typeface="Times New Roman" pitchFamily="18" charset="0"/>
                  </a:defRPr>
                </a:pPr>
                <a:r>
                  <a:rPr lang="en-US" b="1" i="0">
                    <a:latin typeface="Times New Roman" pitchFamily="18" charset="0"/>
                    <a:cs typeface="Times New Roman" pitchFamily="18" charset="0"/>
                  </a:rPr>
                  <a:t>Trading share (%)</a:t>
                </a:r>
              </a:p>
            </c:rich>
          </c:tx>
          <c:layout>
            <c:manualLayout>
              <c:xMode val="edge"/>
              <c:yMode val="edge"/>
              <c:x val="1.1353733643255216E-2"/>
              <c:y val="0.35657423895197932"/>
            </c:manualLayout>
          </c:layout>
          <c:overlay val="0"/>
        </c:title>
        <c:numFmt formatCode="0%" sourceLinked="0"/>
        <c:majorTickMark val="out"/>
        <c:minorTickMark val="none"/>
        <c:tickLblPos val="nextTo"/>
        <c:crossAx val="112940160"/>
        <c:crosses val="autoZero"/>
        <c:crossBetween val="between"/>
      </c:valAx>
      <c:valAx>
        <c:axId val="112943872"/>
        <c:scaling>
          <c:orientation val="minMax"/>
        </c:scaling>
        <c:delete val="0"/>
        <c:axPos val="r"/>
        <c:title>
          <c:tx>
            <c:rich>
              <a:bodyPr rot="-5400000" vert="horz"/>
              <a:lstStyle/>
              <a:p>
                <a:pPr>
                  <a:defRPr b="0" i="1">
                    <a:latin typeface="Times New Roman" pitchFamily="18" charset="0"/>
                    <a:cs typeface="Times New Roman" pitchFamily="18" charset="0"/>
                  </a:defRPr>
                </a:pPr>
                <a:r>
                  <a:rPr lang="en-AU" b="1" i="0">
                    <a:latin typeface="Times New Roman" pitchFamily="18" charset="0"/>
                    <a:cs typeface="Times New Roman" pitchFamily="18" charset="0"/>
                  </a:rPr>
                  <a:t>Number</a:t>
                </a:r>
                <a:r>
                  <a:rPr lang="en-AU" b="1" i="0" baseline="0">
                    <a:latin typeface="Times New Roman" pitchFamily="18" charset="0"/>
                    <a:cs typeface="Times New Roman" pitchFamily="18" charset="0"/>
                  </a:rPr>
                  <a:t> of Trades</a:t>
                </a:r>
                <a:r>
                  <a:rPr lang="en-AU" b="1" i="0">
                    <a:latin typeface="Times New Roman" pitchFamily="18" charset="0"/>
                    <a:cs typeface="Times New Roman" pitchFamily="18" charset="0"/>
                  </a:rPr>
                  <a:t> ('00,000)</a:t>
                </a:r>
              </a:p>
            </c:rich>
          </c:tx>
          <c:layout>
            <c:manualLayout>
              <c:xMode val="edge"/>
              <c:yMode val="edge"/>
              <c:x val="0.92942446409387225"/>
              <c:y val="0.30295497789797793"/>
            </c:manualLayout>
          </c:layout>
          <c:overlay val="0"/>
        </c:title>
        <c:numFmt formatCode="#,##0" sourceLinked="0"/>
        <c:majorTickMark val="out"/>
        <c:minorTickMark val="none"/>
        <c:tickLblPos val="nextTo"/>
        <c:crossAx val="112945792"/>
        <c:crosses val="max"/>
        <c:crossBetween val="between"/>
      </c:valAx>
      <c:catAx>
        <c:axId val="112945792"/>
        <c:scaling>
          <c:orientation val="minMax"/>
        </c:scaling>
        <c:delete val="1"/>
        <c:axPos val="b"/>
        <c:numFmt formatCode="General" sourceLinked="1"/>
        <c:majorTickMark val="out"/>
        <c:minorTickMark val="none"/>
        <c:tickLblPos val="none"/>
        <c:crossAx val="112943872"/>
        <c:crosses val="autoZero"/>
        <c:auto val="1"/>
        <c:lblAlgn val="ctr"/>
        <c:lblOffset val="100"/>
        <c:noMultiLvlLbl val="0"/>
      </c:catAx>
      <c:spPr>
        <a:noFill/>
        <a:ln w="25400">
          <a:noFill/>
        </a:ln>
      </c:spPr>
    </c:plotArea>
    <c:legend>
      <c:legendPos val="t"/>
      <c:legendEntry>
        <c:idx val="0"/>
        <c:delete val="1"/>
      </c:legendEntry>
      <c:legendEntry>
        <c:idx val="1"/>
        <c:delete val="1"/>
      </c:legendEntry>
      <c:legendEntry>
        <c:idx val="2"/>
        <c:delete val="1"/>
      </c:legendEntry>
      <c:legendEntry>
        <c:idx val="3"/>
        <c:delete val="1"/>
      </c:legendEntry>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Sheet1!$E$7</c:f>
              <c:strCache>
                <c:ptCount val="1"/>
                <c:pt idx="0">
                  <c:v>1996-99</c:v>
                </c:pt>
              </c:strCache>
            </c:strRef>
          </c:tx>
          <c:spPr>
            <a:ln>
              <a:solidFill>
                <a:schemeClr val="tx1"/>
              </a:solidFill>
              <a:prstDash val="sysDash"/>
            </a:ln>
          </c:spPr>
          <c:marker>
            <c:symbol val="none"/>
          </c:marker>
          <c:xVal>
            <c:numRef>
              <c:f>Sheet1!$A$8:$A$31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xVal>
          <c:yVal>
            <c:numRef>
              <c:f>Sheet1!$E$8:$E$31</c:f>
              <c:numCache>
                <c:formatCode>_-* #,##0_-;\-* #,##0_-;_-* "-"??_-;_-@_-</c:formatCode>
                <c:ptCount val="24"/>
                <c:pt idx="0">
                  <c:v>12.987893761650668</c:v>
                </c:pt>
                <c:pt idx="1">
                  <c:v>11.766031656086971</c:v>
                </c:pt>
                <c:pt idx="2">
                  <c:v>5.7699353746315065</c:v>
                </c:pt>
                <c:pt idx="3">
                  <c:v>5.1595056519089297</c:v>
                </c:pt>
                <c:pt idx="4">
                  <c:v>9.2149226361933483</c:v>
                </c:pt>
                <c:pt idx="5">
                  <c:v>11.241886806665812</c:v>
                </c:pt>
                <c:pt idx="6">
                  <c:v>10.371785877310774</c:v>
                </c:pt>
                <c:pt idx="7">
                  <c:v>8.4887707238535022</c:v>
                </c:pt>
                <c:pt idx="8">
                  <c:v>9.2859232950393178</c:v>
                </c:pt>
                <c:pt idx="9">
                  <c:v>7.8782087822143705</c:v>
                </c:pt>
                <c:pt idx="10">
                  <c:v>6.9944039692658455</c:v>
                </c:pt>
                <c:pt idx="11">
                  <c:v>6.6050660307566389</c:v>
                </c:pt>
                <c:pt idx="12">
                  <c:v>32.732934371746524</c:v>
                </c:pt>
                <c:pt idx="13">
                  <c:v>62.826265973641377</c:v>
                </c:pt>
                <c:pt idx="14">
                  <c:v>72.13447029234321</c:v>
                </c:pt>
                <c:pt idx="15">
                  <c:v>66.923049827193481</c:v>
                </c:pt>
                <c:pt idx="16">
                  <c:v>60.056713089447896</c:v>
                </c:pt>
                <c:pt idx="17">
                  <c:v>60.468527288140557</c:v>
                </c:pt>
                <c:pt idx="18">
                  <c:v>54.618578781562206</c:v>
                </c:pt>
                <c:pt idx="19">
                  <c:v>21.170945792492912</c:v>
                </c:pt>
                <c:pt idx="20">
                  <c:v>0.47362687956610638</c:v>
                </c:pt>
                <c:pt idx="21">
                  <c:v>1.3901818708984262</c:v>
                </c:pt>
                <c:pt idx="22">
                  <c:v>1.3805065513449224</c:v>
                </c:pt>
                <c:pt idx="23">
                  <c:v>1.7363534179354259</c:v>
                </c:pt>
              </c:numCache>
            </c:numRef>
          </c:yVal>
          <c:smooth val="0"/>
        </c:ser>
        <c:ser>
          <c:idx val="1"/>
          <c:order val="1"/>
          <c:tx>
            <c:strRef>
              <c:f>Sheet1!$N$7</c:f>
              <c:strCache>
                <c:ptCount val="1"/>
                <c:pt idx="0">
                  <c:v>2000-07</c:v>
                </c:pt>
              </c:strCache>
            </c:strRef>
          </c:tx>
          <c:spPr>
            <a:ln w="15875">
              <a:solidFill>
                <a:srgbClr val="FF0000"/>
              </a:solidFill>
            </a:ln>
          </c:spPr>
          <c:marker>
            <c:symbol val="none"/>
          </c:marker>
          <c:xVal>
            <c:numRef>
              <c:f>Sheet1!$A$8:$A$31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xVal>
          <c:yVal>
            <c:numRef>
              <c:f>Sheet1!$N$8:$N$31</c:f>
              <c:numCache>
                <c:formatCode>_-* #,##0_-;\-* #,##0_-;_-* "-"??_-;_-@_-</c:formatCode>
                <c:ptCount val="24"/>
                <c:pt idx="0">
                  <c:v>20.025017854018714</c:v>
                </c:pt>
                <c:pt idx="1">
                  <c:v>17.530755384009591</c:v>
                </c:pt>
                <c:pt idx="2">
                  <c:v>9.9676581273475975</c:v>
                </c:pt>
                <c:pt idx="3">
                  <c:v>12.326109030031819</c:v>
                </c:pt>
                <c:pt idx="4">
                  <c:v>13.770732139902456</c:v>
                </c:pt>
                <c:pt idx="5">
                  <c:v>15.170862038024307</c:v>
                </c:pt>
                <c:pt idx="6">
                  <c:v>18.757349479080492</c:v>
                </c:pt>
                <c:pt idx="7">
                  <c:v>16.37447978028613</c:v>
                </c:pt>
                <c:pt idx="8">
                  <c:v>17.471362588221076</c:v>
                </c:pt>
                <c:pt idx="9">
                  <c:v>17.177259283369182</c:v>
                </c:pt>
                <c:pt idx="10">
                  <c:v>17.289145083330787</c:v>
                </c:pt>
                <c:pt idx="11">
                  <c:v>17.57709600227502</c:v>
                </c:pt>
                <c:pt idx="12">
                  <c:v>40.501717582438296</c:v>
                </c:pt>
                <c:pt idx="13">
                  <c:v>66.106341080049049</c:v>
                </c:pt>
                <c:pt idx="14">
                  <c:v>76.344275374894849</c:v>
                </c:pt>
                <c:pt idx="15">
                  <c:v>74.736000231088951</c:v>
                </c:pt>
                <c:pt idx="16">
                  <c:v>70.109176551447689</c:v>
                </c:pt>
                <c:pt idx="17">
                  <c:v>55.617998670590495</c:v>
                </c:pt>
                <c:pt idx="18">
                  <c:v>31.122203250775641</c:v>
                </c:pt>
                <c:pt idx="19">
                  <c:v>10.890770870370808</c:v>
                </c:pt>
                <c:pt idx="20">
                  <c:v>6.0566118475753843</c:v>
                </c:pt>
                <c:pt idx="21">
                  <c:v>3.8528476427059863</c:v>
                </c:pt>
                <c:pt idx="22">
                  <c:v>2.8534410691010943</c:v>
                </c:pt>
                <c:pt idx="23">
                  <c:v>5.8301737853263713</c:v>
                </c:pt>
              </c:numCache>
            </c:numRef>
          </c:yVal>
          <c:smooth val="0"/>
        </c:ser>
        <c:ser>
          <c:idx val="2"/>
          <c:order val="2"/>
          <c:tx>
            <c:strRef>
              <c:f>Sheet1!$T$7</c:f>
              <c:strCache>
                <c:ptCount val="1"/>
                <c:pt idx="0">
                  <c:v>2008-12</c:v>
                </c:pt>
              </c:strCache>
            </c:strRef>
          </c:tx>
          <c:spPr>
            <a:ln w="31750">
              <a:solidFill>
                <a:srgbClr val="1106EC"/>
              </a:solidFill>
            </a:ln>
          </c:spPr>
          <c:marker>
            <c:symbol val="none"/>
          </c:marker>
          <c:xVal>
            <c:numRef>
              <c:f>Sheet1!$A$8:$A$31</c:f>
              <c:numCache>
                <c:formatCode>General</c:formatCode>
                <c:ptCount val="2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numCache>
            </c:numRef>
          </c:xVal>
          <c:yVal>
            <c:numRef>
              <c:f>Sheet1!$T$8:$T$31</c:f>
              <c:numCache>
                <c:formatCode>_-* #,##0_-;\-* #,##0_-;_-* "-"??_-;_-@_-</c:formatCode>
                <c:ptCount val="24"/>
                <c:pt idx="0">
                  <c:v>221.23154128303017</c:v>
                </c:pt>
                <c:pt idx="1">
                  <c:v>235.65593831873775</c:v>
                </c:pt>
                <c:pt idx="2">
                  <c:v>212.59012500935611</c:v>
                </c:pt>
                <c:pt idx="3">
                  <c:v>203.76910846620171</c:v>
                </c:pt>
                <c:pt idx="4">
                  <c:v>225.6382199266412</c:v>
                </c:pt>
                <c:pt idx="5">
                  <c:v>242.57631708960261</c:v>
                </c:pt>
                <c:pt idx="6">
                  <c:v>311.43074331911066</c:v>
                </c:pt>
                <c:pt idx="7">
                  <c:v>359.25461336926412</c:v>
                </c:pt>
                <c:pt idx="8">
                  <c:v>366.53940714125304</c:v>
                </c:pt>
                <c:pt idx="9">
                  <c:v>372.98469346507869</c:v>
                </c:pt>
                <c:pt idx="10">
                  <c:v>371.03170746313151</c:v>
                </c:pt>
                <c:pt idx="11">
                  <c:v>384.96915637397899</c:v>
                </c:pt>
                <c:pt idx="12">
                  <c:v>420.65061157272248</c:v>
                </c:pt>
                <c:pt idx="13">
                  <c:v>434.17795643386478</c:v>
                </c:pt>
                <c:pt idx="14">
                  <c:v>436.37271951493375</c:v>
                </c:pt>
                <c:pt idx="15">
                  <c:v>427.3638131596677</c:v>
                </c:pt>
                <c:pt idx="16">
                  <c:v>389.29806722059863</c:v>
                </c:pt>
                <c:pt idx="17">
                  <c:v>355.76851560745564</c:v>
                </c:pt>
                <c:pt idx="18">
                  <c:v>307.31630810689393</c:v>
                </c:pt>
                <c:pt idx="19">
                  <c:v>269.49948349427325</c:v>
                </c:pt>
                <c:pt idx="20">
                  <c:v>189.97271502357958</c:v>
                </c:pt>
                <c:pt idx="21">
                  <c:v>66.260817426453556</c:v>
                </c:pt>
                <c:pt idx="22">
                  <c:v>98.85994760086831</c:v>
                </c:pt>
                <c:pt idx="23">
                  <c:v>149.57299498465454</c:v>
                </c:pt>
              </c:numCache>
            </c:numRef>
          </c:yVal>
          <c:smooth val="0"/>
        </c:ser>
        <c:dLbls>
          <c:showLegendKey val="0"/>
          <c:showVal val="0"/>
          <c:showCatName val="0"/>
          <c:showSerName val="0"/>
          <c:showPercent val="0"/>
          <c:showBubbleSize val="0"/>
        </c:dLbls>
        <c:axId val="113006080"/>
        <c:axId val="113008000"/>
      </c:scatterChart>
      <c:valAx>
        <c:axId val="113006080"/>
        <c:scaling>
          <c:orientation val="minMax"/>
          <c:max val="23"/>
          <c:min val="0"/>
        </c:scaling>
        <c:delete val="0"/>
        <c:axPos val="b"/>
        <c:title>
          <c:tx>
            <c:rich>
              <a:bodyPr/>
              <a:lstStyle/>
              <a:p>
                <a:pPr>
                  <a:defRPr/>
                </a:pPr>
                <a:r>
                  <a:rPr lang="en-AU"/>
                  <a:t>GMT</a:t>
                </a:r>
              </a:p>
            </c:rich>
          </c:tx>
          <c:overlay val="0"/>
        </c:title>
        <c:numFmt formatCode="General" sourceLinked="1"/>
        <c:majorTickMark val="out"/>
        <c:minorTickMark val="none"/>
        <c:tickLblPos val="nextTo"/>
        <c:crossAx val="113008000"/>
        <c:crosses val="autoZero"/>
        <c:crossBetween val="midCat"/>
        <c:majorUnit val="1"/>
        <c:minorUnit val="1"/>
      </c:valAx>
      <c:valAx>
        <c:axId val="113008000"/>
        <c:scaling>
          <c:orientation val="minMax"/>
        </c:scaling>
        <c:delete val="0"/>
        <c:axPos val="l"/>
        <c:title>
          <c:tx>
            <c:rich>
              <a:bodyPr rot="-5400000" vert="horz"/>
              <a:lstStyle/>
              <a:p>
                <a:pPr>
                  <a:defRPr/>
                </a:pPr>
                <a:r>
                  <a:rPr lang="en-AU"/>
                  <a:t>Number</a:t>
                </a:r>
                <a:r>
                  <a:rPr lang="en-AU" baseline="0"/>
                  <a:t> of trades per hour</a:t>
                </a:r>
                <a:endParaRPr lang="en-AU"/>
              </a:p>
            </c:rich>
          </c:tx>
          <c:overlay val="0"/>
        </c:title>
        <c:numFmt formatCode="_-* #,##0_-;\-* #,##0_-;_-* &quot;-&quot;??_-;_-@_-" sourceLinked="1"/>
        <c:majorTickMark val="out"/>
        <c:minorTickMark val="none"/>
        <c:tickLblPos val="nextTo"/>
        <c:crossAx val="113006080"/>
        <c:crosses val="autoZero"/>
        <c:crossBetween val="midCat"/>
      </c:valAx>
    </c:plotArea>
    <c:legend>
      <c:legendPos val="t"/>
      <c:overlay val="1"/>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'IS-TSRV'!$B$1</c:f>
              <c:strCache>
                <c:ptCount val="1"/>
                <c:pt idx="0">
                  <c:v>Asia</c:v>
                </c:pt>
              </c:strCache>
            </c:strRef>
          </c:tx>
          <c:spPr>
            <a:ln w="31750">
              <a:solidFill>
                <a:srgbClr val="FF0000"/>
              </a:solidFill>
            </a:ln>
          </c:spPr>
          <c:marker>
            <c:symbol val="none"/>
          </c:marker>
          <c:cat>
            <c:numRef>
              <c:f>'IS-TSRV'!$A$2:$A$18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'IS-TSRV'!$B$2:$B$18</c:f>
              <c:numCache>
                <c:formatCode>General</c:formatCode>
                <c:ptCount val="17"/>
                <c:pt idx="0">
                  <c:v>0.19</c:v>
                </c:pt>
                <c:pt idx="1">
                  <c:v>0.18000000000000024</c:v>
                </c:pt>
                <c:pt idx="2">
                  <c:v>0.22</c:v>
                </c:pt>
                <c:pt idx="3">
                  <c:v>0.22</c:v>
                </c:pt>
                <c:pt idx="4">
                  <c:v>0.18000000000000024</c:v>
                </c:pt>
                <c:pt idx="5">
                  <c:v>0.19</c:v>
                </c:pt>
                <c:pt idx="6">
                  <c:v>0.18000000000000024</c:v>
                </c:pt>
                <c:pt idx="7">
                  <c:v>0.17</c:v>
                </c:pt>
                <c:pt idx="8">
                  <c:v>0.16</c:v>
                </c:pt>
                <c:pt idx="9">
                  <c:v>0.17</c:v>
                </c:pt>
                <c:pt idx="10">
                  <c:v>0.18000000000000024</c:v>
                </c:pt>
                <c:pt idx="11">
                  <c:v>0.15000000000000024</c:v>
                </c:pt>
                <c:pt idx="12">
                  <c:v>0.15000000000000024</c:v>
                </c:pt>
                <c:pt idx="13">
                  <c:v>0.14000000000000001</c:v>
                </c:pt>
                <c:pt idx="14">
                  <c:v>0.15000000000000024</c:v>
                </c:pt>
                <c:pt idx="15">
                  <c:v>0.16</c:v>
                </c:pt>
                <c:pt idx="16">
                  <c:v>0.14000000000000001</c:v>
                </c:pt>
              </c:numCache>
            </c:numRef>
          </c:val>
          <c:smooth val="0"/>
        </c:ser>
        <c:ser>
          <c:idx val="1"/>
          <c:order val="1"/>
          <c:tx>
            <c:strRef>
              <c:f>'IS-TSRV'!$C$1</c:f>
              <c:strCache>
                <c:ptCount val="1"/>
                <c:pt idx="0">
                  <c:v>Europe</c:v>
                </c:pt>
              </c:strCache>
            </c:strRef>
          </c:tx>
          <c:spPr>
            <a:ln>
              <a:solidFill>
                <a:schemeClr val="bg1">
                  <a:lumMod val="65000"/>
                </a:schemeClr>
              </a:solidFill>
            </a:ln>
          </c:spPr>
          <c:marker>
            <c:symbol val="none"/>
          </c:marker>
          <c:cat>
            <c:numRef>
              <c:f>'IS-TSRV'!$A$2:$A$18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'IS-TSRV'!$C$2:$C$18</c:f>
              <c:numCache>
                <c:formatCode>General</c:formatCode>
                <c:ptCount val="17"/>
                <c:pt idx="0">
                  <c:v>0.28000000000000008</c:v>
                </c:pt>
                <c:pt idx="1">
                  <c:v>0.28000000000000008</c:v>
                </c:pt>
                <c:pt idx="2">
                  <c:v>0.30000000000000032</c:v>
                </c:pt>
                <c:pt idx="3">
                  <c:v>0.30000000000000032</c:v>
                </c:pt>
                <c:pt idx="4">
                  <c:v>0.30000000000000032</c:v>
                </c:pt>
                <c:pt idx="5">
                  <c:v>0.30000000000000032</c:v>
                </c:pt>
                <c:pt idx="6">
                  <c:v>0.29000000000000031</c:v>
                </c:pt>
                <c:pt idx="7">
                  <c:v>0.29000000000000031</c:v>
                </c:pt>
                <c:pt idx="8">
                  <c:v>0.37000000000000038</c:v>
                </c:pt>
                <c:pt idx="9">
                  <c:v>0.35000000000000031</c:v>
                </c:pt>
                <c:pt idx="10">
                  <c:v>0.27</c:v>
                </c:pt>
                <c:pt idx="11">
                  <c:v>0.30000000000000032</c:v>
                </c:pt>
                <c:pt idx="12">
                  <c:v>0.34</c:v>
                </c:pt>
                <c:pt idx="13">
                  <c:v>0.35000000000000031</c:v>
                </c:pt>
                <c:pt idx="14">
                  <c:v>0.31000000000000055</c:v>
                </c:pt>
                <c:pt idx="15">
                  <c:v>0.31000000000000055</c:v>
                </c:pt>
                <c:pt idx="16">
                  <c:v>0.35000000000000031</c:v>
                </c:pt>
              </c:numCache>
            </c:numRef>
          </c:val>
          <c:smooth val="0"/>
        </c:ser>
        <c:ser>
          <c:idx val="2"/>
          <c:order val="2"/>
          <c:tx>
            <c:strRef>
              <c:f>'IS-TSRV'!$D$1</c:f>
              <c:strCache>
                <c:ptCount val="1"/>
                <c:pt idx="0">
                  <c:v>London/NYC</c:v>
                </c:pt>
              </c:strCache>
            </c:strRef>
          </c:tx>
          <c:spPr>
            <a:ln>
              <a:solidFill>
                <a:srgbClr val="00B050"/>
              </a:solidFill>
              <a:prstDash val="sysDash"/>
            </a:ln>
          </c:spPr>
          <c:marker>
            <c:symbol val="none"/>
          </c:marker>
          <c:cat>
            <c:numRef>
              <c:f>'IS-TSRV'!$A$2:$A$18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'IS-TSRV'!$D$2:$D$18</c:f>
              <c:numCache>
                <c:formatCode>General</c:formatCode>
                <c:ptCount val="17"/>
                <c:pt idx="0">
                  <c:v>0.18000000000000024</c:v>
                </c:pt>
                <c:pt idx="1">
                  <c:v>0.19</c:v>
                </c:pt>
                <c:pt idx="2">
                  <c:v>0.17</c:v>
                </c:pt>
                <c:pt idx="3">
                  <c:v>0.18000000000000024</c:v>
                </c:pt>
                <c:pt idx="4">
                  <c:v>0.21000000000000021</c:v>
                </c:pt>
                <c:pt idx="5">
                  <c:v>0.21000000000000021</c:v>
                </c:pt>
                <c:pt idx="6">
                  <c:v>0.21000000000000021</c:v>
                </c:pt>
                <c:pt idx="7">
                  <c:v>0.24000000000000021</c:v>
                </c:pt>
                <c:pt idx="8">
                  <c:v>0.22</c:v>
                </c:pt>
                <c:pt idx="9">
                  <c:v>0.22</c:v>
                </c:pt>
                <c:pt idx="10">
                  <c:v>0.26</c:v>
                </c:pt>
                <c:pt idx="11">
                  <c:v>0.24000000000000021</c:v>
                </c:pt>
                <c:pt idx="12">
                  <c:v>0.23</c:v>
                </c:pt>
                <c:pt idx="13">
                  <c:v>0.23</c:v>
                </c:pt>
                <c:pt idx="14">
                  <c:v>0.24000000000000021</c:v>
                </c:pt>
                <c:pt idx="15">
                  <c:v>0.21000000000000021</c:v>
                </c:pt>
                <c:pt idx="16">
                  <c:v>0.23</c:v>
                </c:pt>
              </c:numCache>
            </c:numRef>
          </c:val>
          <c:smooth val="0"/>
        </c:ser>
        <c:ser>
          <c:idx val="3"/>
          <c:order val="3"/>
          <c:tx>
            <c:strRef>
              <c:f>'IS-TSRV'!$E$1</c:f>
              <c:strCache>
                <c:ptCount val="1"/>
                <c:pt idx="0">
                  <c:v>U.S.</c:v>
                </c:pt>
              </c:strCache>
            </c:strRef>
          </c:tx>
          <c:spPr>
            <a:ln w="12700">
              <a:solidFill>
                <a:srgbClr val="002060"/>
              </a:solidFill>
            </a:ln>
          </c:spPr>
          <c:marker>
            <c:symbol val="none"/>
          </c:marker>
          <c:cat>
            <c:numRef>
              <c:f>'IS-TSRV'!$A$2:$A$18</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'IS-TSRV'!$E$2:$E$18</c:f>
              <c:numCache>
                <c:formatCode>General</c:formatCode>
                <c:ptCount val="17"/>
                <c:pt idx="0">
                  <c:v>0.35000000000000031</c:v>
                </c:pt>
                <c:pt idx="1">
                  <c:v>0.36000000000000032</c:v>
                </c:pt>
                <c:pt idx="2">
                  <c:v>0.31000000000000055</c:v>
                </c:pt>
                <c:pt idx="3">
                  <c:v>0.30000000000000032</c:v>
                </c:pt>
                <c:pt idx="4">
                  <c:v>0.31000000000000055</c:v>
                </c:pt>
                <c:pt idx="5">
                  <c:v>0.30000000000000032</c:v>
                </c:pt>
                <c:pt idx="6">
                  <c:v>0.32000000000000062</c:v>
                </c:pt>
                <c:pt idx="7">
                  <c:v>0.29000000000000031</c:v>
                </c:pt>
                <c:pt idx="8">
                  <c:v>0.25</c:v>
                </c:pt>
                <c:pt idx="9">
                  <c:v>0.26</c:v>
                </c:pt>
                <c:pt idx="10">
                  <c:v>0.30000000000000032</c:v>
                </c:pt>
                <c:pt idx="11">
                  <c:v>0.31000000000000055</c:v>
                </c:pt>
                <c:pt idx="12">
                  <c:v>0.28000000000000008</c:v>
                </c:pt>
                <c:pt idx="13">
                  <c:v>0.28000000000000008</c:v>
                </c:pt>
                <c:pt idx="14">
                  <c:v>0.30000000000000032</c:v>
                </c:pt>
                <c:pt idx="15">
                  <c:v>0.31000000000000055</c:v>
                </c:pt>
                <c:pt idx="16">
                  <c:v>0.27</c:v>
                </c:pt>
              </c:numCache>
            </c:numRef>
          </c:val>
          <c:smooth val="0"/>
        </c:ser>
        <c:dLbls>
          <c:showLegendKey val="0"/>
          <c:showVal val="0"/>
          <c:showCatName val="0"/>
          <c:showSerName val="0"/>
          <c:showPercent val="0"/>
          <c:showBubbleSize val="0"/>
        </c:dLbls>
        <c:marker val="1"/>
        <c:smooth val="0"/>
        <c:axId val="113037696"/>
        <c:axId val="113039232"/>
      </c:lineChart>
      <c:catAx>
        <c:axId val="113037696"/>
        <c:scaling>
          <c:orientation val="minMax"/>
        </c:scaling>
        <c:delete val="0"/>
        <c:axPos val="b"/>
        <c:numFmt formatCode="General" sourceLinked="1"/>
        <c:majorTickMark val="out"/>
        <c:minorTickMark val="none"/>
        <c:tickLblPos val="nextTo"/>
        <c:crossAx val="113039232"/>
        <c:crosses val="autoZero"/>
        <c:auto val="1"/>
        <c:lblAlgn val="ctr"/>
        <c:lblOffset val="100"/>
        <c:noMultiLvlLbl val="0"/>
      </c:catAx>
      <c:valAx>
        <c:axId val="113039232"/>
        <c:scaling>
          <c:orientation val="minMax"/>
          <c:max val="0.4"/>
          <c:min val="0"/>
        </c:scaling>
        <c:delete val="0"/>
        <c:axPos val="l"/>
        <c:numFmt formatCode="#,##0.0" sourceLinked="0"/>
        <c:majorTickMark val="out"/>
        <c:minorTickMark val="none"/>
        <c:tickLblPos val="nextTo"/>
        <c:crossAx val="113037696"/>
        <c:crosses val="autoZero"/>
        <c:crossBetween val="between"/>
        <c:majorUnit val="0.1"/>
        <c:minorUnit val="1.0000000000000005E-2"/>
      </c:valAx>
    </c:plotArea>
    <c:legend>
      <c:legendPos val="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Sheet1!$B$1</c:f>
              <c:strCache>
                <c:ptCount val="1"/>
                <c:pt idx="0">
                  <c:v>LogTSRV</c:v>
                </c:pt>
              </c:strCache>
            </c:strRef>
          </c:tx>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Sheet1!$B$2:$B$51</c:f>
              <c:numCache>
                <c:formatCode>General</c:formatCode>
                <c:ptCount val="50"/>
                <c:pt idx="0">
                  <c:v>0.24800000000000016</c:v>
                </c:pt>
                <c:pt idx="1">
                  <c:v>0.14560000000000001</c:v>
                </c:pt>
                <c:pt idx="2">
                  <c:v>7.9170000000000004E-2</c:v>
                </c:pt>
                <c:pt idx="3">
                  <c:v>9.6640000000000004E-2</c:v>
                </c:pt>
                <c:pt idx="4">
                  <c:v>4.8730000000000023E-2</c:v>
                </c:pt>
                <c:pt idx="5">
                  <c:v>2.631E-2</c:v>
                </c:pt>
                <c:pt idx="6">
                  <c:v>1.6530000000000003E-2</c:v>
                </c:pt>
                <c:pt idx="7">
                  <c:v>6.6430000000000003E-2</c:v>
                </c:pt>
                <c:pt idx="8">
                  <c:v>1.0019999999999984E-2</c:v>
                </c:pt>
                <c:pt idx="9">
                  <c:v>-2.5000000000000038E-4</c:v>
                </c:pt>
                <c:pt idx="10">
                  <c:v>9.1000000000000065E-4</c:v>
                </c:pt>
                <c:pt idx="11">
                  <c:v>4.2229999999999997E-2</c:v>
                </c:pt>
                <c:pt idx="12">
                  <c:v>2.4759999999999997E-2</c:v>
                </c:pt>
                <c:pt idx="13">
                  <c:v>9.3400000000000028E-3</c:v>
                </c:pt>
                <c:pt idx="14">
                  <c:v>4.3249999999999955E-2</c:v>
                </c:pt>
                <c:pt idx="15">
                  <c:v>3.5619999999999999E-2</c:v>
                </c:pt>
                <c:pt idx="16">
                  <c:v>1.5280000000000012E-2</c:v>
                </c:pt>
                <c:pt idx="17">
                  <c:v>-2.6100000000000002E-2</c:v>
                </c:pt>
                <c:pt idx="18">
                  <c:v>1.4400000000000001E-3</c:v>
                </c:pt>
                <c:pt idx="19">
                  <c:v>3.7970000000000038E-2</c:v>
                </c:pt>
                <c:pt idx="20">
                  <c:v>-1.285E-2</c:v>
                </c:pt>
                <c:pt idx="21">
                  <c:v>-1.8689999999999998E-2</c:v>
                </c:pt>
                <c:pt idx="22">
                  <c:v>-1.039E-2</c:v>
                </c:pt>
                <c:pt idx="23">
                  <c:v>-1.7250000000000001E-2</c:v>
                </c:pt>
                <c:pt idx="24">
                  <c:v>-2.3259999999999999E-2</c:v>
                </c:pt>
                <c:pt idx="25">
                  <c:v>-4.2000000000000072E-4</c:v>
                </c:pt>
                <c:pt idx="26">
                  <c:v>-1.1000000000000016E-3</c:v>
                </c:pt>
                <c:pt idx="27">
                  <c:v>2.8700000000000002E-3</c:v>
                </c:pt>
                <c:pt idx="28">
                  <c:v>-2.33E-3</c:v>
                </c:pt>
                <c:pt idx="29">
                  <c:v>1.5559999999999996E-2</c:v>
                </c:pt>
                <c:pt idx="30">
                  <c:v>-1.5699999999999999E-2</c:v>
                </c:pt>
                <c:pt idx="31">
                  <c:v>7.5000000000000088E-4</c:v>
                </c:pt>
                <c:pt idx="32">
                  <c:v>6.8000000000000092E-4</c:v>
                </c:pt>
                <c:pt idx="33">
                  <c:v>-2.6800000000000031E-3</c:v>
                </c:pt>
                <c:pt idx="34">
                  <c:v>3.5410000000000011E-2</c:v>
                </c:pt>
                <c:pt idx="35">
                  <c:v>3.1910000000000001E-2</c:v>
                </c:pt>
                <c:pt idx="36">
                  <c:v>-4.4400000000000064E-3</c:v>
                </c:pt>
                <c:pt idx="37">
                  <c:v>-1.3210000000000001E-2</c:v>
                </c:pt>
                <c:pt idx="38">
                  <c:v>-7.990000000000011E-3</c:v>
                </c:pt>
                <c:pt idx="39">
                  <c:v>1.4640000000000005E-2</c:v>
                </c:pt>
                <c:pt idx="40">
                  <c:v>-9.7000000000000003E-3</c:v>
                </c:pt>
                <c:pt idx="41">
                  <c:v>-1.451E-2</c:v>
                </c:pt>
                <c:pt idx="42">
                  <c:v>1.5120000000000001E-2</c:v>
                </c:pt>
                <c:pt idx="43">
                  <c:v>2.2840000000000037E-2</c:v>
                </c:pt>
                <c:pt idx="44">
                  <c:v>-7.9200000000000034E-3</c:v>
                </c:pt>
                <c:pt idx="45">
                  <c:v>-1.1240000000000014E-2</c:v>
                </c:pt>
                <c:pt idx="46">
                  <c:v>2.8810000000000002E-2</c:v>
                </c:pt>
                <c:pt idx="47">
                  <c:v>-1.5440000000000013E-2</c:v>
                </c:pt>
                <c:pt idx="48">
                  <c:v>-2.776E-2</c:v>
                </c:pt>
                <c:pt idx="49">
                  <c:v>3.0500000000000002E-3</c:v>
                </c:pt>
              </c:numCache>
            </c:numRef>
          </c:val>
          <c:smooth val="0"/>
        </c:ser>
        <c:ser>
          <c:idx val="2"/>
          <c:order val="1"/>
          <c:tx>
            <c:strRef>
              <c:f>Sheet1!$C$1</c:f>
              <c:strCache>
                <c:ptCount val="1"/>
                <c:pt idx="0">
                  <c:v>HAR Resdiuals</c:v>
                </c:pt>
              </c:strCache>
            </c:strRef>
          </c:tx>
          <c:spPr>
            <a:ln w="15875">
              <a:solidFill>
                <a:srgbClr val="002060"/>
              </a:solidFill>
            </a:ln>
          </c:spPr>
          <c:marker>
            <c:symbol val="none"/>
          </c:marker>
          <c:cat>
            <c:numRef>
              <c:f>Sheet1!$A$2:$A$51</c:f>
              <c:numCache>
                <c:formatCode>General</c:formatCode>
                <c:ptCount val="5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numCache>
            </c:numRef>
          </c:cat>
          <c:val>
            <c:numRef>
              <c:f>Sheet1!$C$2:$C$51</c:f>
              <c:numCache>
                <c:formatCode>General</c:formatCode>
                <c:ptCount val="50"/>
                <c:pt idx="0">
                  <c:v>-3.8900000000000002E-3</c:v>
                </c:pt>
                <c:pt idx="1">
                  <c:v>6.7870000000000014E-2</c:v>
                </c:pt>
                <c:pt idx="2">
                  <c:v>2.776E-2</c:v>
                </c:pt>
                <c:pt idx="3">
                  <c:v>6.0040000000000003E-2</c:v>
                </c:pt>
                <c:pt idx="4">
                  <c:v>2.8719999999999999E-2</c:v>
                </c:pt>
                <c:pt idx="5">
                  <c:v>6.3500000000000023E-3</c:v>
                </c:pt>
                <c:pt idx="6">
                  <c:v>-8.5300000000000046E-3</c:v>
                </c:pt>
                <c:pt idx="7">
                  <c:v>3.0350000000000002E-2</c:v>
                </c:pt>
                <c:pt idx="8">
                  <c:v>-5.1500000000000001E-3</c:v>
                </c:pt>
                <c:pt idx="9">
                  <c:v>-7.7500000000000095E-3</c:v>
                </c:pt>
                <c:pt idx="10">
                  <c:v>-1.1820000000000018E-2</c:v>
                </c:pt>
                <c:pt idx="11">
                  <c:v>1.8950000000000005E-2</c:v>
                </c:pt>
                <c:pt idx="12">
                  <c:v>2.299000000000001E-2</c:v>
                </c:pt>
                <c:pt idx="13">
                  <c:v>-1.4200000000000013E-3</c:v>
                </c:pt>
                <c:pt idx="14">
                  <c:v>3.6110000000000003E-2</c:v>
                </c:pt>
                <c:pt idx="15">
                  <c:v>1.209E-2</c:v>
                </c:pt>
                <c:pt idx="16">
                  <c:v>1.0800000000000013E-3</c:v>
                </c:pt>
                <c:pt idx="17">
                  <c:v>-2.0680000000000011E-2</c:v>
                </c:pt>
                <c:pt idx="18">
                  <c:v>-3.0800000000000037E-3</c:v>
                </c:pt>
                <c:pt idx="19">
                  <c:v>1.438E-2</c:v>
                </c:pt>
                <c:pt idx="20">
                  <c:v>-9.9500000000000109E-3</c:v>
                </c:pt>
                <c:pt idx="21">
                  <c:v>-1.017E-2</c:v>
                </c:pt>
                <c:pt idx="22">
                  <c:v>-1.3299999999999998E-2</c:v>
                </c:pt>
                <c:pt idx="23">
                  <c:v>-2.9900000000000026E-3</c:v>
                </c:pt>
                <c:pt idx="24">
                  <c:v>-1.2109999999999998E-2</c:v>
                </c:pt>
                <c:pt idx="25">
                  <c:v>-2.2300000000000002E-3</c:v>
                </c:pt>
                <c:pt idx="26">
                  <c:v>1.0330000000000001E-2</c:v>
                </c:pt>
                <c:pt idx="27">
                  <c:v>3.0000000000000027E-3</c:v>
                </c:pt>
                <c:pt idx="28">
                  <c:v>-1.7400000000000013E-3</c:v>
                </c:pt>
                <c:pt idx="29">
                  <c:v>9.0000000000000155E-5</c:v>
                </c:pt>
                <c:pt idx="30">
                  <c:v>-1.9550000000000001E-2</c:v>
                </c:pt>
                <c:pt idx="31">
                  <c:v>6.3000000000000079E-4</c:v>
                </c:pt>
                <c:pt idx="32">
                  <c:v>1.5360000000000013E-2</c:v>
                </c:pt>
                <c:pt idx="33">
                  <c:v>8.5000000000000147E-4</c:v>
                </c:pt>
                <c:pt idx="34">
                  <c:v>1.2680000000000012E-2</c:v>
                </c:pt>
                <c:pt idx="35">
                  <c:v>1.4919999999999998E-2</c:v>
                </c:pt>
                <c:pt idx="36">
                  <c:v>-1.0800000000000013E-3</c:v>
                </c:pt>
                <c:pt idx="37">
                  <c:v>-1.2600000000000014E-3</c:v>
                </c:pt>
                <c:pt idx="38">
                  <c:v>-3.7400000000000037E-3</c:v>
                </c:pt>
                <c:pt idx="39">
                  <c:v>6.2800000000000104E-3</c:v>
                </c:pt>
                <c:pt idx="40">
                  <c:v>-1.1890000000000001E-2</c:v>
                </c:pt>
                <c:pt idx="41">
                  <c:v>-9.4200000000000048E-3</c:v>
                </c:pt>
                <c:pt idx="42">
                  <c:v>1.3570000000000007E-2</c:v>
                </c:pt>
                <c:pt idx="43">
                  <c:v>2.0700000000000002E-3</c:v>
                </c:pt>
                <c:pt idx="44">
                  <c:v>-1.1150000000000005E-2</c:v>
                </c:pt>
                <c:pt idx="45">
                  <c:v>-4.2300000000000063E-3</c:v>
                </c:pt>
                <c:pt idx="46">
                  <c:v>6.1000000000000004E-3</c:v>
                </c:pt>
                <c:pt idx="47">
                  <c:v>-2.5100000000000001E-3</c:v>
                </c:pt>
                <c:pt idx="48">
                  <c:v>-2.5130000000000006E-2</c:v>
                </c:pt>
                <c:pt idx="49">
                  <c:v>1.6000000000000016E-3</c:v>
                </c:pt>
              </c:numCache>
            </c:numRef>
          </c:val>
          <c:smooth val="0"/>
        </c:ser>
        <c:dLbls>
          <c:showLegendKey val="0"/>
          <c:showVal val="0"/>
          <c:showCatName val="0"/>
          <c:showSerName val="0"/>
          <c:showPercent val="0"/>
          <c:showBubbleSize val="0"/>
        </c:dLbls>
        <c:marker val="1"/>
        <c:smooth val="0"/>
        <c:axId val="111360640"/>
        <c:axId val="111382912"/>
      </c:lineChart>
      <c:catAx>
        <c:axId val="111360640"/>
        <c:scaling>
          <c:orientation val="minMax"/>
        </c:scaling>
        <c:delete val="0"/>
        <c:axPos val="b"/>
        <c:numFmt formatCode="General" sourceLinked="1"/>
        <c:majorTickMark val="out"/>
        <c:minorTickMark val="none"/>
        <c:tickLblPos val="low"/>
        <c:crossAx val="111382912"/>
        <c:crosses val="autoZero"/>
        <c:auto val="1"/>
        <c:lblAlgn val="ctr"/>
        <c:lblOffset val="100"/>
        <c:tickLblSkip val="4"/>
        <c:noMultiLvlLbl val="0"/>
      </c:catAx>
      <c:valAx>
        <c:axId val="111382912"/>
        <c:scaling>
          <c:orientation val="minMax"/>
        </c:scaling>
        <c:delete val="0"/>
        <c:axPos val="l"/>
        <c:numFmt formatCode="General" sourceLinked="1"/>
        <c:majorTickMark val="out"/>
        <c:minorTickMark val="none"/>
        <c:tickLblPos val="nextTo"/>
        <c:crossAx val="111360640"/>
        <c:crosses val="autoZero"/>
        <c:crossBetween val="between"/>
      </c:valAx>
    </c:plotArea>
    <c:legend>
      <c:legendPos val="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1599B25-73D0-4459-B7AA-9FD0677E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17025</Words>
  <Characters>97049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dc:creator>
  <cp:lastModifiedBy>Adrian Lee</cp:lastModifiedBy>
  <cp:revision>16</cp:revision>
  <cp:lastPrinted>2015-03-24T02:13:00Z</cp:lastPrinted>
  <dcterms:created xsi:type="dcterms:W3CDTF">2015-03-24T04:43:00Z</dcterms:created>
  <dcterms:modified xsi:type="dcterms:W3CDTF">2015-05-19T03:28:00Z</dcterms:modified>
</cp:coreProperties>
</file>