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D77A" w14:textId="641103E4" w:rsidR="008E12A6" w:rsidRPr="00CE31DF" w:rsidRDefault="00CE31DF" w:rsidP="008E12A6">
      <w:pPr>
        <w:pStyle w:val="Authors"/>
      </w:pPr>
      <w:r w:rsidRPr="00CE31DF">
        <w:rPr>
          <w:b w:val="0"/>
          <w:iCs/>
          <w:caps/>
          <w:kern w:val="28"/>
          <w:sz w:val="28"/>
        </w:rPr>
        <w:t>Promoting sustainability: Innovations in flood management</w:t>
      </w:r>
      <w:r w:rsidRPr="00CE31DF">
        <w:rPr>
          <w:b w:val="0"/>
          <w:caps/>
          <w:kern w:val="28"/>
          <w:sz w:val="28"/>
        </w:rPr>
        <w:t xml:space="preserve"> </w:t>
      </w:r>
      <w:r>
        <w:t>PERNILLE CHRISTENSEN</w:t>
      </w:r>
      <w:r w:rsidR="00ED1D42">
        <w:rPr>
          <w:rStyle w:val="FootnoteReference"/>
        </w:rPr>
        <w:footnoteReference w:id="1"/>
      </w:r>
      <w:r>
        <w:t xml:space="preserve"> and KIMBERLY </w:t>
      </w:r>
      <w:r w:rsidRPr="00CE31DF">
        <w:rPr>
          <w:iCs/>
        </w:rPr>
        <w:t>WINSON-GEIDEMAN</w:t>
      </w:r>
      <w:r>
        <w:rPr>
          <w:rStyle w:val="FootnoteReference"/>
        </w:rPr>
        <w:footnoteReference w:id="2"/>
      </w:r>
    </w:p>
    <w:p w14:paraId="62578121" w14:textId="6CBC2F35" w:rsidR="00CE31DF" w:rsidRPr="00CE31DF" w:rsidRDefault="00CE31DF" w:rsidP="00CE31DF">
      <w:pPr>
        <w:pStyle w:val="Authors"/>
      </w:pPr>
      <w:r>
        <w:t>University of Technology Sydney</w:t>
      </w:r>
      <w:r w:rsidRPr="00CE31DF">
        <w:rPr>
          <w:vertAlign w:val="superscript"/>
        </w:rPr>
        <w:t>1</w:t>
      </w:r>
      <w:r>
        <w:rPr>
          <w:vertAlign w:val="superscript"/>
        </w:rPr>
        <w:t xml:space="preserve"> </w:t>
      </w:r>
      <w:r>
        <w:t xml:space="preserve">and </w:t>
      </w:r>
      <w:r w:rsidRPr="00CE31DF">
        <w:t>University of Melbourne</w:t>
      </w:r>
      <w:r w:rsidRPr="00CE31DF">
        <w:rPr>
          <w:vertAlign w:val="superscript"/>
        </w:rPr>
        <w:t>2</w:t>
      </w:r>
    </w:p>
    <w:p w14:paraId="166BAB7F" w14:textId="5C98A07E" w:rsidR="00CE31DF" w:rsidRDefault="00CE31DF" w:rsidP="00CE31DF">
      <w:pPr>
        <w:pStyle w:val="Authors"/>
        <w:rPr>
          <w:vertAlign w:val="superscript"/>
        </w:rPr>
      </w:pPr>
    </w:p>
    <w:p w14:paraId="7145101A" w14:textId="65D44E4F" w:rsidR="008E12A6" w:rsidRDefault="008E12A6" w:rsidP="008E12A6">
      <w:pPr>
        <w:pStyle w:val="Heading1"/>
      </w:pPr>
      <w:r>
        <w:t>Abstr</w:t>
      </w:r>
      <w:r w:rsidRPr="00FC7D67">
        <w:t>act</w:t>
      </w:r>
      <w:r w:rsidR="00496F0D">
        <w:t xml:space="preserve"> </w:t>
      </w:r>
      <w:r w:rsidR="00793F35">
        <w:t xml:space="preserve">  </w:t>
      </w:r>
    </w:p>
    <w:p w14:paraId="0E808203" w14:textId="00CB6A72" w:rsidR="00523F0B" w:rsidRPr="00523F0B" w:rsidRDefault="00523F0B" w:rsidP="00523F0B">
      <w:pPr>
        <w:rPr>
          <w:i/>
          <w:szCs w:val="22"/>
          <w:lang w:val="en-GB"/>
        </w:rPr>
      </w:pPr>
      <w:r w:rsidRPr="00523F0B">
        <w:rPr>
          <w:b/>
          <w:bCs/>
          <w:szCs w:val="22"/>
          <w:lang w:val="en-GB"/>
        </w:rPr>
        <w:t>Problem/Purpose</w:t>
      </w:r>
      <w:r w:rsidRPr="00523F0B">
        <w:rPr>
          <w:i/>
          <w:szCs w:val="22"/>
          <w:lang w:val="en-GB"/>
        </w:rPr>
        <w:t>: Developing flood preparation and mitigation plans is of increasing importance in Australian cities, particularly since the devastating Queensland floods of 2010 and Victorian floods of 2011. Local planning is generally more effective than national planning as the factors that impact areas including weather patterns, geography, and population density vary widely by region. T</w:t>
      </w:r>
      <w:r w:rsidR="00ED0383">
        <w:rPr>
          <w:i/>
          <w:szCs w:val="22"/>
          <w:lang w:val="en-GB"/>
        </w:rPr>
        <w:t>his study comprehensively analys</w:t>
      </w:r>
      <w:r w:rsidRPr="00523F0B">
        <w:rPr>
          <w:i/>
          <w:szCs w:val="22"/>
          <w:lang w:val="en-GB"/>
        </w:rPr>
        <w:t xml:space="preserve">es aspects of flood preparation, mitigation, and relief plans in </w:t>
      </w:r>
      <w:r w:rsidR="003F4F55">
        <w:rPr>
          <w:i/>
          <w:szCs w:val="22"/>
          <w:lang w:val="en-GB"/>
        </w:rPr>
        <w:t>two</w:t>
      </w:r>
      <w:r w:rsidRPr="00523F0B">
        <w:rPr>
          <w:i/>
          <w:szCs w:val="22"/>
          <w:lang w:val="en-GB"/>
        </w:rPr>
        <w:t xml:space="preserve"> coastal cities in the United States and offers those strategies as approaches that can be implemented in flood-prone areas of Australia. </w:t>
      </w:r>
    </w:p>
    <w:p w14:paraId="73085792" w14:textId="48EAEB7C" w:rsidR="00523F0B" w:rsidRPr="00523F0B" w:rsidRDefault="00523F0B" w:rsidP="00523F0B">
      <w:pPr>
        <w:rPr>
          <w:i/>
          <w:szCs w:val="22"/>
          <w:lang w:val="en-GB"/>
        </w:rPr>
      </w:pPr>
      <w:r w:rsidRPr="00523F0B">
        <w:rPr>
          <w:i/>
          <w:szCs w:val="22"/>
          <w:lang w:val="en-GB"/>
        </w:rPr>
        <w:t>The case studies provide</w:t>
      </w:r>
      <w:r w:rsidR="003F4F55">
        <w:rPr>
          <w:i/>
          <w:szCs w:val="22"/>
          <w:lang w:val="en-GB"/>
        </w:rPr>
        <w:t>d here include King County, Washington</w:t>
      </w:r>
      <w:r w:rsidR="001E3188">
        <w:rPr>
          <w:i/>
          <w:szCs w:val="22"/>
          <w:lang w:val="en-GB"/>
        </w:rPr>
        <w:t xml:space="preserve"> and Galveston, Texas. </w:t>
      </w:r>
      <w:r w:rsidRPr="00523F0B">
        <w:rPr>
          <w:i/>
          <w:szCs w:val="22"/>
          <w:lang w:val="en-GB"/>
        </w:rPr>
        <w:t xml:space="preserve">King County, Washington, home to the city of Seattle, </w:t>
      </w:r>
      <w:r w:rsidR="003F4F55">
        <w:rPr>
          <w:i/>
          <w:szCs w:val="22"/>
          <w:lang w:val="en-GB"/>
        </w:rPr>
        <w:t xml:space="preserve">is notable </w:t>
      </w:r>
      <w:r w:rsidRPr="00523F0B">
        <w:rPr>
          <w:i/>
          <w:szCs w:val="22"/>
          <w:lang w:val="en-GB"/>
        </w:rPr>
        <w:t xml:space="preserve">for </w:t>
      </w:r>
      <w:r w:rsidR="00BF47FA">
        <w:rPr>
          <w:i/>
          <w:szCs w:val="22"/>
          <w:lang w:val="en-GB"/>
        </w:rPr>
        <w:t xml:space="preserve">its highly </w:t>
      </w:r>
      <w:r w:rsidR="003F4F55">
        <w:rPr>
          <w:i/>
          <w:szCs w:val="22"/>
          <w:lang w:val="en-GB"/>
        </w:rPr>
        <w:t>rated disaster mitigation plan</w:t>
      </w:r>
      <w:r w:rsidR="001E3188">
        <w:rPr>
          <w:i/>
          <w:szCs w:val="22"/>
          <w:lang w:val="en-GB"/>
        </w:rPr>
        <w:t xml:space="preserve"> while Galveston is regularly </w:t>
      </w:r>
      <w:r w:rsidR="001E3188" w:rsidRPr="00523F0B">
        <w:rPr>
          <w:i/>
          <w:szCs w:val="22"/>
          <w:lang w:val="en-GB"/>
        </w:rPr>
        <w:t>subject to seasonal hurricanes and flooding issues</w:t>
      </w:r>
      <w:r w:rsidRPr="00523F0B">
        <w:rPr>
          <w:i/>
          <w:szCs w:val="22"/>
          <w:lang w:val="en-GB"/>
        </w:rPr>
        <w:t xml:space="preserve">. </w:t>
      </w:r>
    </w:p>
    <w:p w14:paraId="22147BDE" w14:textId="77777777" w:rsidR="00523F0B" w:rsidRPr="00523F0B" w:rsidRDefault="00523F0B" w:rsidP="00523F0B">
      <w:pPr>
        <w:rPr>
          <w:i/>
          <w:szCs w:val="22"/>
          <w:lang w:val="en-GB"/>
        </w:rPr>
      </w:pPr>
      <w:r w:rsidRPr="00523F0B">
        <w:rPr>
          <w:b/>
          <w:bCs/>
          <w:szCs w:val="22"/>
          <w:lang w:val="en-GB"/>
        </w:rPr>
        <w:t>Design/methodology/approach:</w:t>
      </w:r>
      <w:r w:rsidRPr="00523F0B">
        <w:rPr>
          <w:b/>
          <w:bCs/>
          <w:i/>
          <w:szCs w:val="22"/>
          <w:lang w:val="en-GB"/>
        </w:rPr>
        <w:t xml:space="preserve"> </w:t>
      </w:r>
      <w:r w:rsidRPr="00523F0B">
        <w:rPr>
          <w:i/>
          <w:szCs w:val="22"/>
          <w:lang w:val="en-GB"/>
        </w:rPr>
        <w:t xml:space="preserve">Using a case study approach, this research investigates innovative approaches to flood management used in the United States. </w:t>
      </w:r>
    </w:p>
    <w:p w14:paraId="06E0C8FF" w14:textId="184E64AB" w:rsidR="00523F0B" w:rsidRPr="00523F0B" w:rsidRDefault="00523F0B" w:rsidP="00523F0B">
      <w:pPr>
        <w:rPr>
          <w:i/>
          <w:szCs w:val="22"/>
          <w:lang w:val="en-GB"/>
        </w:rPr>
      </w:pPr>
      <w:r w:rsidRPr="00523F0B">
        <w:rPr>
          <w:b/>
          <w:bCs/>
          <w:szCs w:val="22"/>
          <w:lang w:val="en-GB"/>
        </w:rPr>
        <w:t>Findings:</w:t>
      </w:r>
      <w:r w:rsidRPr="00523F0B">
        <w:rPr>
          <w:b/>
          <w:bCs/>
          <w:i/>
          <w:szCs w:val="22"/>
          <w:lang w:val="en-GB"/>
        </w:rPr>
        <w:t xml:space="preserve"> </w:t>
      </w:r>
      <w:r w:rsidRPr="00523F0B">
        <w:rPr>
          <w:i/>
          <w:szCs w:val="22"/>
          <w:lang w:val="en-GB"/>
        </w:rPr>
        <w:t xml:space="preserve">The research offers </w:t>
      </w:r>
      <w:r w:rsidR="003F4F55">
        <w:rPr>
          <w:i/>
          <w:szCs w:val="22"/>
          <w:lang w:val="en-GB"/>
        </w:rPr>
        <w:t>several</w:t>
      </w:r>
      <w:r>
        <w:rPr>
          <w:i/>
          <w:szCs w:val="22"/>
          <w:lang w:val="en-GB"/>
        </w:rPr>
        <w:t xml:space="preserve"> best practice </w:t>
      </w:r>
      <w:r w:rsidRPr="00523F0B">
        <w:rPr>
          <w:i/>
          <w:szCs w:val="22"/>
          <w:lang w:val="en-GB"/>
        </w:rPr>
        <w:t xml:space="preserve">approaches to flood management that can be implemented in flood-prone areas in Australia. </w:t>
      </w:r>
    </w:p>
    <w:p w14:paraId="788B8DD7" w14:textId="1278C20D" w:rsidR="00523F0B" w:rsidRPr="00523F0B" w:rsidRDefault="00523F0B" w:rsidP="00523F0B">
      <w:pPr>
        <w:rPr>
          <w:i/>
          <w:szCs w:val="22"/>
          <w:lang w:val="en-GB"/>
        </w:rPr>
      </w:pPr>
      <w:r w:rsidRPr="00523F0B">
        <w:rPr>
          <w:b/>
          <w:bCs/>
          <w:szCs w:val="22"/>
          <w:lang w:val="en-GB"/>
        </w:rPr>
        <w:t>Research limitations/implications:</w:t>
      </w:r>
      <w:r w:rsidRPr="00523F0B">
        <w:rPr>
          <w:b/>
          <w:bCs/>
          <w:i/>
          <w:szCs w:val="22"/>
          <w:lang w:val="en-GB"/>
        </w:rPr>
        <w:t xml:space="preserve"> </w:t>
      </w:r>
      <w:r w:rsidRPr="00523F0B">
        <w:rPr>
          <w:i/>
          <w:szCs w:val="22"/>
          <w:lang w:val="en-GB"/>
        </w:rPr>
        <w:t xml:space="preserve">The solutions investigated were overseas and some adjustment may be necessary considering the different political climates and land regulations of Australia. </w:t>
      </w:r>
    </w:p>
    <w:p w14:paraId="1CCD5B95" w14:textId="3DB91C9A" w:rsidR="00523F0B" w:rsidRPr="00523F0B" w:rsidRDefault="00523F0B" w:rsidP="00523F0B">
      <w:pPr>
        <w:rPr>
          <w:i/>
          <w:szCs w:val="22"/>
          <w:lang w:val="en-GB"/>
        </w:rPr>
      </w:pPr>
      <w:r w:rsidRPr="00523F0B">
        <w:rPr>
          <w:b/>
          <w:bCs/>
          <w:szCs w:val="22"/>
          <w:lang w:val="en-GB"/>
        </w:rPr>
        <w:t>Takeaway for practice:</w:t>
      </w:r>
      <w:r w:rsidRPr="00523F0B">
        <w:rPr>
          <w:b/>
          <w:bCs/>
          <w:i/>
          <w:szCs w:val="22"/>
          <w:lang w:val="en-GB"/>
        </w:rPr>
        <w:t xml:space="preserve"> </w:t>
      </w:r>
      <w:r w:rsidRPr="00523F0B">
        <w:rPr>
          <w:i/>
          <w:szCs w:val="22"/>
          <w:lang w:val="en-GB"/>
        </w:rPr>
        <w:t xml:space="preserve">Flooding events in Australia have increased in the past decade, and each has had an increasing economic impact from damage to the built environment. This paper offers alternative approaches to flood management, which, if implemented, may reduce the social and economic impacts of future flooding events. </w:t>
      </w:r>
    </w:p>
    <w:p w14:paraId="0D3F1AF4" w14:textId="2DBEBC5B" w:rsidR="00523F0B" w:rsidRPr="00523F0B" w:rsidRDefault="00523F0B" w:rsidP="00523F0B">
      <w:pPr>
        <w:rPr>
          <w:i/>
          <w:szCs w:val="22"/>
          <w:lang w:val="en-GB"/>
        </w:rPr>
      </w:pPr>
      <w:r w:rsidRPr="00523F0B">
        <w:rPr>
          <w:b/>
          <w:bCs/>
          <w:szCs w:val="22"/>
          <w:lang w:val="en-GB"/>
        </w:rPr>
        <w:t>Originality/value:</w:t>
      </w:r>
      <w:r w:rsidRPr="00523F0B">
        <w:rPr>
          <w:b/>
          <w:bCs/>
          <w:i/>
          <w:szCs w:val="22"/>
          <w:lang w:val="en-GB"/>
        </w:rPr>
        <w:t xml:space="preserve"> </w:t>
      </w:r>
      <w:r w:rsidR="003F4F55">
        <w:rPr>
          <w:i/>
          <w:szCs w:val="22"/>
          <w:lang w:val="en-GB"/>
        </w:rPr>
        <w:t>T</w:t>
      </w:r>
      <w:r w:rsidR="00F0168A">
        <w:rPr>
          <w:i/>
          <w:szCs w:val="22"/>
          <w:lang w:val="en-GB"/>
        </w:rPr>
        <w:t>his</w:t>
      </w:r>
      <w:r w:rsidRPr="00523F0B">
        <w:rPr>
          <w:i/>
          <w:szCs w:val="22"/>
          <w:lang w:val="en-GB"/>
        </w:rPr>
        <w:t xml:space="preserve"> </w:t>
      </w:r>
      <w:r w:rsidR="003F4F55">
        <w:rPr>
          <w:i/>
          <w:szCs w:val="22"/>
          <w:lang w:val="en-GB"/>
        </w:rPr>
        <w:t xml:space="preserve">paper offers alternative flood mitigation and disaster preparedness strategies </w:t>
      </w:r>
      <w:r w:rsidR="003F4F55" w:rsidRPr="00523F0B">
        <w:rPr>
          <w:i/>
          <w:szCs w:val="22"/>
          <w:lang w:val="en-GB"/>
        </w:rPr>
        <w:t xml:space="preserve">for use by Australian </w:t>
      </w:r>
      <w:r w:rsidR="003F4F55">
        <w:rPr>
          <w:i/>
          <w:szCs w:val="22"/>
          <w:lang w:val="en-GB"/>
        </w:rPr>
        <w:t xml:space="preserve">policy-makers, </w:t>
      </w:r>
      <w:r w:rsidR="003F4F55" w:rsidRPr="00523F0B">
        <w:rPr>
          <w:i/>
          <w:szCs w:val="22"/>
          <w:lang w:val="en-GB"/>
        </w:rPr>
        <w:t>planni</w:t>
      </w:r>
      <w:r w:rsidR="003F4F55">
        <w:rPr>
          <w:i/>
          <w:szCs w:val="22"/>
          <w:lang w:val="en-GB"/>
        </w:rPr>
        <w:t>ng and property professionals</w:t>
      </w:r>
      <w:r w:rsidRPr="00523F0B">
        <w:rPr>
          <w:i/>
          <w:szCs w:val="22"/>
          <w:lang w:val="en-GB"/>
        </w:rPr>
        <w:t xml:space="preserve">. </w:t>
      </w:r>
      <w:r w:rsidR="00F0168A">
        <w:rPr>
          <w:i/>
          <w:szCs w:val="22"/>
          <w:lang w:val="en-GB"/>
        </w:rPr>
        <w:t xml:space="preserve"> We investigate and present r</w:t>
      </w:r>
      <w:r w:rsidRPr="00523F0B">
        <w:rPr>
          <w:i/>
          <w:szCs w:val="22"/>
          <w:lang w:val="en-GB"/>
        </w:rPr>
        <w:t>esponsible, pro-active approach</w:t>
      </w:r>
      <w:r w:rsidR="003F4F55">
        <w:rPr>
          <w:i/>
          <w:szCs w:val="22"/>
          <w:lang w:val="en-GB"/>
        </w:rPr>
        <w:t>es</w:t>
      </w:r>
      <w:r w:rsidRPr="00523F0B">
        <w:rPr>
          <w:i/>
          <w:szCs w:val="22"/>
          <w:lang w:val="en-GB"/>
        </w:rPr>
        <w:t xml:space="preserve"> to flood management </w:t>
      </w:r>
      <w:r w:rsidR="003F4F55">
        <w:rPr>
          <w:i/>
          <w:szCs w:val="22"/>
          <w:lang w:val="en-GB"/>
        </w:rPr>
        <w:t xml:space="preserve">that </w:t>
      </w:r>
      <w:r w:rsidR="00F0168A">
        <w:rPr>
          <w:i/>
          <w:szCs w:val="22"/>
          <w:lang w:val="en-GB"/>
        </w:rPr>
        <w:t>have the potential to</w:t>
      </w:r>
      <w:r w:rsidR="003F4F55">
        <w:rPr>
          <w:i/>
          <w:szCs w:val="22"/>
          <w:lang w:val="en-GB"/>
        </w:rPr>
        <w:t xml:space="preserve"> reduce</w:t>
      </w:r>
      <w:r w:rsidR="00F0168A">
        <w:rPr>
          <w:i/>
          <w:szCs w:val="22"/>
          <w:lang w:val="en-GB"/>
        </w:rPr>
        <w:t xml:space="preserve"> the</w:t>
      </w:r>
      <w:r w:rsidRPr="00523F0B">
        <w:rPr>
          <w:i/>
          <w:szCs w:val="22"/>
          <w:lang w:val="en-GB"/>
        </w:rPr>
        <w:t xml:space="preserve"> social and economic impacts of future flooding events. </w:t>
      </w:r>
    </w:p>
    <w:p w14:paraId="448FF7D1" w14:textId="77777777" w:rsidR="00523F0B" w:rsidRDefault="00523F0B" w:rsidP="00523F0B">
      <w:pPr>
        <w:rPr>
          <w:b/>
          <w:bCs/>
          <w:szCs w:val="22"/>
          <w:lang w:val="en-GB"/>
        </w:rPr>
      </w:pPr>
    </w:p>
    <w:p w14:paraId="4BCF6FD1" w14:textId="54798C1C" w:rsidR="00ED1D42" w:rsidRPr="00523F0B" w:rsidRDefault="00523F0B" w:rsidP="00523F0B">
      <w:pPr>
        <w:rPr>
          <w:szCs w:val="22"/>
        </w:rPr>
      </w:pPr>
      <w:r w:rsidRPr="00523F0B">
        <w:rPr>
          <w:b/>
          <w:bCs/>
          <w:szCs w:val="22"/>
          <w:lang w:val="en-GB"/>
        </w:rPr>
        <w:t xml:space="preserve">Key words: </w:t>
      </w:r>
      <w:r w:rsidRPr="00523F0B">
        <w:rPr>
          <w:szCs w:val="22"/>
          <w:lang w:val="en-GB"/>
        </w:rPr>
        <w:t>flood mitigation strategies, flood adaptation, urban resilience, sustainability, disaster planning</w:t>
      </w:r>
    </w:p>
    <w:p w14:paraId="6222DC59" w14:textId="77777777" w:rsidR="00523F0B" w:rsidRDefault="00523F0B" w:rsidP="00ED1D42">
      <w:pPr>
        <w:rPr>
          <w:szCs w:val="22"/>
        </w:rPr>
      </w:pPr>
    </w:p>
    <w:p w14:paraId="4C950B4B" w14:textId="4C38124B" w:rsidR="00523F0B" w:rsidRDefault="00523F0B" w:rsidP="00517408">
      <w:pPr>
        <w:spacing w:before="0" w:after="0"/>
        <w:jc w:val="left"/>
        <w:rPr>
          <w:b/>
          <w:sz w:val="24"/>
        </w:rPr>
      </w:pPr>
      <w:r>
        <w:rPr>
          <w:b/>
          <w:sz w:val="24"/>
        </w:rPr>
        <w:t>INTRODUCTION</w:t>
      </w:r>
    </w:p>
    <w:p w14:paraId="04521103" w14:textId="7E6FF273" w:rsidR="000B4502" w:rsidRDefault="00E12961" w:rsidP="00523F0B">
      <w:pPr>
        <w:rPr>
          <w:szCs w:val="22"/>
        </w:rPr>
      </w:pPr>
      <w:r>
        <w:rPr>
          <w:szCs w:val="22"/>
        </w:rPr>
        <w:t>Australia is subject to a number of regularly occurring</w:t>
      </w:r>
      <w:r w:rsidR="00E450C2">
        <w:rPr>
          <w:szCs w:val="22"/>
        </w:rPr>
        <w:t xml:space="preserve"> natural disasters</w:t>
      </w:r>
      <w:r>
        <w:rPr>
          <w:szCs w:val="22"/>
        </w:rPr>
        <w:t xml:space="preserve"> </w:t>
      </w:r>
      <w:r w:rsidR="00E450C2">
        <w:rPr>
          <w:szCs w:val="22"/>
        </w:rPr>
        <w:t>including</w:t>
      </w:r>
      <w:r>
        <w:rPr>
          <w:szCs w:val="22"/>
        </w:rPr>
        <w:t xml:space="preserve"> floods, bushfires, tropical cyclones</w:t>
      </w:r>
      <w:r w:rsidR="00E450C2">
        <w:rPr>
          <w:szCs w:val="22"/>
        </w:rPr>
        <w:t>, and drought, e</w:t>
      </w:r>
      <w:r w:rsidR="00835910">
        <w:rPr>
          <w:szCs w:val="22"/>
        </w:rPr>
        <w:t xml:space="preserve">vents that occur as part of </w:t>
      </w:r>
      <w:r w:rsidR="00E450C2">
        <w:rPr>
          <w:szCs w:val="22"/>
        </w:rPr>
        <w:t xml:space="preserve">natural weather patterns and some that are exacerbated by alterations to the landscape through development, farming and other man-made causes.  </w:t>
      </w:r>
      <w:r w:rsidR="005E1E79">
        <w:rPr>
          <w:szCs w:val="22"/>
        </w:rPr>
        <w:t>The government is proactive in its attempt to prepare policies and plans to respond to and minimise impacts during these crises, but recent events have proven much of that planning</w:t>
      </w:r>
      <w:r w:rsidR="000B4502">
        <w:rPr>
          <w:szCs w:val="22"/>
        </w:rPr>
        <w:t xml:space="preserve"> to be insufficient.  Flooding has been of particular concern as several large-scale events have impacted the three most populous states</w:t>
      </w:r>
      <w:r w:rsidR="00835910">
        <w:rPr>
          <w:szCs w:val="22"/>
        </w:rPr>
        <w:t xml:space="preserve"> since 2010</w:t>
      </w:r>
      <w:r w:rsidR="00C661B2">
        <w:rPr>
          <w:szCs w:val="22"/>
        </w:rPr>
        <w:t xml:space="preserve"> with damages estimated at well over AU$1 billion.  </w:t>
      </w:r>
      <w:r w:rsidR="00C6561B">
        <w:rPr>
          <w:szCs w:val="22"/>
        </w:rPr>
        <w:t>Specific incidences include t</w:t>
      </w:r>
      <w:r w:rsidR="00C661B2">
        <w:rPr>
          <w:szCs w:val="22"/>
        </w:rPr>
        <w:t>he Brisbane and Quee</w:t>
      </w:r>
      <w:r w:rsidR="00C6561B">
        <w:rPr>
          <w:szCs w:val="22"/>
        </w:rPr>
        <w:t>nsland flood of 2010-11 that resulted in</w:t>
      </w:r>
      <w:r w:rsidR="00F1018E">
        <w:rPr>
          <w:szCs w:val="22"/>
        </w:rPr>
        <w:t xml:space="preserve"> three-quarters of the state</w:t>
      </w:r>
      <w:r w:rsidR="00C6561B">
        <w:rPr>
          <w:szCs w:val="22"/>
        </w:rPr>
        <w:t xml:space="preserve"> being declared a disaster zone.  Later in 2011 f</w:t>
      </w:r>
      <w:r w:rsidR="00C661B2">
        <w:rPr>
          <w:szCs w:val="22"/>
        </w:rPr>
        <w:t xml:space="preserve">ifty Victorian communities </w:t>
      </w:r>
      <w:r w:rsidR="00C661B2">
        <w:rPr>
          <w:szCs w:val="22"/>
        </w:rPr>
        <w:lastRenderedPageBreak/>
        <w:t xml:space="preserve">were </w:t>
      </w:r>
      <w:r w:rsidR="002B5D75">
        <w:rPr>
          <w:szCs w:val="22"/>
        </w:rPr>
        <w:t xml:space="preserve">inundated with significant flooding, and in 2013 cyclone-related flooding </w:t>
      </w:r>
      <w:r w:rsidR="00967343">
        <w:rPr>
          <w:szCs w:val="22"/>
        </w:rPr>
        <w:t xml:space="preserve">in New South Wales and Queensland forced </w:t>
      </w:r>
      <w:r w:rsidR="00835910">
        <w:rPr>
          <w:szCs w:val="22"/>
        </w:rPr>
        <w:t xml:space="preserve">one of </w:t>
      </w:r>
      <w:r w:rsidR="002B5D75">
        <w:rPr>
          <w:szCs w:val="22"/>
        </w:rPr>
        <w:t>the large</w:t>
      </w:r>
      <w:r w:rsidR="00835910">
        <w:rPr>
          <w:szCs w:val="22"/>
        </w:rPr>
        <w:t>st evacuation</w:t>
      </w:r>
      <w:r w:rsidR="00C8138A">
        <w:rPr>
          <w:szCs w:val="22"/>
        </w:rPr>
        <w:t>s</w:t>
      </w:r>
      <w:r w:rsidR="00835910">
        <w:rPr>
          <w:szCs w:val="22"/>
        </w:rPr>
        <w:t xml:space="preserve"> ever</w:t>
      </w:r>
      <w:r w:rsidR="00C8138A">
        <w:rPr>
          <w:szCs w:val="22"/>
        </w:rPr>
        <w:t>, with over</w:t>
      </w:r>
      <w:r w:rsidR="002B5D75">
        <w:rPr>
          <w:szCs w:val="22"/>
        </w:rPr>
        <w:t xml:space="preserve"> 700 businesses and 2000 homes affected</w:t>
      </w:r>
      <w:r w:rsidR="00C8138A">
        <w:rPr>
          <w:szCs w:val="22"/>
        </w:rPr>
        <w:t>.</w:t>
      </w:r>
      <w:r w:rsidR="00C6561B">
        <w:rPr>
          <w:szCs w:val="22"/>
        </w:rPr>
        <w:t xml:space="preserve"> </w:t>
      </w:r>
    </w:p>
    <w:p w14:paraId="32189D93" w14:textId="171498BD" w:rsidR="00FC0227" w:rsidRPr="00377936" w:rsidRDefault="00FC0227" w:rsidP="00FC0227">
      <w:pPr>
        <w:pStyle w:val="ReferenceList"/>
        <w:rPr>
          <w:szCs w:val="22"/>
        </w:rPr>
      </w:pPr>
      <w:r w:rsidRPr="00377936">
        <w:rPr>
          <w:szCs w:val="22"/>
        </w:rPr>
        <w:t xml:space="preserve">Effective </w:t>
      </w:r>
      <w:r w:rsidR="00403878">
        <w:rPr>
          <w:szCs w:val="22"/>
        </w:rPr>
        <w:t xml:space="preserve">local </w:t>
      </w:r>
      <w:r>
        <w:rPr>
          <w:szCs w:val="22"/>
        </w:rPr>
        <w:t xml:space="preserve">disaster mitigation </w:t>
      </w:r>
      <w:r w:rsidRPr="00377936">
        <w:rPr>
          <w:szCs w:val="22"/>
        </w:rPr>
        <w:t xml:space="preserve">plans need to be supported by </w:t>
      </w:r>
      <w:r w:rsidR="00403878">
        <w:rPr>
          <w:szCs w:val="22"/>
        </w:rPr>
        <w:t xml:space="preserve">both </w:t>
      </w:r>
      <w:r w:rsidRPr="00377936">
        <w:rPr>
          <w:szCs w:val="22"/>
        </w:rPr>
        <w:t xml:space="preserve">federal </w:t>
      </w:r>
      <w:r>
        <w:rPr>
          <w:szCs w:val="22"/>
        </w:rPr>
        <w:t>and</w:t>
      </w:r>
      <w:r w:rsidRPr="00377936">
        <w:rPr>
          <w:szCs w:val="22"/>
        </w:rPr>
        <w:t xml:space="preserve"> state policy</w:t>
      </w:r>
      <w:r>
        <w:rPr>
          <w:szCs w:val="22"/>
        </w:rPr>
        <w:t xml:space="preserve"> (Berke, Lyles and Smith, 2014)</w:t>
      </w:r>
      <w:r w:rsidRPr="00377936">
        <w:rPr>
          <w:szCs w:val="22"/>
        </w:rPr>
        <w:t xml:space="preserve">. </w:t>
      </w:r>
      <w:r>
        <w:rPr>
          <w:szCs w:val="22"/>
        </w:rPr>
        <w:t xml:space="preserve">Because a </w:t>
      </w:r>
      <w:r w:rsidRPr="00377936">
        <w:rPr>
          <w:szCs w:val="22"/>
        </w:rPr>
        <w:t>proactive approach to flood prevention is not always the mo</w:t>
      </w:r>
      <w:r>
        <w:rPr>
          <w:szCs w:val="22"/>
        </w:rPr>
        <w:t>st politically expedient one, i</w:t>
      </w:r>
      <w:r w:rsidRPr="00377936">
        <w:rPr>
          <w:szCs w:val="22"/>
        </w:rPr>
        <w:t xml:space="preserve">ncentives need to be in place at all levels </w:t>
      </w:r>
      <w:r>
        <w:rPr>
          <w:szCs w:val="22"/>
        </w:rPr>
        <w:t xml:space="preserve">to help motivate the implementation of protective measures.  </w:t>
      </w:r>
      <w:r w:rsidRPr="00377936">
        <w:rPr>
          <w:szCs w:val="22"/>
        </w:rPr>
        <w:t>The costs of reconstruction, espec</w:t>
      </w:r>
      <w:r w:rsidR="00C6561B">
        <w:rPr>
          <w:szCs w:val="22"/>
        </w:rPr>
        <w:t xml:space="preserve">ially </w:t>
      </w:r>
      <w:r w:rsidR="00403878">
        <w:rPr>
          <w:szCs w:val="22"/>
        </w:rPr>
        <w:t xml:space="preserve">after </w:t>
      </w:r>
      <w:r w:rsidR="00C6561B">
        <w:rPr>
          <w:szCs w:val="22"/>
        </w:rPr>
        <w:t>large-scale disasters</w:t>
      </w:r>
      <w:r w:rsidRPr="00377936">
        <w:rPr>
          <w:szCs w:val="22"/>
        </w:rPr>
        <w:t xml:space="preserve">, are </w:t>
      </w:r>
      <w:r w:rsidR="00403878">
        <w:rPr>
          <w:szCs w:val="22"/>
        </w:rPr>
        <w:t xml:space="preserve">most often </w:t>
      </w:r>
      <w:r>
        <w:rPr>
          <w:szCs w:val="22"/>
        </w:rPr>
        <w:t>borne at the federal level</w:t>
      </w:r>
      <w:r w:rsidR="00403878">
        <w:rPr>
          <w:szCs w:val="22"/>
        </w:rPr>
        <w:t xml:space="preserve">; as a result </w:t>
      </w:r>
      <w:r>
        <w:rPr>
          <w:szCs w:val="22"/>
        </w:rPr>
        <w:t>l</w:t>
      </w:r>
      <w:r w:rsidRPr="00377936">
        <w:rPr>
          <w:szCs w:val="22"/>
        </w:rPr>
        <w:t>ocal governments are often unwilling partners</w:t>
      </w:r>
      <w:r w:rsidR="00C6561B">
        <w:rPr>
          <w:szCs w:val="22"/>
        </w:rPr>
        <w:t xml:space="preserve"> to disaster mitigation efforts.  P</w:t>
      </w:r>
      <w:r>
        <w:rPr>
          <w:szCs w:val="22"/>
        </w:rPr>
        <w:t>lans</w:t>
      </w:r>
      <w:r w:rsidRPr="00377936">
        <w:rPr>
          <w:szCs w:val="22"/>
        </w:rPr>
        <w:t xml:space="preserve"> are typically long-term, outlasting the tenure of politicians, and </w:t>
      </w:r>
      <w:r>
        <w:rPr>
          <w:szCs w:val="22"/>
        </w:rPr>
        <w:t xml:space="preserve">may </w:t>
      </w:r>
      <w:r w:rsidRPr="00377936">
        <w:rPr>
          <w:szCs w:val="22"/>
        </w:rPr>
        <w:t>include areas outside of their jurisdiction</w:t>
      </w:r>
      <w:r w:rsidR="00403878">
        <w:rPr>
          <w:szCs w:val="22"/>
        </w:rPr>
        <w:t xml:space="preserve"> -</w:t>
      </w:r>
      <w:r w:rsidRPr="00377936">
        <w:rPr>
          <w:szCs w:val="22"/>
        </w:rPr>
        <w:t xml:space="preserve"> e.g. </w:t>
      </w:r>
      <w:r>
        <w:rPr>
          <w:szCs w:val="22"/>
        </w:rPr>
        <w:t xml:space="preserve">delineated </w:t>
      </w:r>
      <w:r w:rsidRPr="00377936">
        <w:rPr>
          <w:szCs w:val="22"/>
        </w:rPr>
        <w:t xml:space="preserve">by watershed or geography rather than arbitrary political boundaries.  Furthermore, </w:t>
      </w:r>
      <w:r w:rsidR="00403878">
        <w:rPr>
          <w:szCs w:val="22"/>
        </w:rPr>
        <w:t xml:space="preserve">because </w:t>
      </w:r>
      <w:r w:rsidRPr="00377936">
        <w:rPr>
          <w:szCs w:val="22"/>
        </w:rPr>
        <w:t xml:space="preserve">prevention measures are </w:t>
      </w:r>
      <w:r>
        <w:rPr>
          <w:szCs w:val="22"/>
        </w:rPr>
        <w:t xml:space="preserve">sometimes </w:t>
      </w:r>
      <w:r w:rsidRPr="00377936">
        <w:rPr>
          <w:szCs w:val="22"/>
        </w:rPr>
        <w:t>hidden</w:t>
      </w:r>
      <w:r w:rsidR="00403878">
        <w:rPr>
          <w:szCs w:val="22"/>
        </w:rPr>
        <w:t xml:space="preserve">, in contrast to </w:t>
      </w:r>
      <w:r w:rsidRPr="00377936">
        <w:rPr>
          <w:szCs w:val="22"/>
        </w:rPr>
        <w:t xml:space="preserve">post disaster actions </w:t>
      </w:r>
      <w:r w:rsidR="00403878">
        <w:rPr>
          <w:szCs w:val="22"/>
        </w:rPr>
        <w:t xml:space="preserve">which has </w:t>
      </w:r>
      <w:r w:rsidRPr="00377936">
        <w:rPr>
          <w:szCs w:val="22"/>
        </w:rPr>
        <w:t xml:space="preserve">immediate and apparent </w:t>
      </w:r>
      <w:r w:rsidR="00403878">
        <w:rPr>
          <w:szCs w:val="22"/>
        </w:rPr>
        <w:t xml:space="preserve">impacts </w:t>
      </w:r>
      <w:r w:rsidRPr="00377936">
        <w:rPr>
          <w:szCs w:val="22"/>
        </w:rPr>
        <w:t>(Burby et al. 1999; Burby 2006; Mileti 1999)</w:t>
      </w:r>
      <w:r w:rsidR="00403878">
        <w:rPr>
          <w:szCs w:val="22"/>
        </w:rPr>
        <w:t xml:space="preserve"> politicians sometimes struggle to justify the investment in these measures.</w:t>
      </w:r>
      <w:r w:rsidRPr="00377936">
        <w:rPr>
          <w:szCs w:val="22"/>
        </w:rPr>
        <w:t xml:space="preserve"> </w:t>
      </w:r>
    </w:p>
    <w:p w14:paraId="09F39E99" w14:textId="3A847818" w:rsidR="00523F0B" w:rsidRPr="00523F0B" w:rsidRDefault="00FC0227" w:rsidP="00523F0B">
      <w:pPr>
        <w:rPr>
          <w:szCs w:val="22"/>
        </w:rPr>
      </w:pPr>
      <w:r w:rsidRPr="00FC0227">
        <w:rPr>
          <w:color w:val="000000" w:themeColor="text1"/>
        </w:rPr>
        <w:t xml:space="preserve">Hazard mitigation is </w:t>
      </w:r>
      <w:r w:rsidR="00C6561B">
        <w:rPr>
          <w:color w:val="000000" w:themeColor="text1"/>
        </w:rPr>
        <w:t>typically</w:t>
      </w:r>
      <w:r w:rsidRPr="00FC0227">
        <w:rPr>
          <w:color w:val="000000" w:themeColor="text1"/>
        </w:rPr>
        <w:t xml:space="preserve"> defined as action taken to reduce the effects of natural hazards on a place and its population. </w:t>
      </w:r>
      <w:r w:rsidR="005E1E79">
        <w:rPr>
          <w:szCs w:val="22"/>
        </w:rPr>
        <w:t xml:space="preserve">This research focuses on flood preparation </w:t>
      </w:r>
      <w:r w:rsidR="00BD6A6D">
        <w:rPr>
          <w:szCs w:val="22"/>
        </w:rPr>
        <w:t>as part of an overall disaster preparedness plan.  We examine two highly rated plans in the United States, one in King County, Washington and another in Galveston, Texas, extracting key lessons that can be used as a framework to improve and enhance disaster plans in the Australian context.  We recognise that while it is unlikely all aspects of these plans will be applicable, we hope to provide some</w:t>
      </w:r>
      <w:r w:rsidR="000B4502">
        <w:rPr>
          <w:szCs w:val="22"/>
        </w:rPr>
        <w:t xml:space="preserve"> general insight and fodder for future mitigation and preparedness efforts.</w:t>
      </w:r>
    </w:p>
    <w:p w14:paraId="3DDDC8C5" w14:textId="77777777" w:rsidR="00515F88" w:rsidRDefault="00515F88" w:rsidP="00F6241F">
      <w:pPr>
        <w:rPr>
          <w:b/>
          <w:sz w:val="24"/>
        </w:rPr>
      </w:pPr>
    </w:p>
    <w:p w14:paraId="7DA36D53" w14:textId="40094524" w:rsidR="00F6241F" w:rsidRPr="00523F0B" w:rsidRDefault="00F6241F" w:rsidP="00F6241F">
      <w:pPr>
        <w:rPr>
          <w:b/>
          <w:sz w:val="24"/>
        </w:rPr>
      </w:pPr>
      <w:r>
        <w:rPr>
          <w:b/>
          <w:sz w:val="24"/>
        </w:rPr>
        <w:t>UNITED STATES NATIONAL POLICY CONTEXT</w:t>
      </w:r>
    </w:p>
    <w:p w14:paraId="46673509" w14:textId="422BA2D4" w:rsidR="0000703D" w:rsidRPr="00517408" w:rsidRDefault="00C6561B" w:rsidP="00567AFD">
      <w:pPr>
        <w:tabs>
          <w:tab w:val="num" w:pos="720"/>
        </w:tabs>
        <w:rPr>
          <w:lang w:val="en"/>
        </w:rPr>
      </w:pPr>
      <w:r>
        <w:rPr>
          <w:color w:val="000000" w:themeColor="text1"/>
        </w:rPr>
        <w:t>Disaster mitigation policy in the United States is a combination of mandates and incentive-based p</w:t>
      </w:r>
      <w:r w:rsidR="00567AFD">
        <w:rPr>
          <w:color w:val="000000" w:themeColor="text1"/>
        </w:rPr>
        <w:t xml:space="preserve">rograms </w:t>
      </w:r>
      <w:r>
        <w:rPr>
          <w:color w:val="000000" w:themeColor="text1"/>
        </w:rPr>
        <w:t xml:space="preserve">designed to encourage state and local governments to develop plans and mitigation procedures that best protect against the hazards and conditions they are commonly subject to. </w:t>
      </w:r>
      <w:r w:rsidR="00567AFD">
        <w:rPr>
          <w:color w:val="000000" w:themeColor="text1"/>
        </w:rPr>
        <w:t xml:space="preserve"> The creation and implementation of these policies has been ongoing since the establishment of the National Flood Insurance Program (NFIP) under the National Flood Insurance Act of 1968.  </w:t>
      </w:r>
    </w:p>
    <w:p w14:paraId="00B5E162" w14:textId="31107D9C" w:rsidR="00D75518" w:rsidRDefault="00D75518" w:rsidP="00D75518">
      <w:pPr>
        <w:tabs>
          <w:tab w:val="num" w:pos="720"/>
        </w:tabs>
        <w:rPr>
          <w:lang w:val="en"/>
        </w:rPr>
      </w:pPr>
      <w:r>
        <w:rPr>
          <w:color w:val="000000" w:themeColor="text1"/>
        </w:rPr>
        <w:t>One of the most successful components of federal flood mitigation policy is the Community Rating System (CSR), a voluntary, incentive-</w:t>
      </w:r>
      <w:r w:rsidRPr="005D3DBA">
        <w:rPr>
          <w:color w:val="000000" w:themeColor="text1"/>
        </w:rPr>
        <w:t xml:space="preserve">based program </w:t>
      </w:r>
      <w:r>
        <w:rPr>
          <w:color w:val="000000" w:themeColor="text1"/>
        </w:rPr>
        <w:t xml:space="preserve">administered by the Federal Emergency Management Agency (FEMA) and established under reforms to the NFIP in 1994. CSR recognizes proactive </w:t>
      </w:r>
      <w:r w:rsidRPr="005D3DBA">
        <w:rPr>
          <w:color w:val="000000" w:themeColor="text1"/>
        </w:rPr>
        <w:t>efforts</w:t>
      </w:r>
      <w:r>
        <w:rPr>
          <w:color w:val="000000" w:themeColor="text1"/>
        </w:rPr>
        <w:t xml:space="preserve"> made by </w:t>
      </w:r>
      <w:r w:rsidRPr="005D3DBA">
        <w:rPr>
          <w:color w:val="000000" w:themeColor="text1"/>
        </w:rPr>
        <w:t>communities to exceed the minimum mandated requirements of the NFIP</w:t>
      </w:r>
      <w:r>
        <w:rPr>
          <w:color w:val="000000" w:themeColor="text1"/>
        </w:rPr>
        <w:t xml:space="preserve"> and </w:t>
      </w:r>
      <w:r>
        <w:t xml:space="preserve">incentivises the establishment of flood protection and mitigation systems.  As communities achieve greater level of compliance with the program objectives, policyholders receive insurance premium reductions ranging from 5%-45% which reflects </w:t>
      </w:r>
      <w:r w:rsidRPr="0000703D">
        <w:rPr>
          <w:lang w:val="en"/>
        </w:rPr>
        <w:t xml:space="preserve">the </w:t>
      </w:r>
      <w:r>
        <w:rPr>
          <w:lang w:val="en"/>
        </w:rPr>
        <w:t xml:space="preserve">relative reduction of </w:t>
      </w:r>
      <w:r w:rsidRPr="0000703D">
        <w:rPr>
          <w:lang w:val="en"/>
        </w:rPr>
        <w:t>flood risk resulting from community efforts toward achieving the three CRS goals</w:t>
      </w:r>
      <w:r>
        <w:rPr>
          <w:lang w:val="en"/>
        </w:rPr>
        <w:t xml:space="preserve"> of </w:t>
      </w:r>
    </w:p>
    <w:p w14:paraId="5C942073" w14:textId="77777777" w:rsidR="00D75518" w:rsidRDefault="00D75518" w:rsidP="00D75518">
      <w:pPr>
        <w:pStyle w:val="ListParagraph"/>
        <w:numPr>
          <w:ilvl w:val="0"/>
          <w:numId w:val="6"/>
        </w:numPr>
        <w:tabs>
          <w:tab w:val="num" w:pos="720"/>
        </w:tabs>
        <w:rPr>
          <w:lang w:val="en"/>
        </w:rPr>
      </w:pPr>
      <w:r w:rsidRPr="00517408">
        <w:rPr>
          <w:lang w:val="en"/>
        </w:rPr>
        <w:t>Reduce</w:t>
      </w:r>
      <w:r>
        <w:rPr>
          <w:lang w:val="en"/>
        </w:rPr>
        <w:t>d</w:t>
      </w:r>
      <w:r w:rsidRPr="00517408">
        <w:rPr>
          <w:lang w:val="en"/>
        </w:rPr>
        <w:t xml:space="preserve"> flood damage to insurable property; </w:t>
      </w:r>
    </w:p>
    <w:p w14:paraId="39ADD04B" w14:textId="77777777" w:rsidR="00D75518" w:rsidRDefault="00D75518" w:rsidP="00D75518">
      <w:pPr>
        <w:pStyle w:val="ListParagraph"/>
        <w:numPr>
          <w:ilvl w:val="0"/>
          <w:numId w:val="6"/>
        </w:numPr>
        <w:tabs>
          <w:tab w:val="num" w:pos="720"/>
        </w:tabs>
        <w:rPr>
          <w:lang w:val="en"/>
        </w:rPr>
      </w:pPr>
      <w:r w:rsidRPr="00517408">
        <w:rPr>
          <w:lang w:val="en"/>
        </w:rPr>
        <w:t>Strengthen</w:t>
      </w:r>
      <w:r>
        <w:rPr>
          <w:lang w:val="en"/>
        </w:rPr>
        <w:t xml:space="preserve">ed </w:t>
      </w:r>
      <w:r w:rsidRPr="00517408">
        <w:rPr>
          <w:lang w:val="en"/>
        </w:rPr>
        <w:t xml:space="preserve">support </w:t>
      </w:r>
      <w:r>
        <w:rPr>
          <w:lang w:val="en"/>
        </w:rPr>
        <w:t xml:space="preserve">for </w:t>
      </w:r>
      <w:r w:rsidRPr="00517408">
        <w:rPr>
          <w:lang w:val="en"/>
        </w:rPr>
        <w:t xml:space="preserve">the insurance aspects of the NFIP; and </w:t>
      </w:r>
    </w:p>
    <w:p w14:paraId="5C1C9D7E" w14:textId="77777777" w:rsidR="00D75518" w:rsidRPr="00517408" w:rsidRDefault="00D75518" w:rsidP="00D75518">
      <w:pPr>
        <w:pStyle w:val="ListParagraph"/>
        <w:numPr>
          <w:ilvl w:val="0"/>
          <w:numId w:val="6"/>
        </w:numPr>
        <w:tabs>
          <w:tab w:val="num" w:pos="720"/>
        </w:tabs>
        <w:rPr>
          <w:lang w:val="en"/>
        </w:rPr>
      </w:pPr>
      <w:r>
        <w:rPr>
          <w:lang w:val="en"/>
        </w:rPr>
        <w:t>The development of</w:t>
      </w:r>
      <w:r w:rsidRPr="00517408">
        <w:rPr>
          <w:lang w:val="en"/>
        </w:rPr>
        <w:t xml:space="preserve"> a comprehensive approach to floodplain management.  </w:t>
      </w:r>
    </w:p>
    <w:p w14:paraId="50D2D938" w14:textId="02A8538A" w:rsidR="00D75518" w:rsidRPr="00517408" w:rsidRDefault="00D75518" w:rsidP="00D75518">
      <w:pPr>
        <w:tabs>
          <w:tab w:val="num" w:pos="720"/>
        </w:tabs>
        <w:rPr>
          <w:lang w:val="en"/>
        </w:rPr>
      </w:pPr>
      <w:r w:rsidRPr="005D3DBA">
        <w:t>Communities are</w:t>
      </w:r>
      <w:r>
        <w:t xml:space="preserve"> classified on a scale of 1 to 10</w:t>
      </w:r>
      <w:r w:rsidRPr="005D3DBA">
        <w:t xml:space="preserve"> (1 being the best, 10 not participating). </w:t>
      </w:r>
      <w:r w:rsidRPr="00517408">
        <w:rPr>
          <w:lang w:val="en"/>
        </w:rPr>
        <w:t xml:space="preserve">The CRS Classes are based on completion of 19 creditable activities organized into 4 categories: </w:t>
      </w:r>
      <w:r>
        <w:rPr>
          <w:lang w:val="en"/>
        </w:rPr>
        <w:t>p</w:t>
      </w:r>
      <w:r w:rsidRPr="00517408">
        <w:rPr>
          <w:lang w:val="en"/>
        </w:rPr>
        <w:t>ublic information</w:t>
      </w:r>
      <w:r>
        <w:rPr>
          <w:lang w:val="en"/>
        </w:rPr>
        <w:t xml:space="preserve">, mapping and regulations, </w:t>
      </w:r>
      <w:r w:rsidRPr="00517408">
        <w:rPr>
          <w:lang w:val="en"/>
        </w:rPr>
        <w:t>flood damage reduction</w:t>
      </w:r>
      <w:r>
        <w:rPr>
          <w:lang w:val="en"/>
        </w:rPr>
        <w:t xml:space="preserve"> and</w:t>
      </w:r>
      <w:r w:rsidRPr="00517408">
        <w:rPr>
          <w:lang w:val="en"/>
        </w:rPr>
        <w:t xml:space="preserve"> warning and response.  </w:t>
      </w:r>
      <w:r w:rsidR="007C771C">
        <w:t>P</w:t>
      </w:r>
      <w:r w:rsidRPr="005D3DBA">
        <w:t>remium reduction</w:t>
      </w:r>
      <w:r w:rsidR="007C771C">
        <w:t xml:space="preserve">s are </w:t>
      </w:r>
      <w:r w:rsidRPr="005D3DBA">
        <w:t xml:space="preserve">incrementally assigned based on </w:t>
      </w:r>
      <w:r w:rsidR="007C771C">
        <w:t>c</w:t>
      </w:r>
      <w:r w:rsidR="007C771C" w:rsidRPr="005D3DBA">
        <w:t xml:space="preserve">orresponding </w:t>
      </w:r>
      <w:r w:rsidRPr="005D3DBA">
        <w:t>classification</w:t>
      </w:r>
      <w:r w:rsidR="007C771C">
        <w:t>s</w:t>
      </w:r>
      <w:r>
        <w:t xml:space="preserve"> (NFIP, 2015)</w:t>
      </w:r>
      <w:r w:rsidRPr="005D3DBA">
        <w:t xml:space="preserve">. </w:t>
      </w:r>
      <w:r>
        <w:t>As of October, 201</w:t>
      </w:r>
      <w:r w:rsidR="007C771C">
        <w:t>4, 1,313 U.S. communities were participating</w:t>
      </w:r>
      <w:r>
        <w:t xml:space="preserve"> in the CRS, representing 69% of the 5.5 million NFIP policy holders (NADO, 2014).  </w:t>
      </w:r>
    </w:p>
    <w:p w14:paraId="7E1545A6" w14:textId="35DF71DC" w:rsidR="00FC0227" w:rsidRDefault="00567AFD" w:rsidP="008704F2">
      <w:pPr>
        <w:rPr>
          <w:color w:val="000000" w:themeColor="text1"/>
        </w:rPr>
      </w:pPr>
      <w:r>
        <w:rPr>
          <w:color w:val="000000" w:themeColor="text1"/>
        </w:rPr>
        <w:t xml:space="preserve">More recent policy endeavours </w:t>
      </w:r>
      <w:r w:rsidR="007C771C">
        <w:rPr>
          <w:color w:val="000000" w:themeColor="text1"/>
        </w:rPr>
        <w:t xml:space="preserve">broaden the </w:t>
      </w:r>
      <w:r>
        <w:rPr>
          <w:color w:val="000000" w:themeColor="text1"/>
        </w:rPr>
        <w:t xml:space="preserve">approach </w:t>
      </w:r>
      <w:r w:rsidR="007C771C">
        <w:rPr>
          <w:color w:val="000000" w:themeColor="text1"/>
        </w:rPr>
        <w:t xml:space="preserve">to </w:t>
      </w:r>
      <w:r>
        <w:rPr>
          <w:color w:val="000000" w:themeColor="text1"/>
        </w:rPr>
        <w:t xml:space="preserve">flood </w:t>
      </w:r>
      <w:r w:rsidR="007C771C">
        <w:rPr>
          <w:color w:val="000000" w:themeColor="text1"/>
        </w:rPr>
        <w:t xml:space="preserve">planning </w:t>
      </w:r>
      <w:r>
        <w:rPr>
          <w:color w:val="000000" w:themeColor="text1"/>
        </w:rPr>
        <w:t>as part of a comprehensive disaster preparedness</w:t>
      </w:r>
      <w:r w:rsidR="00D75518">
        <w:rPr>
          <w:color w:val="000000" w:themeColor="text1"/>
        </w:rPr>
        <w:t xml:space="preserve"> plan </w:t>
      </w:r>
      <w:r w:rsidR="007C771C">
        <w:rPr>
          <w:color w:val="000000" w:themeColor="text1"/>
        </w:rPr>
        <w:t xml:space="preserve">and includes </w:t>
      </w:r>
      <w:r w:rsidR="00D75518">
        <w:rPr>
          <w:color w:val="000000" w:themeColor="text1"/>
        </w:rPr>
        <w:t xml:space="preserve">incentives that tie preparedness with access to disaster assistance. </w:t>
      </w:r>
      <w:r w:rsidR="00CF1D2F" w:rsidRPr="00CF1D2F">
        <w:rPr>
          <w:color w:val="000000" w:themeColor="text1"/>
        </w:rPr>
        <w:t xml:space="preserve">On October 30, 2000, President </w:t>
      </w:r>
      <w:r w:rsidR="00CF1D2F">
        <w:rPr>
          <w:color w:val="000000" w:themeColor="text1"/>
        </w:rPr>
        <w:t xml:space="preserve">Clinton </w:t>
      </w:r>
      <w:r w:rsidR="00CF1D2F" w:rsidRPr="00CF1D2F">
        <w:rPr>
          <w:color w:val="000000" w:themeColor="text1"/>
        </w:rPr>
        <w:t>signed</w:t>
      </w:r>
      <w:r w:rsidR="009E256D">
        <w:rPr>
          <w:color w:val="000000" w:themeColor="text1"/>
        </w:rPr>
        <w:t xml:space="preserve"> into law</w:t>
      </w:r>
      <w:r w:rsidR="00CF1D2F" w:rsidRPr="00CF1D2F">
        <w:rPr>
          <w:color w:val="000000" w:themeColor="text1"/>
        </w:rPr>
        <w:t xml:space="preserve"> the </w:t>
      </w:r>
      <w:r w:rsidR="00CF1D2F" w:rsidRPr="00E95820">
        <w:rPr>
          <w:i/>
          <w:color w:val="000000" w:themeColor="text1"/>
        </w:rPr>
        <w:t>Disaster Mitigation Act of 2000</w:t>
      </w:r>
      <w:r w:rsidR="00CF1D2F">
        <w:rPr>
          <w:color w:val="000000" w:themeColor="text1"/>
        </w:rPr>
        <w:t xml:space="preserve"> (</w:t>
      </w:r>
      <w:r w:rsidR="00CF1D2F" w:rsidRPr="00CF1D2F">
        <w:rPr>
          <w:color w:val="000000" w:themeColor="text1"/>
        </w:rPr>
        <w:t>DMA 2000</w:t>
      </w:r>
      <w:r w:rsidR="00CF1D2F">
        <w:rPr>
          <w:color w:val="000000" w:themeColor="text1"/>
        </w:rPr>
        <w:t xml:space="preserve">), requiring </w:t>
      </w:r>
      <w:r w:rsidR="00CF1D2F" w:rsidRPr="00CF1D2F">
        <w:rPr>
          <w:color w:val="000000" w:themeColor="text1"/>
        </w:rPr>
        <w:t xml:space="preserve">both State and local governments to create mitigation plans. </w:t>
      </w:r>
      <w:r w:rsidR="00F72816">
        <w:rPr>
          <w:color w:val="000000" w:themeColor="text1"/>
        </w:rPr>
        <w:t xml:space="preserve">The DMA 2000 </w:t>
      </w:r>
      <w:r w:rsidR="00F72816" w:rsidRPr="00F72816">
        <w:rPr>
          <w:color w:val="000000" w:themeColor="text1"/>
        </w:rPr>
        <w:t>establishes a pre-disaster hazard mitigation program</w:t>
      </w:r>
      <w:r w:rsidR="001E35E9">
        <w:rPr>
          <w:color w:val="000000" w:themeColor="text1"/>
        </w:rPr>
        <w:t>, mandates a prescriptive planning process,</w:t>
      </w:r>
      <w:r w:rsidR="00F72816" w:rsidRPr="00F72816">
        <w:rPr>
          <w:color w:val="000000" w:themeColor="text1"/>
        </w:rPr>
        <w:t xml:space="preserve"> </w:t>
      </w:r>
      <w:r w:rsidR="00F72816">
        <w:rPr>
          <w:color w:val="000000" w:themeColor="text1"/>
        </w:rPr>
        <w:t xml:space="preserve">and sets </w:t>
      </w:r>
      <w:r w:rsidR="00F72816" w:rsidRPr="00F72816">
        <w:rPr>
          <w:color w:val="000000" w:themeColor="text1"/>
        </w:rPr>
        <w:t xml:space="preserve">new requirements for the national post-disaster Hazard Mitigation Grant Program (HMGP). </w:t>
      </w:r>
    </w:p>
    <w:p w14:paraId="4EB77D62" w14:textId="5B746F7B" w:rsidR="00CF1D2F" w:rsidRDefault="007C771C" w:rsidP="008704F2">
      <w:pPr>
        <w:rPr>
          <w:color w:val="000000" w:themeColor="text1"/>
        </w:rPr>
      </w:pPr>
      <w:r>
        <w:rPr>
          <w:color w:val="000000" w:themeColor="text1"/>
        </w:rPr>
        <w:t xml:space="preserve">The </w:t>
      </w:r>
      <w:r w:rsidRPr="007C771C">
        <w:rPr>
          <w:color w:val="000000" w:themeColor="text1"/>
          <w:lang w:val="en"/>
        </w:rPr>
        <w:t>mitigatio</w:t>
      </w:r>
      <w:r>
        <w:rPr>
          <w:color w:val="000000" w:themeColor="text1"/>
          <w:lang w:val="en"/>
        </w:rPr>
        <w:t xml:space="preserve">n planning requirements </w:t>
      </w:r>
      <w:r>
        <w:rPr>
          <w:color w:val="000000" w:themeColor="text1"/>
        </w:rPr>
        <w:t xml:space="preserve">of the DMA 2000 are </w:t>
      </w:r>
      <w:r w:rsidR="00D3429D">
        <w:rPr>
          <w:color w:val="000000" w:themeColor="text1"/>
        </w:rPr>
        <w:t xml:space="preserve">further specified </w:t>
      </w:r>
      <w:r>
        <w:rPr>
          <w:color w:val="000000" w:themeColor="text1"/>
        </w:rPr>
        <w:t xml:space="preserve">in the </w:t>
      </w:r>
      <w:r w:rsidR="00CF1D2F" w:rsidRPr="00CF1D2F">
        <w:rPr>
          <w:color w:val="000000" w:themeColor="text1"/>
        </w:rPr>
        <w:t xml:space="preserve">Federal Emergency Management Agency (FEMA) </w:t>
      </w:r>
      <w:r w:rsidR="00CF1D2F" w:rsidRPr="00E95820">
        <w:rPr>
          <w:i/>
          <w:color w:val="000000" w:themeColor="text1"/>
        </w:rPr>
        <w:t>Interim Final Rule</w:t>
      </w:r>
      <w:r w:rsidR="00CF1D2F" w:rsidRPr="00CF1D2F">
        <w:rPr>
          <w:color w:val="000000" w:themeColor="text1"/>
        </w:rPr>
        <w:t xml:space="preserve"> (IFR) </w:t>
      </w:r>
      <w:r w:rsidR="00D3429D">
        <w:rPr>
          <w:color w:val="000000" w:themeColor="text1"/>
        </w:rPr>
        <w:t xml:space="preserve">which </w:t>
      </w:r>
      <w:r w:rsidR="00CF1D2F" w:rsidRPr="00CF1D2F">
        <w:rPr>
          <w:color w:val="000000" w:themeColor="text1"/>
        </w:rPr>
        <w:t>set</w:t>
      </w:r>
      <w:r w:rsidR="00D3429D">
        <w:rPr>
          <w:color w:val="000000" w:themeColor="text1"/>
        </w:rPr>
        <w:t>s</w:t>
      </w:r>
      <w:r w:rsidR="00CF1D2F" w:rsidRPr="00CF1D2F">
        <w:rPr>
          <w:color w:val="000000" w:themeColor="text1"/>
        </w:rPr>
        <w:t xml:space="preserve"> forth guidance and regulations under which such plans are </w:t>
      </w:r>
      <w:r w:rsidR="00D3429D">
        <w:rPr>
          <w:color w:val="000000" w:themeColor="text1"/>
        </w:rPr>
        <w:t>may be approved and implemented</w:t>
      </w:r>
      <w:r w:rsidR="00CF1D2F" w:rsidRPr="00CF1D2F">
        <w:rPr>
          <w:color w:val="000000" w:themeColor="text1"/>
        </w:rPr>
        <w:t xml:space="preserve">. The IFR provides detailed descriptions of both the planning process that states and localities are required to observe </w:t>
      </w:r>
      <w:r w:rsidR="00D75518">
        <w:rPr>
          <w:color w:val="000000" w:themeColor="text1"/>
        </w:rPr>
        <w:t>as well as the content of the plans</w:t>
      </w:r>
      <w:r w:rsidR="00D3429D">
        <w:rPr>
          <w:color w:val="000000" w:themeColor="text1"/>
        </w:rPr>
        <w:t xml:space="preserve">.  </w:t>
      </w:r>
      <w:r w:rsidR="00CF1D2F" w:rsidRPr="00CF1D2F">
        <w:rPr>
          <w:color w:val="000000" w:themeColor="text1"/>
        </w:rPr>
        <w:t xml:space="preserve">Jurisdictions </w:t>
      </w:r>
      <w:r w:rsidR="00CF1D2F" w:rsidRPr="00CF1D2F">
        <w:rPr>
          <w:color w:val="000000" w:themeColor="text1"/>
        </w:rPr>
        <w:lastRenderedPageBreak/>
        <w:t xml:space="preserve">without </w:t>
      </w:r>
      <w:r w:rsidR="00D3429D">
        <w:rPr>
          <w:color w:val="000000" w:themeColor="text1"/>
        </w:rPr>
        <w:t xml:space="preserve">compliant </w:t>
      </w:r>
      <w:r w:rsidR="00CF1D2F" w:rsidRPr="00CF1D2F">
        <w:rPr>
          <w:color w:val="000000" w:themeColor="text1"/>
        </w:rPr>
        <w:t xml:space="preserve">mitigation plans </w:t>
      </w:r>
      <w:r w:rsidR="00D75518">
        <w:rPr>
          <w:color w:val="000000" w:themeColor="text1"/>
        </w:rPr>
        <w:t>are</w:t>
      </w:r>
      <w:r w:rsidR="00CF1D2F" w:rsidRPr="00CF1D2F">
        <w:rPr>
          <w:color w:val="000000" w:themeColor="text1"/>
        </w:rPr>
        <w:t xml:space="preserve"> ineligible for future mitigation funding from FEMA (pre-and post- disaster) until a plan is </w:t>
      </w:r>
      <w:r w:rsidR="005D3DBA">
        <w:rPr>
          <w:color w:val="000000" w:themeColor="text1"/>
        </w:rPr>
        <w:t>adopted.</w:t>
      </w:r>
    </w:p>
    <w:p w14:paraId="5356CEE5" w14:textId="4D721F25" w:rsidR="00E95820" w:rsidRDefault="00266E07" w:rsidP="001D5150">
      <w:pPr>
        <w:rPr>
          <w:color w:val="000000" w:themeColor="text1"/>
          <w:lang w:val="en"/>
        </w:rPr>
      </w:pPr>
      <w:r>
        <w:rPr>
          <w:color w:val="000000" w:themeColor="text1"/>
        </w:rPr>
        <w:t>Additional planning assistance emerged</w:t>
      </w:r>
      <w:r w:rsidR="003E47DC">
        <w:rPr>
          <w:color w:val="000000" w:themeColor="text1"/>
        </w:rPr>
        <w:t xml:space="preserve"> in 2012 when</w:t>
      </w:r>
      <w:r w:rsidR="00E95820">
        <w:rPr>
          <w:color w:val="000000" w:themeColor="text1"/>
        </w:rPr>
        <w:t xml:space="preserve"> FEMA </w:t>
      </w:r>
      <w:r w:rsidR="00FA6893">
        <w:rPr>
          <w:color w:val="000000" w:themeColor="text1"/>
        </w:rPr>
        <w:t xml:space="preserve">released </w:t>
      </w:r>
      <w:r w:rsidR="00E95820">
        <w:rPr>
          <w:color w:val="000000" w:themeColor="text1"/>
        </w:rPr>
        <w:t xml:space="preserve">the </w:t>
      </w:r>
      <w:r w:rsidR="00E95820" w:rsidRPr="00E95820">
        <w:rPr>
          <w:i/>
          <w:color w:val="000000" w:themeColor="text1"/>
          <w:lang w:val="en"/>
        </w:rPr>
        <w:t>Threat and Hazard Identification and Risk Assessment</w:t>
      </w:r>
      <w:r w:rsidR="00E95820">
        <w:rPr>
          <w:i/>
          <w:color w:val="000000" w:themeColor="text1"/>
          <w:lang w:val="en"/>
        </w:rPr>
        <w:t xml:space="preserve"> (THIRA</w:t>
      </w:r>
      <w:r w:rsidR="00E95820" w:rsidRPr="00E95820">
        <w:rPr>
          <w:i/>
          <w:color w:val="000000" w:themeColor="text1"/>
          <w:lang w:val="en"/>
        </w:rPr>
        <w:t xml:space="preserve">) </w:t>
      </w:r>
      <w:r w:rsidR="00FA6893">
        <w:rPr>
          <w:color w:val="000000" w:themeColor="text1"/>
          <w:lang w:val="en"/>
        </w:rPr>
        <w:t xml:space="preserve">process – a </w:t>
      </w:r>
      <w:r w:rsidR="00FA6893" w:rsidRPr="00FA6893">
        <w:rPr>
          <w:color w:val="000000" w:themeColor="text1"/>
          <w:lang w:val="en"/>
        </w:rPr>
        <w:t>standard</w:t>
      </w:r>
      <w:r w:rsidR="001D5150">
        <w:rPr>
          <w:color w:val="000000" w:themeColor="text1"/>
          <w:lang w:val="en"/>
        </w:rPr>
        <w:t>ized</w:t>
      </w:r>
      <w:r w:rsidR="00FA6893" w:rsidRPr="00FA6893">
        <w:rPr>
          <w:color w:val="000000" w:themeColor="text1"/>
          <w:lang w:val="en"/>
        </w:rPr>
        <w:t xml:space="preserve"> </w:t>
      </w:r>
      <w:r w:rsidR="00FA6893">
        <w:rPr>
          <w:color w:val="000000" w:themeColor="text1"/>
          <w:lang w:val="en"/>
        </w:rPr>
        <w:t xml:space="preserve">four-step risk assessment </w:t>
      </w:r>
      <w:r w:rsidR="00FA6893" w:rsidRPr="00FA6893">
        <w:rPr>
          <w:color w:val="000000" w:themeColor="text1"/>
          <w:lang w:val="en"/>
        </w:rPr>
        <w:t xml:space="preserve">process </w:t>
      </w:r>
      <w:r w:rsidR="00FA6893">
        <w:rPr>
          <w:color w:val="000000" w:themeColor="text1"/>
          <w:lang w:val="en"/>
        </w:rPr>
        <w:t xml:space="preserve">aimed to help </w:t>
      </w:r>
      <w:r w:rsidR="00E95820">
        <w:rPr>
          <w:color w:val="000000" w:themeColor="text1"/>
          <w:lang w:val="en"/>
        </w:rPr>
        <w:t>communities</w:t>
      </w:r>
      <w:r w:rsidR="00B40958">
        <w:rPr>
          <w:color w:val="000000" w:themeColor="text1"/>
          <w:lang w:val="en"/>
        </w:rPr>
        <w:t xml:space="preserve"> identify and</w:t>
      </w:r>
      <w:r w:rsidR="00E95820">
        <w:rPr>
          <w:color w:val="000000" w:themeColor="text1"/>
          <w:lang w:val="en"/>
        </w:rPr>
        <w:t xml:space="preserve"> </w:t>
      </w:r>
      <w:r w:rsidR="00E95820" w:rsidRPr="00E95820">
        <w:rPr>
          <w:color w:val="000000" w:themeColor="text1"/>
          <w:lang w:val="en"/>
        </w:rPr>
        <w:t xml:space="preserve">understand </w:t>
      </w:r>
      <w:r w:rsidR="00B40958">
        <w:rPr>
          <w:color w:val="000000" w:themeColor="text1"/>
          <w:lang w:val="en"/>
        </w:rPr>
        <w:t>potential hazard</w:t>
      </w:r>
      <w:r w:rsidR="00E95820" w:rsidRPr="00E95820">
        <w:rPr>
          <w:color w:val="000000" w:themeColor="text1"/>
          <w:lang w:val="en"/>
        </w:rPr>
        <w:t xml:space="preserve"> </w:t>
      </w:r>
      <w:r w:rsidR="00805214">
        <w:rPr>
          <w:color w:val="000000" w:themeColor="text1"/>
          <w:lang w:val="en"/>
        </w:rPr>
        <w:t xml:space="preserve">threats and </w:t>
      </w:r>
      <w:r w:rsidR="00E95820" w:rsidRPr="00E95820">
        <w:rPr>
          <w:color w:val="000000" w:themeColor="text1"/>
          <w:lang w:val="en"/>
        </w:rPr>
        <w:t>risks</w:t>
      </w:r>
      <w:r w:rsidR="00FA6893">
        <w:rPr>
          <w:color w:val="000000" w:themeColor="text1"/>
          <w:lang w:val="en"/>
        </w:rPr>
        <w:t xml:space="preserve">, </w:t>
      </w:r>
      <w:r w:rsidR="00805214">
        <w:rPr>
          <w:color w:val="000000" w:themeColor="text1"/>
          <w:lang w:val="en"/>
        </w:rPr>
        <w:t>develop</w:t>
      </w:r>
      <w:r w:rsidR="00805214" w:rsidRPr="00805214">
        <w:rPr>
          <w:color w:val="000000" w:themeColor="text1"/>
          <w:lang w:val="en"/>
        </w:rPr>
        <w:t xml:space="preserve"> specific capability target</w:t>
      </w:r>
      <w:r w:rsidR="00805214">
        <w:rPr>
          <w:color w:val="000000" w:themeColor="text1"/>
          <w:lang w:val="en"/>
        </w:rPr>
        <w:t>s</w:t>
      </w:r>
      <w:r w:rsidR="00805214" w:rsidRPr="00805214">
        <w:rPr>
          <w:color w:val="000000" w:themeColor="text1"/>
          <w:lang w:val="en"/>
        </w:rPr>
        <w:t xml:space="preserve"> for each core capability identified in the National Preparedness Goal</w:t>
      </w:r>
      <w:r w:rsidR="00B40958">
        <w:rPr>
          <w:color w:val="000000" w:themeColor="text1"/>
          <w:lang w:val="en"/>
        </w:rPr>
        <w:t xml:space="preserve">, and </w:t>
      </w:r>
      <w:r w:rsidR="00E95820" w:rsidRPr="00E95820">
        <w:rPr>
          <w:color w:val="000000" w:themeColor="text1"/>
          <w:lang w:val="en"/>
        </w:rPr>
        <w:t xml:space="preserve">estimate </w:t>
      </w:r>
      <w:r w:rsidR="00B40958">
        <w:rPr>
          <w:color w:val="000000" w:themeColor="text1"/>
          <w:lang w:val="en"/>
        </w:rPr>
        <w:t xml:space="preserve">the </w:t>
      </w:r>
      <w:r w:rsidR="00805214">
        <w:rPr>
          <w:color w:val="000000" w:themeColor="text1"/>
          <w:lang w:val="en"/>
        </w:rPr>
        <w:t>resources needed to reach each target</w:t>
      </w:r>
      <w:r w:rsidR="00FA6893">
        <w:rPr>
          <w:color w:val="000000" w:themeColor="text1"/>
          <w:lang w:val="en"/>
        </w:rPr>
        <w:t xml:space="preserve"> (FEMA, 2013)</w:t>
      </w:r>
      <w:r w:rsidR="00FA6893" w:rsidRPr="00FA6893">
        <w:rPr>
          <w:color w:val="000000" w:themeColor="text1"/>
          <w:lang w:val="en"/>
        </w:rPr>
        <w:t>.</w:t>
      </w:r>
      <w:r w:rsidR="00FA6893">
        <w:rPr>
          <w:color w:val="000000" w:themeColor="text1"/>
          <w:lang w:val="en"/>
        </w:rPr>
        <w:t xml:space="preserve">  </w:t>
      </w:r>
      <w:r w:rsidR="001D5150">
        <w:rPr>
          <w:color w:val="000000" w:themeColor="text1"/>
          <w:lang w:val="en"/>
        </w:rPr>
        <w:t>The T</w:t>
      </w:r>
      <w:r>
        <w:rPr>
          <w:color w:val="000000" w:themeColor="text1"/>
          <w:lang w:val="en"/>
        </w:rPr>
        <w:t>HIRA</w:t>
      </w:r>
      <w:r w:rsidR="001D5150">
        <w:rPr>
          <w:color w:val="000000" w:themeColor="text1"/>
          <w:lang w:val="en"/>
        </w:rPr>
        <w:t xml:space="preserve"> process </w:t>
      </w:r>
      <w:r w:rsidR="00FA6893" w:rsidRPr="00FA6893">
        <w:rPr>
          <w:color w:val="000000" w:themeColor="text1"/>
          <w:lang w:val="en"/>
        </w:rPr>
        <w:t>builds on existing Hazard Identification and Risk Assessments (HIRAs) by</w:t>
      </w:r>
      <w:r w:rsidR="001D5150">
        <w:rPr>
          <w:color w:val="000000" w:themeColor="text1"/>
          <w:lang w:val="en"/>
        </w:rPr>
        <w:t>: b</w:t>
      </w:r>
      <w:r w:rsidR="00FA6893" w:rsidRPr="00FA6893">
        <w:rPr>
          <w:color w:val="000000" w:themeColor="text1"/>
          <w:lang w:val="en"/>
        </w:rPr>
        <w:t>roadening the threats and hazards considered to include human-caused threats and technological hazards</w:t>
      </w:r>
      <w:r w:rsidR="001D5150">
        <w:rPr>
          <w:color w:val="000000" w:themeColor="text1"/>
          <w:lang w:val="en"/>
        </w:rPr>
        <w:t>, i</w:t>
      </w:r>
      <w:r w:rsidR="00FA6893" w:rsidRPr="00FA6893">
        <w:rPr>
          <w:color w:val="000000" w:themeColor="text1"/>
          <w:lang w:val="en"/>
        </w:rPr>
        <w:t>ncorporating the whole community into the planning process</w:t>
      </w:r>
      <w:r w:rsidR="001D5150">
        <w:rPr>
          <w:color w:val="000000" w:themeColor="text1"/>
          <w:lang w:val="en"/>
        </w:rPr>
        <w:t>, and p</w:t>
      </w:r>
      <w:r w:rsidR="00FA6893" w:rsidRPr="00FA6893">
        <w:rPr>
          <w:color w:val="000000" w:themeColor="text1"/>
          <w:lang w:val="en"/>
        </w:rPr>
        <w:t>roviding increased flexibility to account for community-specific factors</w:t>
      </w:r>
      <w:r w:rsidR="001D5150">
        <w:rPr>
          <w:color w:val="000000" w:themeColor="text1"/>
          <w:lang w:val="en"/>
        </w:rPr>
        <w:t xml:space="preserve"> (FEMA, 2013)</w:t>
      </w:r>
      <w:r w:rsidR="001D5150" w:rsidRPr="00FA6893">
        <w:rPr>
          <w:color w:val="000000" w:themeColor="text1"/>
          <w:lang w:val="en"/>
        </w:rPr>
        <w:t>.</w:t>
      </w:r>
      <w:r w:rsidR="001D5150">
        <w:rPr>
          <w:color w:val="000000" w:themeColor="text1"/>
          <w:lang w:val="en"/>
        </w:rPr>
        <w:t xml:space="preserve">  </w:t>
      </w:r>
    </w:p>
    <w:p w14:paraId="463F691B" w14:textId="2E4CFAFE" w:rsidR="00FC0227" w:rsidRDefault="00266E07" w:rsidP="008704F2">
      <w:pPr>
        <w:rPr>
          <w:color w:val="000000" w:themeColor="text1"/>
        </w:rPr>
      </w:pPr>
      <w:r w:rsidRPr="00FD0A44">
        <w:rPr>
          <w:color w:val="000000" w:themeColor="text1"/>
          <w:lang w:val="en"/>
        </w:rPr>
        <w:t>Th</w:t>
      </w:r>
      <w:r w:rsidR="0025376A">
        <w:rPr>
          <w:color w:val="000000" w:themeColor="text1"/>
          <w:lang w:val="en"/>
        </w:rPr>
        <w:t>e communities we highlight</w:t>
      </w:r>
      <w:r w:rsidR="00D7149D">
        <w:rPr>
          <w:color w:val="000000" w:themeColor="text1"/>
          <w:lang w:val="en"/>
        </w:rPr>
        <w:t xml:space="preserve"> in the following sections </w:t>
      </w:r>
      <w:r w:rsidR="00E52C00" w:rsidRPr="00FD0A44">
        <w:rPr>
          <w:color w:val="000000" w:themeColor="text1"/>
          <w:lang w:val="en"/>
        </w:rPr>
        <w:t>incorporate these and other elements into two of the most effective</w:t>
      </w:r>
      <w:r w:rsidR="00E52C00">
        <w:rPr>
          <w:color w:val="000000" w:themeColor="text1"/>
          <w:lang w:val="en"/>
        </w:rPr>
        <w:t xml:space="preserve"> disaster prepardnes</w:t>
      </w:r>
      <w:r w:rsidR="000A5776">
        <w:rPr>
          <w:color w:val="000000" w:themeColor="text1"/>
          <w:lang w:val="en"/>
        </w:rPr>
        <w:t>s plans in the United States</w:t>
      </w:r>
      <w:r w:rsidR="00E52C00">
        <w:rPr>
          <w:color w:val="000000" w:themeColor="text1"/>
          <w:lang w:val="en"/>
        </w:rPr>
        <w:t xml:space="preserve">.  While our focus </w:t>
      </w:r>
      <w:r w:rsidR="00D7149D">
        <w:rPr>
          <w:color w:val="000000" w:themeColor="text1"/>
          <w:lang w:val="en"/>
        </w:rPr>
        <w:t xml:space="preserve">is primarily </w:t>
      </w:r>
      <w:r w:rsidR="00E52C00">
        <w:rPr>
          <w:color w:val="000000" w:themeColor="text1"/>
          <w:lang w:val="en"/>
        </w:rPr>
        <w:t xml:space="preserve">on the flood-related components, </w:t>
      </w:r>
      <w:r w:rsidR="00D7149D">
        <w:rPr>
          <w:color w:val="000000" w:themeColor="text1"/>
          <w:lang w:val="en"/>
        </w:rPr>
        <w:t xml:space="preserve">it should be noted that each of these </w:t>
      </w:r>
      <w:r w:rsidR="00E52C00">
        <w:rPr>
          <w:color w:val="000000" w:themeColor="text1"/>
          <w:lang w:val="en"/>
        </w:rPr>
        <w:t xml:space="preserve">plans are comprehensive in their assessment and approach to </w:t>
      </w:r>
      <w:r w:rsidR="00D7149D">
        <w:rPr>
          <w:color w:val="000000" w:themeColor="text1"/>
          <w:lang w:val="en"/>
        </w:rPr>
        <w:t>hazard planning (both natural and man-made/technological)</w:t>
      </w:r>
      <w:r w:rsidR="00E52C00">
        <w:rPr>
          <w:color w:val="000000" w:themeColor="text1"/>
          <w:lang w:val="en"/>
        </w:rPr>
        <w:t>.</w:t>
      </w:r>
    </w:p>
    <w:p w14:paraId="006BFF05" w14:textId="77777777" w:rsidR="00515F88" w:rsidRDefault="00515F88" w:rsidP="008E54AC">
      <w:pPr>
        <w:rPr>
          <w:b/>
          <w:sz w:val="24"/>
        </w:rPr>
      </w:pPr>
    </w:p>
    <w:p w14:paraId="486CBC6D" w14:textId="05E435DB" w:rsidR="007D7582" w:rsidRPr="00523F0B" w:rsidRDefault="00523F0B" w:rsidP="008E54AC">
      <w:pPr>
        <w:rPr>
          <w:b/>
          <w:sz w:val="24"/>
        </w:rPr>
      </w:pPr>
      <w:r w:rsidRPr="00523F0B">
        <w:rPr>
          <w:b/>
          <w:sz w:val="24"/>
        </w:rPr>
        <w:t>KING COUNTY, WASHINGTON, USA</w:t>
      </w:r>
    </w:p>
    <w:p w14:paraId="0E85882E" w14:textId="29DEBEB1" w:rsidR="007D7582" w:rsidRPr="002231F2" w:rsidRDefault="00B06442" w:rsidP="008E54AC">
      <w:pPr>
        <w:rPr>
          <w:b/>
          <w:szCs w:val="22"/>
        </w:rPr>
      </w:pPr>
      <w:r w:rsidRPr="002231F2">
        <w:rPr>
          <w:b/>
          <w:szCs w:val="22"/>
        </w:rPr>
        <w:t>Background</w:t>
      </w:r>
    </w:p>
    <w:p w14:paraId="495DD6CA" w14:textId="4B8E099C" w:rsidR="00F13009" w:rsidRDefault="00B06442" w:rsidP="00873997">
      <w:r>
        <w:t>King County, located in the state of Washington in the upper northwest corner of the United States, is s</w:t>
      </w:r>
      <w:r w:rsidR="006D620C">
        <w:t>usceptible to a number of flood and flood-related</w:t>
      </w:r>
      <w:r>
        <w:t xml:space="preserve"> issues including dam failure, earthquakes, landslides, severe weather and volcanoes.  The county has received 24 presidential disa</w:t>
      </w:r>
      <w:r w:rsidR="00614734">
        <w:t xml:space="preserve">ster declarations since 1964, </w:t>
      </w:r>
      <w:r w:rsidR="006D620C">
        <w:t>declarations that are reserved for disasters with excessive financial impacts and where help is needed to mobilise rescue, recovery and other resources for victims.  Seventeen of the 24 were</w:t>
      </w:r>
      <w:r>
        <w:t xml:space="preserve"> </w:t>
      </w:r>
      <w:r w:rsidR="002E7948">
        <w:t>for flood and flood-related incidences</w:t>
      </w:r>
      <w:r w:rsidR="00C42972">
        <w:t>, many</w:t>
      </w:r>
      <w:r w:rsidR="006D620C">
        <w:t xml:space="preserve"> with effects so </w:t>
      </w:r>
      <w:r w:rsidR="00614734">
        <w:t>widespread</w:t>
      </w:r>
      <w:r w:rsidR="006D620C">
        <w:t xml:space="preserve"> they affected</w:t>
      </w:r>
      <w:r w:rsidR="00614734">
        <w:t xml:space="preserve"> nearly every person living in </w:t>
      </w:r>
      <w:r w:rsidR="006D45B9">
        <w:t>the c</w:t>
      </w:r>
      <w:r w:rsidR="00614734">
        <w:t>ounty</w:t>
      </w:r>
      <w:r w:rsidR="006D620C">
        <w:t xml:space="preserve"> (</w:t>
      </w:r>
      <w:r w:rsidR="00DA6370">
        <w:t xml:space="preserve">King County, 2010, </w:t>
      </w:r>
      <w:r w:rsidR="006D620C">
        <w:t>Table 7-1, p</w:t>
      </w:r>
      <w:r w:rsidR="006B080C">
        <w:t>.</w:t>
      </w:r>
      <w:r w:rsidR="006D620C">
        <w:t xml:space="preserve"> 7-6).</w:t>
      </w:r>
      <w:r w:rsidR="00614734">
        <w:t xml:space="preserve">  </w:t>
      </w:r>
      <w:r w:rsidR="00C42972">
        <w:t>This</w:t>
      </w:r>
      <w:r w:rsidR="002661BD">
        <w:t xml:space="preserve"> area is also affected by issues associated with climate change which has the potential to </w:t>
      </w:r>
      <w:r w:rsidR="001C00B5">
        <w:t>intensify disasters as landscapes change, sea levels rise and storms become stronger and more frequent</w:t>
      </w:r>
      <w:r w:rsidR="00D0169F">
        <w:t xml:space="preserve"> (</w:t>
      </w:r>
      <w:r w:rsidR="00DA6370">
        <w:t xml:space="preserve">King County, 2010, </w:t>
      </w:r>
      <w:r w:rsidR="00D0169F">
        <w:t>p</w:t>
      </w:r>
      <w:r w:rsidR="006B080C">
        <w:t>.</w:t>
      </w:r>
      <w:r w:rsidR="00D0169F">
        <w:t xml:space="preserve"> 7-5)</w:t>
      </w:r>
      <w:r w:rsidR="005D3DBA">
        <w:t xml:space="preserve">.  </w:t>
      </w:r>
      <w:r w:rsidR="00D0169F">
        <w:t xml:space="preserve">For these reasons and </w:t>
      </w:r>
      <w:r w:rsidR="00614734">
        <w:t>others</w:t>
      </w:r>
      <w:r w:rsidR="00D0169F">
        <w:t xml:space="preserve">, King County </w:t>
      </w:r>
      <w:r w:rsidR="00614734">
        <w:t xml:space="preserve">has </w:t>
      </w:r>
      <w:r w:rsidR="00D0169F">
        <w:t xml:space="preserve">developed </w:t>
      </w:r>
      <w:r w:rsidR="00C42972">
        <w:t>one of the most comprehensive, successful and highly regarded preparation and mitigation plans as measured</w:t>
      </w:r>
      <w:r w:rsidR="00614734">
        <w:t xml:space="preserve"> by </w:t>
      </w:r>
      <w:r w:rsidR="00D53CC7">
        <w:t xml:space="preserve">the </w:t>
      </w:r>
      <w:r w:rsidR="00E52C00">
        <w:t>CRS</w:t>
      </w:r>
      <w:r w:rsidR="00614734">
        <w:t xml:space="preserve"> floodplain management program.</w:t>
      </w:r>
      <w:r w:rsidR="00685F9C">
        <w:t xml:space="preserve">  </w:t>
      </w:r>
      <w:r w:rsidR="00B27704">
        <w:t xml:space="preserve">King County </w:t>
      </w:r>
      <w:r w:rsidR="00E52C00">
        <w:t xml:space="preserve">has </w:t>
      </w:r>
      <w:r w:rsidR="00B27704">
        <w:t>achieved</w:t>
      </w:r>
      <w:r w:rsidR="00F6241F">
        <w:t xml:space="preserve"> </w:t>
      </w:r>
      <w:r w:rsidR="00F13009">
        <w:t xml:space="preserve">a CRS </w:t>
      </w:r>
      <w:r w:rsidR="005D3DBA">
        <w:t xml:space="preserve">Class 2 rating, enabling King County insurance holders to earn </w:t>
      </w:r>
      <w:r w:rsidR="00B27704">
        <w:t xml:space="preserve">a </w:t>
      </w:r>
      <w:r w:rsidR="005D3DBA">
        <w:t xml:space="preserve">40% reduction in their </w:t>
      </w:r>
      <w:r w:rsidR="00F13009">
        <w:t xml:space="preserve">flood insurance policy </w:t>
      </w:r>
      <w:r w:rsidR="00B27704">
        <w:t>premiums</w:t>
      </w:r>
      <w:r w:rsidR="00F13009">
        <w:t xml:space="preserve">. </w:t>
      </w:r>
    </w:p>
    <w:p w14:paraId="17C43B18" w14:textId="218E02BF" w:rsidR="00912BC4" w:rsidRPr="00881A48" w:rsidRDefault="006A4175" w:rsidP="00873997">
      <w:pPr>
        <w:rPr>
          <w:b/>
          <w:szCs w:val="22"/>
        </w:rPr>
      </w:pPr>
      <w:r w:rsidRPr="00881A48">
        <w:rPr>
          <w:b/>
          <w:szCs w:val="22"/>
        </w:rPr>
        <w:t>Governance</w:t>
      </w:r>
    </w:p>
    <w:p w14:paraId="2549CDD6" w14:textId="59726441" w:rsidR="008C3F2D" w:rsidRDefault="000D1C37" w:rsidP="00873997">
      <w:r>
        <w:t>State-</w:t>
      </w:r>
      <w:r w:rsidR="008C3F2D">
        <w:t>wide legislation in Washington permits the development of locally controlled flood management districts.  In 2007 the King County Council created the independent, special purpose King County Flood Control District</w:t>
      </w:r>
      <w:r w:rsidR="00DC510C">
        <w:t xml:space="preserve"> (</w:t>
      </w:r>
      <w:r w:rsidR="006D45B9">
        <w:t>hereafter “</w:t>
      </w:r>
      <w:r w:rsidR="00DC510C">
        <w:t>the District</w:t>
      </w:r>
      <w:r w:rsidR="006D45B9">
        <w:t>”</w:t>
      </w:r>
      <w:r w:rsidR="00DC510C">
        <w:t>)</w:t>
      </w:r>
      <w:r w:rsidR="008C3F2D">
        <w:t>, making it respons</w:t>
      </w:r>
      <w:r w:rsidR="00685F9C">
        <w:t xml:space="preserve">ible for mitigating flood risks </w:t>
      </w:r>
      <w:r w:rsidR="006D45B9">
        <w:t>throughout</w:t>
      </w:r>
      <w:r w:rsidR="008C3F2D">
        <w:t xml:space="preserve"> the county.  Specifics of the District’s charge include the “rehabilitation of levees and revetments, acquiring repetitive loss properties and other high-risk floodplain properties, increasing public awareness of flood hazards, improving </w:t>
      </w:r>
      <w:r>
        <w:t>countywide</w:t>
      </w:r>
      <w:r w:rsidR="008C3F2D">
        <w:t xml:space="preserve"> flood warning, and expanding flood prediction capabilities” (</w:t>
      </w:r>
      <w:r w:rsidR="006B080C">
        <w:t xml:space="preserve">King County, 2010, </w:t>
      </w:r>
      <w:r w:rsidR="008C3F2D">
        <w:t xml:space="preserve">p. 8-1).  The 500 flood protection </w:t>
      </w:r>
      <w:r>
        <w:t>facilities</w:t>
      </w:r>
      <w:r w:rsidR="008C3F2D">
        <w:t xml:space="preserve"> that the District is responsible for protect large centres of employment including the Boeing aerospace </w:t>
      </w:r>
      <w:r>
        <w:t>facilities</w:t>
      </w:r>
      <w:r w:rsidR="008C3F2D">
        <w:t xml:space="preserve"> </w:t>
      </w:r>
      <w:r w:rsidR="00DC510C">
        <w:t>and distribution facilities worth</w:t>
      </w:r>
      <w:r w:rsidR="008C3F2D">
        <w:t xml:space="preserve"> about a billion dollars of assessed value </w:t>
      </w:r>
      <w:r w:rsidR="00F13009">
        <w:t>(</w:t>
      </w:r>
      <w:r w:rsidR="006B080C">
        <w:t>King County, 2010</w:t>
      </w:r>
      <w:r w:rsidR="008C3F2D">
        <w:t>).</w:t>
      </w:r>
    </w:p>
    <w:p w14:paraId="5745FE0F" w14:textId="007596F1" w:rsidR="002231F2" w:rsidRDefault="002231F2" w:rsidP="00873997">
      <w:r>
        <w:t xml:space="preserve">Aging infrastructure is a significant problem in King County with most flood control facilities built in the early 1960s.  Many have reached the end of their useful life and are in need of structural repairs, engineering upgrades or need to be completely rebuilt.  In 2010 the cost of conducting such work was estimated to be $385 million, an amount grossly underfunded before the District was established.  Since then an ad valorem levy of .1 per $1000 of value has been assessed with the District now collecting about </w:t>
      </w:r>
      <w:r w:rsidR="00622262">
        <w:t>US</w:t>
      </w:r>
      <w:r>
        <w:t xml:space="preserve">$35 million per year (approximately $40 on a $400,000 property). These funds have been leveraged to increase the number of flood control projects from 2 to 3 annually to over 55 in 2008.  </w:t>
      </w:r>
    </w:p>
    <w:p w14:paraId="2B2020A0" w14:textId="150A7677" w:rsidR="006E4A4A" w:rsidRPr="00FD0A44" w:rsidRDefault="006A5648" w:rsidP="00873997">
      <w:r>
        <w:t>The District includes four basin technical committees, each overseeing one of the major river basins including Snoqualmie/South Fork Skykomish Rivers, Cedar/Sammamish Rivers, Green/Duwamish River and White River.  The committee members include staff from local governments as well as tribal governments and District employe</w:t>
      </w:r>
      <w:r w:rsidR="005D0A31">
        <w:t>es who coordinate with state and federal partners.  Their purpose is to develop recommendations to further the goals of the District at the individual basin level and deliver those r</w:t>
      </w:r>
      <w:r w:rsidR="00F13009">
        <w:t>ecommendations to the District</w:t>
      </w:r>
      <w:r w:rsidR="005D0A31">
        <w:t xml:space="preserve"> </w:t>
      </w:r>
      <w:r w:rsidR="005D0A31">
        <w:lastRenderedPageBreak/>
        <w:t>Board of Supervisors.  Once approved, implementation is the responsibility of the King County Department of Natural Resources and Parks’ Water and Land Resource Division, River and Floodplain Management Section (</w:t>
      </w:r>
      <w:r w:rsidR="006B080C">
        <w:t xml:space="preserve">King County, 2010, </w:t>
      </w:r>
      <w:r w:rsidR="005D0A31">
        <w:t>p</w:t>
      </w:r>
      <w:r w:rsidR="006B080C">
        <w:t>.</w:t>
      </w:r>
      <w:r w:rsidR="005D0A31">
        <w:t xml:space="preserve"> 8-1).</w:t>
      </w:r>
    </w:p>
    <w:p w14:paraId="15356743" w14:textId="31B1AE62" w:rsidR="007D7582" w:rsidRPr="00881A48" w:rsidRDefault="00E26468" w:rsidP="00873997">
      <w:pPr>
        <w:rPr>
          <w:b/>
          <w:szCs w:val="22"/>
        </w:rPr>
      </w:pPr>
      <w:r>
        <w:rPr>
          <w:b/>
          <w:szCs w:val="22"/>
        </w:rPr>
        <w:t xml:space="preserve">Plan </w:t>
      </w:r>
      <w:r w:rsidR="002323FF" w:rsidRPr="00881A48">
        <w:rPr>
          <w:b/>
          <w:szCs w:val="22"/>
        </w:rPr>
        <w:t>Details</w:t>
      </w:r>
    </w:p>
    <w:p w14:paraId="069680AF" w14:textId="0F9EAA4D" w:rsidR="00FC6831" w:rsidRDefault="006C24E6" w:rsidP="00873997">
      <w:r>
        <w:t>The District’s p</w:t>
      </w:r>
      <w:r w:rsidR="002323FF">
        <w:t xml:space="preserve">lan </w:t>
      </w:r>
      <w:r w:rsidR="00DC510C">
        <w:t xml:space="preserve">comprehensively </w:t>
      </w:r>
      <w:r w:rsidR="002323FF">
        <w:t xml:space="preserve">assesses the risks </w:t>
      </w:r>
      <w:r w:rsidR="0081763B">
        <w:t xml:space="preserve">and impacts </w:t>
      </w:r>
      <w:r w:rsidR="002323FF">
        <w:t xml:space="preserve">associated with </w:t>
      </w:r>
      <w:r w:rsidR="0081763B">
        <w:t>a variety of hazards (</w:t>
      </w:r>
      <w:r w:rsidR="004C34F9">
        <w:t xml:space="preserve">King County, </w:t>
      </w:r>
      <w:r w:rsidR="007A488F">
        <w:t xml:space="preserve">2010, </w:t>
      </w:r>
      <w:r w:rsidR="0081763B">
        <w:t>p</w:t>
      </w:r>
      <w:r w:rsidR="004C34F9">
        <w:t>.</w:t>
      </w:r>
      <w:r w:rsidR="0081763B">
        <w:t xml:space="preserve"> 16-1)</w:t>
      </w:r>
      <w:r w:rsidR="007A2D99">
        <w:t xml:space="preserve">.  It looks at the probability of occurrence, prioritising those hazards </w:t>
      </w:r>
      <w:r>
        <w:t xml:space="preserve">that are likely to occur in the near future.  Earthquakes, floods, landslides and severe weather are ranked the highest and are likely to occur within the next 25 years.   Dam failures rank second and are expected to occur within the next 100 years.  Volcanic eruptions and wildfires have a low probability of occurring within the next 100 years.  Estimates of risk are </w:t>
      </w:r>
      <w:r w:rsidR="00FC6831">
        <w:t xml:space="preserve">based on HAZUS-MH methodologies promoted by FEMA, assessing the impacts on people, property and operations within the District.  </w:t>
      </w:r>
    </w:p>
    <w:p w14:paraId="21C23687" w14:textId="58F3889E" w:rsidR="002323FF" w:rsidRDefault="00DD2D21" w:rsidP="00873997">
      <w:r>
        <w:t>Hazards ar</w:t>
      </w:r>
      <w:r w:rsidR="00FC6831">
        <w:t xml:space="preserve">e also assessed based on the extent of </w:t>
      </w:r>
      <w:r>
        <w:t xml:space="preserve">the expected </w:t>
      </w:r>
      <w:r w:rsidR="00FC6831">
        <w:t>impac</w:t>
      </w:r>
      <w:r w:rsidR="00FD32D6">
        <w:t>t</w:t>
      </w:r>
      <w:r w:rsidR="00881A48">
        <w:t xml:space="preserve"> with each</w:t>
      </w:r>
      <w:r w:rsidR="00FD32D6">
        <w:t xml:space="preserve"> weighted based on the anticipated impact on people, property and operations, respectively. </w:t>
      </w:r>
      <w:r w:rsidR="008D1CEB">
        <w:t xml:space="preserve"> The hazards estimated to have the greatest impact are flood, dam failure, and earthquake.  Severe weather and lan</w:t>
      </w:r>
      <w:r w:rsidR="00881A48">
        <w:t>dslides rank</w:t>
      </w:r>
      <w:r w:rsidR="008D1CEB">
        <w:t xml:space="preserve"> second, followed by volcanoes and wildfires.  </w:t>
      </w:r>
    </w:p>
    <w:p w14:paraId="2360595E" w14:textId="597F9C5E" w:rsidR="0081763B" w:rsidRDefault="00511231" w:rsidP="00873997">
      <w:r>
        <w:t xml:space="preserve">The </w:t>
      </w:r>
      <w:r w:rsidR="006C7683">
        <w:t xml:space="preserve">mitigation </w:t>
      </w:r>
      <w:r>
        <w:t>plan takes a worst-</w:t>
      </w:r>
      <w:r w:rsidR="00DC510C">
        <w:t>case scena</w:t>
      </w:r>
      <w:r>
        <w:t xml:space="preserve">rio approach, incorporating climate change forecasts that predict warmer and wetter winters likely to test the capabilities of existing flood-related facilities.  </w:t>
      </w:r>
      <w:r w:rsidR="00824785">
        <w:t>Historic data is eschewed in favour of models that anticipate</w:t>
      </w:r>
      <w:r w:rsidR="006A1FCC">
        <w:t xml:space="preserve"> significant and possibly extreme</w:t>
      </w:r>
      <w:r w:rsidR="00824785">
        <w:t xml:space="preserve"> changes and shifts in weather patterns, climate</w:t>
      </w:r>
      <w:r w:rsidR="006A1FCC">
        <w:t xml:space="preserve"> events, and emergency response needs</w:t>
      </w:r>
      <w:r w:rsidR="00512418">
        <w:t xml:space="preserve"> (</w:t>
      </w:r>
      <w:r w:rsidR="004C34F9">
        <w:t xml:space="preserve">King County, </w:t>
      </w:r>
      <w:r w:rsidR="007A488F">
        <w:t xml:space="preserve">2010, </w:t>
      </w:r>
      <w:r w:rsidR="00512418">
        <w:t>p</w:t>
      </w:r>
      <w:r w:rsidR="004C34F9">
        <w:t>.</w:t>
      </w:r>
      <w:r w:rsidR="00512418">
        <w:t xml:space="preserve"> 9-13)</w:t>
      </w:r>
      <w:r w:rsidR="00824785">
        <w:t xml:space="preserve">.  </w:t>
      </w:r>
      <w:r w:rsidR="006C7683">
        <w:t>The mitigation plan avoids focus on a single hazard, anticipating not only the impact from flooding but also peripheral hazards that lead to floods such as earthquakes and severe weather.</w:t>
      </w:r>
    </w:p>
    <w:p w14:paraId="085CAE4C" w14:textId="0DAD9B57" w:rsidR="00353BDE" w:rsidRDefault="00E35611" w:rsidP="00873997">
      <w:r>
        <w:t xml:space="preserve">The District’s action plan for flood hazard mitigation is based on the 2006 King County Flood Hazard Management Plan </w:t>
      </w:r>
      <w:r w:rsidR="00D9743E">
        <w:t>(</w:t>
      </w:r>
      <w:r w:rsidR="004411CD">
        <w:t xml:space="preserve">hereafter </w:t>
      </w:r>
      <w:r w:rsidR="00D9743E">
        <w:t>the Plan)</w:t>
      </w:r>
      <w:r w:rsidR="007E4B99">
        <w:t>.</w:t>
      </w:r>
      <w:r w:rsidR="00D9743E">
        <w:t xml:space="preserve"> </w:t>
      </w:r>
      <w:r w:rsidR="007E4B99">
        <w:t>Stated goals of the Plan include “reduce risks from the flood and channel migration hazards; to avoid or minimise the environmental impacts o</w:t>
      </w:r>
      <w:r w:rsidR="00AE4BB1">
        <w:t>f</w:t>
      </w:r>
      <w:r w:rsidR="007E4B99">
        <w:t xml:space="preserve"> flood hazard management; and to reduce the long-term costs of flood hazard management” (</w:t>
      </w:r>
      <w:r w:rsidR="004C34F9">
        <w:t xml:space="preserve">King County, </w:t>
      </w:r>
      <w:r w:rsidR="000E1E0C">
        <w:t xml:space="preserve">2010, </w:t>
      </w:r>
      <w:r w:rsidR="007E4B99">
        <w:t>p</w:t>
      </w:r>
      <w:r w:rsidR="004C34F9">
        <w:t>.</w:t>
      </w:r>
      <w:r w:rsidR="007E4B99">
        <w:t xml:space="preserve"> 17-1).</w:t>
      </w:r>
      <w:r w:rsidR="00AE4BB1">
        <w:t xml:space="preserve">  The Plan focuses on two</w:t>
      </w:r>
      <w:r>
        <w:t xml:space="preserve"> areas</w:t>
      </w:r>
      <w:r w:rsidR="00AE4BB1">
        <w:t xml:space="preserve"> of primary interest where immediate and future activities can take place – </w:t>
      </w:r>
      <w:r w:rsidR="00353BDE">
        <w:t>Programmatic W</w:t>
      </w:r>
      <w:r>
        <w:t xml:space="preserve">ork </w:t>
      </w:r>
      <w:r w:rsidR="00353BDE">
        <w:t>P</w:t>
      </w:r>
      <w:r>
        <w:t>rograms an</w:t>
      </w:r>
      <w:r w:rsidR="00353BDE">
        <w:t>d Capital Improvement P</w:t>
      </w:r>
      <w:r w:rsidR="00AE4BB1">
        <w:t xml:space="preserve">rograms – and the District’s budget services these activities.  </w:t>
      </w:r>
      <w:r w:rsidR="002404FB">
        <w:t>Programmatic Work involves items such as flood preparedness, grants, public outreach and general administration among other things</w:t>
      </w:r>
      <w:r w:rsidR="00353BDE">
        <w:t>.</w:t>
      </w:r>
      <w:r w:rsidR="002404FB">
        <w:t xml:space="preserve">  Capital Improvement Programs focus on capital improvement projects as well as acquisitions and elevations.</w:t>
      </w:r>
    </w:p>
    <w:p w14:paraId="18BA1A64" w14:textId="604BDE22" w:rsidR="005E70C9" w:rsidRDefault="00E55F9E" w:rsidP="00873997">
      <w:r>
        <w:t xml:space="preserve">A cost-benefit analysis </w:t>
      </w:r>
      <w:r w:rsidR="00FD18AA">
        <w:t>evaluates a series of criteria that help</w:t>
      </w:r>
      <w:r>
        <w:t xml:space="preserve"> </w:t>
      </w:r>
      <w:r w:rsidR="00FD18AA">
        <w:t xml:space="preserve">prioritise actions and activities related to flood prevention and mitigation as well as establish a hierarchy for flood risk.  Current land use, the seriousness and extent of potential impacts, and </w:t>
      </w:r>
      <w:r w:rsidR="0099521E">
        <w:t>how soon an event is l</w:t>
      </w:r>
      <w:r w:rsidR="00EE5201">
        <w:t>ikely to occur are all weigh</w:t>
      </w:r>
      <w:r w:rsidR="008D2A11">
        <w:t xml:space="preserve">ted, and the total </w:t>
      </w:r>
      <w:r w:rsidR="00EE5201">
        <w:t>score divided by the total po</w:t>
      </w:r>
      <w:r w:rsidR="00685F9C">
        <w:t>ints a project can accrue (38) results in</w:t>
      </w:r>
      <w:r w:rsidR="00EE5201">
        <w:t xml:space="preserve"> </w:t>
      </w:r>
      <w:r w:rsidR="008D2A11">
        <w:t>the</w:t>
      </w:r>
      <w:r w:rsidR="00EE5201">
        <w:t xml:space="preserve"> </w:t>
      </w:r>
      <w:r w:rsidR="008D2A11">
        <w:t xml:space="preserve">associated flood </w:t>
      </w:r>
      <w:r w:rsidR="00EE5201">
        <w:t xml:space="preserve">risk factor.  Projects with a risk factor of 67% or higher are deemed to be of high benefit, those scoring 33-66% medium, and those less than 32%, low.  </w:t>
      </w:r>
      <w:r w:rsidR="0099521E">
        <w:t>This is balanced against subjective ratings of high, medium and low for costs when projects total $5 million plus, $1-5 million and less th</w:t>
      </w:r>
      <w:r w:rsidR="00BC6759">
        <w:t xml:space="preserve">an </w:t>
      </w:r>
      <w:r w:rsidR="00B74CB2">
        <w:t>$5 million, respectively.   The</w:t>
      </w:r>
      <w:r w:rsidR="006A55CF">
        <w:t xml:space="preserve"> benefit/cost ratio </w:t>
      </w:r>
      <w:r w:rsidR="00B74CB2">
        <w:t xml:space="preserve">prioritises </w:t>
      </w:r>
      <w:r w:rsidR="006A55CF">
        <w:t xml:space="preserve">high over high, high over medium and medium over low </w:t>
      </w:r>
      <w:r w:rsidR="00B74CB2">
        <w:t>projects</w:t>
      </w:r>
      <w:r w:rsidR="006A55CF">
        <w:t xml:space="preserve"> as they are deemed </w:t>
      </w:r>
      <w:r w:rsidR="00685F9C">
        <w:t xml:space="preserve">most </w:t>
      </w:r>
      <w:r w:rsidR="006A55CF">
        <w:t>cost beneficial.</w:t>
      </w:r>
    </w:p>
    <w:p w14:paraId="0A905FF6" w14:textId="2FA49487" w:rsidR="006E4A4A" w:rsidRPr="002C5485" w:rsidRDefault="007F61D0" w:rsidP="005306D3">
      <w:r>
        <w:t xml:space="preserve">Mitigation </w:t>
      </w:r>
      <w:r w:rsidR="009B5FAA">
        <w:t xml:space="preserve">strategies are </w:t>
      </w:r>
      <w:r w:rsidR="00180750">
        <w:t xml:space="preserve">also </w:t>
      </w:r>
      <w:r w:rsidR="009B5FAA">
        <w:t xml:space="preserve">prioritised based on </w:t>
      </w:r>
      <w:r w:rsidR="00180750">
        <w:t>project</w:t>
      </w:r>
      <w:r w:rsidR="009B5FAA">
        <w:t xml:space="preserve"> objectives.  High priority projects meet multiple objectives, are or are expected to be funded, </w:t>
      </w:r>
      <w:r w:rsidR="00180750">
        <w:t xml:space="preserve">and </w:t>
      </w:r>
      <w:r w:rsidR="009B5FAA">
        <w:t xml:space="preserve">can be completed in the relatively short-term (less than 5 years).  Projects considered medium priority </w:t>
      </w:r>
      <w:r w:rsidR="00180750">
        <w:t xml:space="preserve">meet at least one objective and </w:t>
      </w:r>
      <w:r w:rsidR="005903B6">
        <w:t xml:space="preserve">are expected to be complete in a 1-5 year period </w:t>
      </w:r>
      <w:r w:rsidR="00180750">
        <w:t>(</w:t>
      </w:r>
      <w:r w:rsidR="005903B6">
        <w:t>subject to funding</w:t>
      </w:r>
      <w:r w:rsidR="00180750">
        <w:t>)</w:t>
      </w:r>
      <w:r w:rsidR="005903B6">
        <w:t>.  Low priority projects have a longer-term horizon of 5-10 y</w:t>
      </w:r>
      <w:r w:rsidR="008D2A11">
        <w:t>ears and</w:t>
      </w:r>
      <w:r w:rsidR="005903B6">
        <w:t xml:space="preserve"> lack funding.  Assignment to a category is not static and can change based on the availability of funds, for example.  </w:t>
      </w:r>
    </w:p>
    <w:p w14:paraId="4A2300F0" w14:textId="77777777" w:rsidR="00515F88" w:rsidRDefault="00515F88" w:rsidP="005306D3">
      <w:pPr>
        <w:rPr>
          <w:b/>
          <w:sz w:val="24"/>
        </w:rPr>
      </w:pPr>
    </w:p>
    <w:p w14:paraId="5636816A" w14:textId="6798206C" w:rsidR="005306D3" w:rsidRPr="00FA4DFE" w:rsidRDefault="00FA4DFE" w:rsidP="005306D3">
      <w:pPr>
        <w:rPr>
          <w:szCs w:val="22"/>
        </w:rPr>
      </w:pPr>
      <w:r>
        <w:rPr>
          <w:b/>
          <w:sz w:val="24"/>
        </w:rPr>
        <w:t>GALVESTON</w:t>
      </w:r>
      <w:r w:rsidRPr="00523F0B">
        <w:rPr>
          <w:b/>
          <w:sz w:val="24"/>
        </w:rPr>
        <w:t xml:space="preserve">, </w:t>
      </w:r>
      <w:r>
        <w:rPr>
          <w:b/>
          <w:sz w:val="24"/>
        </w:rPr>
        <w:t>TEXAS</w:t>
      </w:r>
      <w:r w:rsidRPr="00523F0B">
        <w:rPr>
          <w:b/>
          <w:sz w:val="24"/>
        </w:rPr>
        <w:t>, USA</w:t>
      </w:r>
      <w:r w:rsidR="005306D3">
        <w:rPr>
          <w:b/>
          <w:sz w:val="24"/>
        </w:rPr>
        <w:t xml:space="preserve">  </w:t>
      </w:r>
    </w:p>
    <w:p w14:paraId="6C08169D" w14:textId="77777777" w:rsidR="00FA4DFE" w:rsidRDefault="00FA4DFE" w:rsidP="000E2FB8">
      <w:pPr>
        <w:rPr>
          <w:b/>
          <w:sz w:val="24"/>
        </w:rPr>
      </w:pPr>
      <w:r w:rsidRPr="00523F0B">
        <w:rPr>
          <w:b/>
          <w:sz w:val="24"/>
        </w:rPr>
        <w:t>Background</w:t>
      </w:r>
    </w:p>
    <w:p w14:paraId="4C93257E" w14:textId="5B6D82D4" w:rsidR="000E2FB8" w:rsidRDefault="001C4C32" w:rsidP="000E2FB8">
      <w:r>
        <w:t xml:space="preserve">The City of Galveston, </w:t>
      </w:r>
      <w:r w:rsidR="004D0E7D">
        <w:t xml:space="preserve">located approximately 50 miles southeast of Houston in </w:t>
      </w:r>
      <w:r w:rsidR="00FE4B8B">
        <w:t>south eastern</w:t>
      </w:r>
      <w:r w:rsidR="004D0E7D">
        <w:t xml:space="preserve"> Texas, </w:t>
      </w:r>
      <w:r>
        <w:t xml:space="preserve">is a barrier island </w:t>
      </w:r>
      <w:r w:rsidR="004D0E7D">
        <w:t>approximately 2 miles off the coast.  The island is almost 28 miles long and</w:t>
      </w:r>
      <w:r w:rsidR="000E1E0C">
        <w:t xml:space="preserve"> only</w:t>
      </w:r>
      <w:r w:rsidR="004D0E7D">
        <w:t xml:space="preserve"> 0.5 to 2.5 miles wide</w:t>
      </w:r>
      <w:r w:rsidR="000E1E0C">
        <w:t xml:space="preserve">, </w:t>
      </w:r>
      <w:r w:rsidR="004D0E7D">
        <w:t xml:space="preserve">and is bounded to the north by West Bay, to the northeast by Galveston Bay and Galveston Channel, to the south and east by the Gulf of Mexico, and to the west by San Luis Pass. Its geography </w:t>
      </w:r>
      <w:r w:rsidR="00716E26">
        <w:t xml:space="preserve">and topography </w:t>
      </w:r>
      <w:r w:rsidR="004D0E7D">
        <w:t xml:space="preserve">make </w:t>
      </w:r>
      <w:r>
        <w:lastRenderedPageBreak/>
        <w:t xml:space="preserve">it particularly susceptible to a variety of natural and weather related hazards.  </w:t>
      </w:r>
      <w:r w:rsidR="005331E3">
        <w:t xml:space="preserve">More </w:t>
      </w:r>
      <w:r w:rsidR="00873997">
        <w:t>t</w:t>
      </w:r>
      <w:r w:rsidR="005331E3">
        <w:t xml:space="preserve">han 95% of Galveston’s jurisdiction is located within a </w:t>
      </w:r>
      <w:r>
        <w:t>Special Flood Hazard Area (SFHA)</w:t>
      </w:r>
      <w:r w:rsidR="00A90773">
        <w:rPr>
          <w:rStyle w:val="FootnoteReference"/>
        </w:rPr>
        <w:footnoteReference w:id="3"/>
      </w:r>
      <w:r>
        <w:t xml:space="preserve"> (City of Galveston, </w:t>
      </w:r>
      <w:r w:rsidR="00FD34B0">
        <w:t>2011, Map 6.3.8-1</w:t>
      </w:r>
      <w:r>
        <w:t>)</w:t>
      </w:r>
      <w:r w:rsidR="00585235">
        <w:t xml:space="preserve">, including </w:t>
      </w:r>
      <w:r>
        <w:t xml:space="preserve">the vast majority of residential structures, historic assets, critical facilities, and City-owned assets.  </w:t>
      </w:r>
    </w:p>
    <w:p w14:paraId="7F35E75B" w14:textId="36362AA3" w:rsidR="00C56B35" w:rsidRDefault="000E1E0C" w:rsidP="00FD34B0">
      <w:r>
        <w:t>Galveston wa</w:t>
      </w:r>
      <w:r w:rsidR="00585235">
        <w:t>s the location of the Great Storm of 1900</w:t>
      </w:r>
      <w:r w:rsidR="005331E3">
        <w:t>, the deadliest natural disaster in U.S. history</w:t>
      </w:r>
      <w:r>
        <w:t xml:space="preserve">.  A </w:t>
      </w:r>
      <w:r w:rsidR="00585235">
        <w:t xml:space="preserve">storm surge </w:t>
      </w:r>
      <w:r w:rsidR="00C56B35">
        <w:t xml:space="preserve">of over 15 feet </w:t>
      </w:r>
      <w:r w:rsidR="00585235">
        <w:t>inundated the entire island destroying over 3600 homes, leaving 30,000 residents homeless, and amassing a death toll estimated be</w:t>
      </w:r>
      <w:r w:rsidR="00B66E0B">
        <w:t xml:space="preserve">tween 6,000 to 12,000 residents (City of Galveston, 2011).  </w:t>
      </w:r>
      <w:r w:rsidR="00C56B35">
        <w:t>The Great Storm prompted the building of Galveston’s Seawall, started in 1902 with an initial segment of 3.3 miles an</w:t>
      </w:r>
      <w:r w:rsidR="00FD34B0">
        <w:t xml:space="preserve">d further </w:t>
      </w:r>
      <w:r w:rsidR="00C56B35">
        <w:t xml:space="preserve">extended </w:t>
      </w:r>
      <w:r w:rsidR="00FD34B0">
        <w:t xml:space="preserve">between 1904 and 1963 </w:t>
      </w:r>
      <w:r w:rsidR="00C56B35">
        <w:t xml:space="preserve">to over 10 miles in length. </w:t>
      </w:r>
      <w:r w:rsidR="00FD34B0">
        <w:t xml:space="preserve">With a height of </w:t>
      </w:r>
      <w:r w:rsidR="00C56B35">
        <w:t xml:space="preserve">approximately 17 feet above sea level and 16 feet thick at its base, </w:t>
      </w:r>
      <w:r w:rsidR="00B25512">
        <w:t xml:space="preserve">it </w:t>
      </w:r>
      <w:r w:rsidR="00FD34B0">
        <w:t xml:space="preserve">withstood </w:t>
      </w:r>
      <w:r>
        <w:t xml:space="preserve">the storm surges of </w:t>
      </w:r>
      <w:r w:rsidR="00FD34B0">
        <w:t>Hurricane Alicia in 1983</w:t>
      </w:r>
      <w:r>
        <w:t xml:space="preserve"> and was estimated to have prevented </w:t>
      </w:r>
      <w:r w:rsidR="00FD34B0">
        <w:t xml:space="preserve">in excess of </w:t>
      </w:r>
      <w:r w:rsidR="00B25512">
        <w:t xml:space="preserve">US$100 million in damages.  However, </w:t>
      </w:r>
      <w:r w:rsidR="00141DA8">
        <w:t>the Seawall</w:t>
      </w:r>
      <w:r w:rsidR="00B25512">
        <w:t xml:space="preserve"> was no match for Hurricane Ike (2008); its storm surges ranged between</w:t>
      </w:r>
      <w:r w:rsidR="00FD34B0">
        <w:t xml:space="preserve"> </w:t>
      </w:r>
      <w:r w:rsidR="00B25512">
        <w:t>15 and 20 feet and topped the Seawall, resulting in widespread flooding of up to six feet throughout the downto</w:t>
      </w:r>
      <w:r>
        <w:t xml:space="preserve">wn area (City of Galveston, 2011). </w:t>
      </w:r>
      <w:r w:rsidR="00B25512">
        <w:t xml:space="preserve"> </w:t>
      </w:r>
    </w:p>
    <w:p w14:paraId="52722A99" w14:textId="28FCAC95" w:rsidR="00E34BD0" w:rsidRDefault="00141DA8" w:rsidP="00E34BD0">
      <w:r>
        <w:t>B</w:t>
      </w:r>
      <w:r w:rsidR="00585235">
        <w:t>etween 1950 and 2010, t</w:t>
      </w:r>
      <w:r w:rsidR="003A0363">
        <w:t xml:space="preserve">he City of Galveston has experienced at least 88 weather-related hazard events, </w:t>
      </w:r>
      <w:r w:rsidR="00585235">
        <w:t>(</w:t>
      </w:r>
      <w:r w:rsidR="003A0363">
        <w:t>NOAA</w:t>
      </w:r>
      <w:r w:rsidR="00B25512">
        <w:t xml:space="preserve"> </w:t>
      </w:r>
      <w:r w:rsidR="003A0363">
        <w:t>NCDC</w:t>
      </w:r>
      <w:r w:rsidR="00585235">
        <w:t>)</w:t>
      </w:r>
      <w:r w:rsidR="003A0363">
        <w:t>.</w:t>
      </w:r>
      <w:r w:rsidR="003A0363" w:rsidRPr="008C063E">
        <w:t xml:space="preserve"> </w:t>
      </w:r>
      <w:r w:rsidR="00C416D4">
        <w:t xml:space="preserve"> </w:t>
      </w:r>
      <w:r w:rsidR="005A4036">
        <w:t xml:space="preserve">In 1971, the City </w:t>
      </w:r>
      <w:r w:rsidR="006E4A4A">
        <w:t xml:space="preserve">joined NFIP and has </w:t>
      </w:r>
      <w:r w:rsidR="005A4036">
        <w:t>maintained uninterrupted g</w:t>
      </w:r>
      <w:r w:rsidR="006E4A4A">
        <w:t xml:space="preserve">ood standing with the </w:t>
      </w:r>
      <w:r w:rsidR="005A4036">
        <w:t>p</w:t>
      </w:r>
      <w:r w:rsidR="006E4A4A">
        <w:t xml:space="preserve">rogram.  </w:t>
      </w:r>
      <w:r w:rsidR="003A0363">
        <w:t xml:space="preserve">Galveston has </w:t>
      </w:r>
      <w:r w:rsidR="00EA337B">
        <w:t xml:space="preserve">received </w:t>
      </w:r>
      <w:r w:rsidR="001101A3">
        <w:t>six</w:t>
      </w:r>
      <w:r w:rsidR="003A0363">
        <w:t xml:space="preserve"> Presidential Disaster Declarations</w:t>
      </w:r>
      <w:r w:rsidR="00900209" w:rsidRPr="00900209">
        <w:t xml:space="preserve"> </w:t>
      </w:r>
      <w:r w:rsidR="00900209">
        <w:t xml:space="preserve">since 2001 - </w:t>
      </w:r>
      <w:r w:rsidR="003A0363">
        <w:t xml:space="preserve">five of </w:t>
      </w:r>
      <w:r w:rsidR="001101A3">
        <w:t xml:space="preserve">which </w:t>
      </w:r>
      <w:r w:rsidR="003A0363">
        <w:t xml:space="preserve">were related to </w:t>
      </w:r>
      <w:r w:rsidR="00EA337B">
        <w:t xml:space="preserve">the impact of flooding from </w:t>
      </w:r>
      <w:r w:rsidR="003A0363">
        <w:t>tropical systems. (City of Galves</w:t>
      </w:r>
      <w:r w:rsidR="00DD5FAB">
        <w:t>ton, 2011, Table 6.2.1-1</w:t>
      </w:r>
      <w:r w:rsidR="00900209">
        <w:t>)</w:t>
      </w:r>
      <w:r w:rsidR="005A4036">
        <w:t xml:space="preserve"> - prompting </w:t>
      </w:r>
      <w:r w:rsidR="00900209">
        <w:t xml:space="preserve">the National Hurricane Center </w:t>
      </w:r>
      <w:r w:rsidR="005A4036">
        <w:t xml:space="preserve">in 2005 to name </w:t>
      </w:r>
      <w:r w:rsidR="00900209">
        <w:t xml:space="preserve">Galveston </w:t>
      </w:r>
      <w:r w:rsidR="00D51C63">
        <w:t>as one of the top five most vulnerable places in the United</w:t>
      </w:r>
      <w:r w:rsidR="00900209">
        <w:t xml:space="preserve"> </w:t>
      </w:r>
      <w:r w:rsidR="00D51C63">
        <w:t xml:space="preserve">States.  </w:t>
      </w:r>
      <w:r w:rsidR="000A7E4A">
        <w:t xml:space="preserve">This designation was validated in 2008 when </w:t>
      </w:r>
      <w:r w:rsidR="00061A0B">
        <w:t xml:space="preserve">Hurricane Ike damaged 16,426 residential parcels </w:t>
      </w:r>
      <w:r w:rsidR="000A7E4A">
        <w:t xml:space="preserve">in the City </w:t>
      </w:r>
      <w:r w:rsidR="00061A0B">
        <w:t>(88% of all residential parcels), with 947 structures (6%) classified as substantially damaged.</w:t>
      </w:r>
      <w:r w:rsidR="00677CD8">
        <w:t xml:space="preserve"> </w:t>
      </w:r>
      <w:r w:rsidR="000A7E4A">
        <w:t xml:space="preserve"> </w:t>
      </w:r>
      <w:r w:rsidR="00677CD8">
        <w:t>35,248 National Flood Insurance Program (NFIP)</w:t>
      </w:r>
      <w:r w:rsidR="00677CD8">
        <w:rPr>
          <w:rStyle w:val="FootnoteReference"/>
        </w:rPr>
        <w:footnoteReference w:id="4"/>
      </w:r>
      <w:r w:rsidR="00677CD8">
        <w:t xml:space="preserve"> claims </w:t>
      </w:r>
      <w:r w:rsidR="000A7E4A">
        <w:t xml:space="preserve">were </w:t>
      </w:r>
      <w:r w:rsidR="00677CD8">
        <w:t xml:space="preserve">paid </w:t>
      </w:r>
      <w:r w:rsidR="000A7E4A">
        <w:t xml:space="preserve">following Ike </w:t>
      </w:r>
      <w:r w:rsidR="00677CD8">
        <w:t>in the State of Texas, to</w:t>
      </w:r>
      <w:r w:rsidR="006A3831">
        <w:t xml:space="preserve">talling more than </w:t>
      </w:r>
      <w:r w:rsidR="00622262">
        <w:t>US</w:t>
      </w:r>
      <w:r w:rsidR="006A3831">
        <w:t>$2 billion</w:t>
      </w:r>
      <w:r w:rsidR="001544FA">
        <w:t xml:space="preserve"> in damages</w:t>
      </w:r>
      <w:r w:rsidR="006A3831">
        <w:t xml:space="preserve"> (NFIP, 2015</w:t>
      </w:r>
      <w:r w:rsidR="00677CD8">
        <w:t xml:space="preserve">).  </w:t>
      </w:r>
      <w:r w:rsidR="006A3831">
        <w:t>In total, Ike caused more than US</w:t>
      </w:r>
      <w:r w:rsidR="006A3831" w:rsidRPr="006A3831">
        <w:t>$50 billion in damage</w:t>
      </w:r>
      <w:r w:rsidR="006A3831">
        <w:t>s</w:t>
      </w:r>
      <w:r w:rsidR="006A3831" w:rsidRPr="006A3831">
        <w:t xml:space="preserve"> and claimed dozens of lives</w:t>
      </w:r>
      <w:r w:rsidR="006A3831">
        <w:t xml:space="preserve"> (Merrell, 2015).  </w:t>
      </w:r>
      <w:r w:rsidR="001544FA">
        <w:t>T</w:t>
      </w:r>
      <w:r w:rsidR="00E34BD0">
        <w:rPr>
          <w:color w:val="000000" w:themeColor="text1"/>
        </w:rPr>
        <w:t xml:space="preserve">he City’s </w:t>
      </w:r>
      <w:r w:rsidR="001544FA">
        <w:rPr>
          <w:color w:val="000000" w:themeColor="text1"/>
        </w:rPr>
        <w:t xml:space="preserve">growing </w:t>
      </w:r>
      <w:r w:rsidR="00E34BD0" w:rsidRPr="00FC0227">
        <w:rPr>
          <w:color w:val="000000" w:themeColor="text1"/>
        </w:rPr>
        <w:t xml:space="preserve">awareness </w:t>
      </w:r>
      <w:r w:rsidR="001544FA">
        <w:rPr>
          <w:color w:val="000000" w:themeColor="text1"/>
        </w:rPr>
        <w:t xml:space="preserve">of the potential </w:t>
      </w:r>
      <w:r w:rsidR="00A40709">
        <w:rPr>
          <w:color w:val="000000" w:themeColor="text1"/>
        </w:rPr>
        <w:t xml:space="preserve">impact </w:t>
      </w:r>
      <w:r w:rsidR="001544FA">
        <w:rPr>
          <w:color w:val="000000" w:themeColor="text1"/>
        </w:rPr>
        <w:t xml:space="preserve">of </w:t>
      </w:r>
      <w:r w:rsidR="00A40709">
        <w:rPr>
          <w:color w:val="000000" w:themeColor="text1"/>
        </w:rPr>
        <w:t>natural hazards -</w:t>
      </w:r>
      <w:r w:rsidR="00E34BD0" w:rsidRPr="00FC0227">
        <w:rPr>
          <w:color w:val="000000" w:themeColor="text1"/>
        </w:rPr>
        <w:t xml:space="preserve"> </w:t>
      </w:r>
      <w:r w:rsidR="00E34BD0">
        <w:rPr>
          <w:color w:val="000000" w:themeColor="text1"/>
        </w:rPr>
        <w:t xml:space="preserve">particularly </w:t>
      </w:r>
      <w:r w:rsidR="00E34BD0" w:rsidRPr="00FC0227">
        <w:rPr>
          <w:color w:val="000000" w:themeColor="text1"/>
        </w:rPr>
        <w:t xml:space="preserve">flood and </w:t>
      </w:r>
      <w:r w:rsidR="00E34BD0">
        <w:rPr>
          <w:color w:val="000000" w:themeColor="text1"/>
        </w:rPr>
        <w:t xml:space="preserve">extreme </w:t>
      </w:r>
      <w:r w:rsidR="00E34BD0" w:rsidRPr="00FC0227">
        <w:rPr>
          <w:color w:val="000000" w:themeColor="text1"/>
        </w:rPr>
        <w:t>wind</w:t>
      </w:r>
      <w:r w:rsidR="00A40709">
        <w:rPr>
          <w:color w:val="000000" w:themeColor="text1"/>
        </w:rPr>
        <w:t xml:space="preserve"> -</w:t>
      </w:r>
      <w:r w:rsidR="00E34BD0" w:rsidRPr="00FC0227">
        <w:rPr>
          <w:color w:val="000000" w:themeColor="text1"/>
        </w:rPr>
        <w:t xml:space="preserve"> </w:t>
      </w:r>
      <w:r w:rsidR="001544FA">
        <w:rPr>
          <w:color w:val="000000" w:themeColor="text1"/>
        </w:rPr>
        <w:t xml:space="preserve">to </w:t>
      </w:r>
      <w:r w:rsidR="00E34BD0">
        <w:rPr>
          <w:color w:val="000000" w:themeColor="text1"/>
        </w:rPr>
        <w:t xml:space="preserve">the </w:t>
      </w:r>
      <w:r w:rsidR="00E34BD0" w:rsidRPr="00FC0227">
        <w:rPr>
          <w:color w:val="000000" w:themeColor="text1"/>
        </w:rPr>
        <w:t xml:space="preserve">people, </w:t>
      </w:r>
      <w:r w:rsidR="00E34BD0">
        <w:rPr>
          <w:color w:val="000000" w:themeColor="text1"/>
        </w:rPr>
        <w:t>built environment</w:t>
      </w:r>
      <w:r w:rsidR="00E34BD0" w:rsidRPr="00FC0227">
        <w:rPr>
          <w:color w:val="000000" w:themeColor="text1"/>
        </w:rPr>
        <w:t xml:space="preserve">, and operations </w:t>
      </w:r>
      <w:r w:rsidR="00E34BD0">
        <w:rPr>
          <w:color w:val="000000" w:themeColor="text1"/>
        </w:rPr>
        <w:t xml:space="preserve">of </w:t>
      </w:r>
      <w:r w:rsidR="00E34BD0" w:rsidRPr="00FC0227">
        <w:rPr>
          <w:color w:val="000000" w:themeColor="text1"/>
        </w:rPr>
        <w:t>the City</w:t>
      </w:r>
      <w:r w:rsidR="00A40709" w:rsidRPr="00A40709">
        <w:rPr>
          <w:color w:val="000000" w:themeColor="text1"/>
        </w:rPr>
        <w:t xml:space="preserve"> </w:t>
      </w:r>
      <w:r w:rsidR="00A40709">
        <w:rPr>
          <w:color w:val="000000" w:themeColor="text1"/>
        </w:rPr>
        <w:t>of Galveston</w:t>
      </w:r>
      <w:r w:rsidR="00E34BD0">
        <w:rPr>
          <w:color w:val="000000" w:themeColor="text1"/>
        </w:rPr>
        <w:t xml:space="preserve"> </w:t>
      </w:r>
      <w:r w:rsidR="00426AC7">
        <w:rPr>
          <w:color w:val="000000" w:themeColor="text1"/>
        </w:rPr>
        <w:t xml:space="preserve">impelled </w:t>
      </w:r>
      <w:r w:rsidR="00E34BD0">
        <w:rPr>
          <w:color w:val="000000" w:themeColor="text1"/>
        </w:rPr>
        <w:t xml:space="preserve">the City </w:t>
      </w:r>
      <w:r w:rsidR="00426AC7">
        <w:rPr>
          <w:color w:val="000000" w:themeColor="text1"/>
        </w:rPr>
        <w:t>to begi</w:t>
      </w:r>
      <w:r w:rsidR="001544FA">
        <w:rPr>
          <w:color w:val="000000" w:themeColor="text1"/>
        </w:rPr>
        <w:t xml:space="preserve">n the process of creating </w:t>
      </w:r>
      <w:r w:rsidR="00E34BD0">
        <w:rPr>
          <w:color w:val="000000" w:themeColor="text1"/>
        </w:rPr>
        <w:t>a hazard mitigation plan</w:t>
      </w:r>
      <w:r w:rsidR="001544FA">
        <w:rPr>
          <w:color w:val="000000" w:themeColor="text1"/>
        </w:rPr>
        <w:t xml:space="preserve"> in 2010</w:t>
      </w:r>
      <w:r w:rsidR="00E34BD0">
        <w:rPr>
          <w:color w:val="000000" w:themeColor="text1"/>
        </w:rPr>
        <w:t xml:space="preserve">. </w:t>
      </w:r>
    </w:p>
    <w:p w14:paraId="7665EF05" w14:textId="1D1AC3AA" w:rsidR="005306D3" w:rsidRPr="00523F0B" w:rsidRDefault="006E4A4A" w:rsidP="000E2FB8">
      <w:pPr>
        <w:rPr>
          <w:b/>
          <w:sz w:val="24"/>
        </w:rPr>
      </w:pPr>
      <w:r>
        <w:rPr>
          <w:b/>
          <w:sz w:val="24"/>
        </w:rPr>
        <w:t xml:space="preserve">State Level </w:t>
      </w:r>
      <w:r w:rsidR="005306D3" w:rsidRPr="00523F0B">
        <w:rPr>
          <w:b/>
          <w:sz w:val="24"/>
        </w:rPr>
        <w:t>Governance</w:t>
      </w:r>
      <w:r>
        <w:rPr>
          <w:b/>
          <w:sz w:val="24"/>
        </w:rPr>
        <w:t xml:space="preserve"> Challenges</w:t>
      </w:r>
    </w:p>
    <w:p w14:paraId="656DE115" w14:textId="372D775D" w:rsidR="00517408" w:rsidRDefault="00402AC1" w:rsidP="00D84376">
      <w:pPr>
        <w:rPr>
          <w:color w:val="000000" w:themeColor="text1"/>
        </w:rPr>
      </w:pPr>
      <w:r>
        <w:t>In Texas</w:t>
      </w:r>
      <w:r w:rsidR="006E4A4A">
        <w:t xml:space="preserve"> the most destructive natural disaster</w:t>
      </w:r>
      <w:r w:rsidR="00622262">
        <w:t xml:space="preserve"> </w:t>
      </w:r>
      <w:r>
        <w:t>is flooding</w:t>
      </w:r>
      <w:r w:rsidR="00622262">
        <w:t>, when considered from the perspective of economic loss to citizens</w:t>
      </w:r>
      <w:r w:rsidR="006E4A4A">
        <w:t xml:space="preserve">.  </w:t>
      </w:r>
      <w:r w:rsidR="00E34BD0" w:rsidRPr="00E34BD0">
        <w:rPr>
          <w:color w:val="000000" w:themeColor="text1"/>
        </w:rPr>
        <w:t>Texas ranks among the worst of any state for flood-control spending</w:t>
      </w:r>
      <w:r w:rsidR="00E34BD0">
        <w:rPr>
          <w:color w:val="000000" w:themeColor="text1"/>
        </w:rPr>
        <w:t xml:space="preserve"> despite being second only to Louisiana for flood claim</w:t>
      </w:r>
      <w:r w:rsidR="00622262">
        <w:rPr>
          <w:color w:val="000000" w:themeColor="text1"/>
        </w:rPr>
        <w:t xml:space="preserve"> pay-out</w:t>
      </w:r>
      <w:r w:rsidR="00E34BD0">
        <w:rPr>
          <w:color w:val="000000" w:themeColor="text1"/>
        </w:rPr>
        <w:t>s</w:t>
      </w:r>
      <w:r w:rsidR="00D84376">
        <w:rPr>
          <w:color w:val="000000" w:themeColor="text1"/>
        </w:rPr>
        <w:t xml:space="preserve">, with </w:t>
      </w:r>
      <w:r w:rsidR="00D84376" w:rsidRPr="00D84376">
        <w:rPr>
          <w:color w:val="000000" w:themeColor="text1"/>
        </w:rPr>
        <w:t xml:space="preserve">nearly </w:t>
      </w:r>
      <w:r w:rsidR="00622262">
        <w:rPr>
          <w:color w:val="000000" w:themeColor="text1"/>
        </w:rPr>
        <w:t>US</w:t>
      </w:r>
      <w:r w:rsidR="00D84376" w:rsidRPr="00D84376">
        <w:rPr>
          <w:color w:val="000000" w:themeColor="text1"/>
        </w:rPr>
        <w:t>$5.5 billion in p</w:t>
      </w:r>
      <w:r w:rsidR="00622262">
        <w:rPr>
          <w:color w:val="000000" w:themeColor="text1"/>
        </w:rPr>
        <w:t xml:space="preserve">aid out </w:t>
      </w:r>
      <w:r w:rsidR="00D84376" w:rsidRPr="00D84376">
        <w:rPr>
          <w:color w:val="000000" w:themeColor="text1"/>
        </w:rPr>
        <w:t>for 237,251 flood loss claims</w:t>
      </w:r>
      <w:r w:rsidR="00D84376">
        <w:rPr>
          <w:color w:val="000000" w:themeColor="text1"/>
        </w:rPr>
        <w:t xml:space="preserve"> b</w:t>
      </w:r>
      <w:r w:rsidR="00D84376" w:rsidRPr="00D84376">
        <w:rPr>
          <w:color w:val="000000" w:themeColor="text1"/>
        </w:rPr>
        <w:t>etween 1978 and 2011</w:t>
      </w:r>
      <w:r w:rsidR="00D84376">
        <w:rPr>
          <w:color w:val="000000" w:themeColor="text1"/>
        </w:rPr>
        <w:t xml:space="preserve">(TASCE, 2015).  </w:t>
      </w:r>
      <w:r w:rsidR="00517408">
        <w:rPr>
          <w:color w:val="000000" w:themeColor="text1"/>
        </w:rPr>
        <w:t>In 1999, state legislation was passed requiring all counties and cities to meet the eligibility requirements of the NFIP</w:t>
      </w:r>
      <w:r w:rsidR="009F3A2A">
        <w:rPr>
          <w:color w:val="000000" w:themeColor="text1"/>
        </w:rPr>
        <w:t xml:space="preserve">; the legislation does not, however, require communities to enrol in the NFIP </w:t>
      </w:r>
      <w:r w:rsidR="00C25514">
        <w:rPr>
          <w:color w:val="000000" w:themeColor="text1"/>
        </w:rPr>
        <w:t>(TFMA, 2008</w:t>
      </w:r>
      <w:r w:rsidR="009F3A2A" w:rsidRPr="009F3A2A">
        <w:rPr>
          <w:color w:val="000000" w:themeColor="text1"/>
        </w:rPr>
        <w:t xml:space="preserve">).  </w:t>
      </w:r>
      <w:r w:rsidR="009F3A2A">
        <w:rPr>
          <w:color w:val="000000" w:themeColor="text1"/>
        </w:rPr>
        <w:t xml:space="preserve">Despite this, Texas ranks second only to Florida in the number of flood insurance policies issued, accounting for </w:t>
      </w:r>
      <w:r w:rsidR="009F3A2A" w:rsidRPr="00D84376">
        <w:rPr>
          <w:color w:val="000000" w:themeColor="text1"/>
        </w:rPr>
        <w:t>approximately 12% of the total flood policies, insurance coverage in force, and total premium</w:t>
      </w:r>
      <w:r w:rsidR="00B86854">
        <w:rPr>
          <w:color w:val="000000" w:themeColor="text1"/>
        </w:rPr>
        <w:t>s</w:t>
      </w:r>
      <w:r w:rsidR="009F3A2A" w:rsidRPr="00D84376">
        <w:rPr>
          <w:color w:val="000000" w:themeColor="text1"/>
        </w:rPr>
        <w:t xml:space="preserve"> paid in the United States</w:t>
      </w:r>
      <w:r w:rsidR="009F3A2A">
        <w:rPr>
          <w:color w:val="000000" w:themeColor="text1"/>
        </w:rPr>
        <w:t xml:space="preserve"> (TASCE, 2015)</w:t>
      </w:r>
      <w:r w:rsidR="009F3A2A" w:rsidRPr="00D84376">
        <w:rPr>
          <w:color w:val="000000" w:themeColor="text1"/>
        </w:rPr>
        <w:t xml:space="preserve">.  </w:t>
      </w:r>
      <w:r w:rsidR="009F3A2A">
        <w:rPr>
          <w:color w:val="000000" w:themeColor="text1"/>
        </w:rPr>
        <w:t xml:space="preserve">The legislation also </w:t>
      </w:r>
      <w:r w:rsidR="00C25514">
        <w:rPr>
          <w:color w:val="000000" w:themeColor="text1"/>
        </w:rPr>
        <w:t>gave</w:t>
      </w:r>
      <w:r w:rsidR="009F3A2A">
        <w:rPr>
          <w:color w:val="000000" w:themeColor="text1"/>
        </w:rPr>
        <w:t xml:space="preserve"> c</w:t>
      </w:r>
      <w:r w:rsidR="00517408" w:rsidRPr="009F3A2A">
        <w:rPr>
          <w:color w:val="000000" w:themeColor="text1"/>
        </w:rPr>
        <w:t xml:space="preserve">ommunities </w:t>
      </w:r>
      <w:r w:rsidR="009F3A2A">
        <w:rPr>
          <w:color w:val="000000" w:themeColor="text1"/>
        </w:rPr>
        <w:t xml:space="preserve">the </w:t>
      </w:r>
      <w:r w:rsidR="00517408" w:rsidRPr="009F3A2A">
        <w:rPr>
          <w:color w:val="000000" w:themeColor="text1"/>
        </w:rPr>
        <w:t>authority to regulate development with stricter local floodplain management requirements</w:t>
      </w:r>
      <w:r w:rsidR="009F3A2A">
        <w:rPr>
          <w:color w:val="000000" w:themeColor="text1"/>
        </w:rPr>
        <w:t xml:space="preserve"> </w:t>
      </w:r>
      <w:r w:rsidR="00C25514">
        <w:rPr>
          <w:color w:val="000000" w:themeColor="text1"/>
        </w:rPr>
        <w:t>(TFMA, 2008</w:t>
      </w:r>
      <w:r w:rsidR="009F3A2A" w:rsidRPr="009F3A2A">
        <w:rPr>
          <w:color w:val="000000" w:themeColor="text1"/>
        </w:rPr>
        <w:t xml:space="preserve">).  </w:t>
      </w:r>
      <w:r w:rsidR="009F3A2A">
        <w:rPr>
          <w:color w:val="000000" w:themeColor="text1"/>
        </w:rPr>
        <w:t xml:space="preserve">  </w:t>
      </w:r>
      <w:r w:rsidR="00517408" w:rsidRPr="009F3A2A">
        <w:rPr>
          <w:color w:val="000000" w:themeColor="text1"/>
        </w:rPr>
        <w:t xml:space="preserve"> </w:t>
      </w:r>
    </w:p>
    <w:p w14:paraId="76177C25" w14:textId="0501BF59" w:rsidR="00C74F34" w:rsidRPr="00C74F34" w:rsidRDefault="00F02760" w:rsidP="00C74F34">
      <w:pPr>
        <w:rPr>
          <w:color w:val="FF0000"/>
        </w:rPr>
      </w:pPr>
      <w:r>
        <w:t xml:space="preserve">With over 12% of the state’s land area subject to flood events, there has been over 400 deaths and $4 billion in damages as a result of flood-related incidents since 1988 (TFMA, 2008).  </w:t>
      </w:r>
      <w:r>
        <w:rPr>
          <w:color w:val="000000" w:themeColor="text1"/>
        </w:rPr>
        <w:t xml:space="preserve">Despite the severity of flooding impacts on the state, Texas does not have a state-wide flood management plan, and none of the three state agencies responsible for flood mitigation planning across the state have authority to create, implement or provide floodplain management policies for any of the state’s 23 river basins (TASCE, 2015).  However, a </w:t>
      </w:r>
      <w:r w:rsidR="00C74F34">
        <w:rPr>
          <w:color w:val="000000" w:themeColor="text1"/>
        </w:rPr>
        <w:t xml:space="preserve">State of Texas Hazard </w:t>
      </w:r>
      <w:r w:rsidR="00C74F34" w:rsidRPr="00C74F34">
        <w:rPr>
          <w:color w:val="000000" w:themeColor="text1"/>
        </w:rPr>
        <w:t>Mitigation</w:t>
      </w:r>
      <w:r w:rsidR="00E95820">
        <w:rPr>
          <w:color w:val="000000" w:themeColor="text1"/>
        </w:rPr>
        <w:t xml:space="preserve"> Plan</w:t>
      </w:r>
      <w:r w:rsidR="00BE46CE">
        <w:rPr>
          <w:color w:val="000000" w:themeColor="text1"/>
        </w:rPr>
        <w:t xml:space="preserve"> (S</w:t>
      </w:r>
      <w:r w:rsidR="00C74F34">
        <w:rPr>
          <w:color w:val="000000" w:themeColor="text1"/>
        </w:rPr>
        <w:t>HMP)</w:t>
      </w:r>
      <w:r w:rsidR="00C74F34" w:rsidRPr="00C74F34">
        <w:rPr>
          <w:color w:val="000000" w:themeColor="text1"/>
        </w:rPr>
        <w:t xml:space="preserve"> </w:t>
      </w:r>
      <w:r w:rsidR="00C74F34">
        <w:rPr>
          <w:color w:val="000000" w:themeColor="text1"/>
        </w:rPr>
        <w:t xml:space="preserve">was developed and approved by FEMA in 2004, and has since been updated in 2007, 2010 and 2013.  As </w:t>
      </w:r>
      <w:r w:rsidR="00C74F34" w:rsidRPr="00C74F34">
        <w:rPr>
          <w:color w:val="000000" w:themeColor="text1"/>
        </w:rPr>
        <w:t xml:space="preserve">a result, </w:t>
      </w:r>
      <w:r w:rsidR="00C74F34">
        <w:rPr>
          <w:color w:val="000000" w:themeColor="text1"/>
        </w:rPr>
        <w:t xml:space="preserve">Texas </w:t>
      </w:r>
      <w:r w:rsidR="00C74F34" w:rsidRPr="00C74F34">
        <w:rPr>
          <w:color w:val="000000" w:themeColor="text1"/>
        </w:rPr>
        <w:t>is eligible to receive Hazard Mitigation Assistance (HMA) funding to help achieve mitigation goals</w:t>
      </w:r>
      <w:r w:rsidR="00E95820">
        <w:rPr>
          <w:color w:val="000000" w:themeColor="text1"/>
        </w:rPr>
        <w:t xml:space="preserve"> at both the state and local levels.  </w:t>
      </w:r>
      <w:r w:rsidR="00C74F34" w:rsidRPr="00C74F34">
        <w:rPr>
          <w:color w:val="000000" w:themeColor="text1"/>
        </w:rPr>
        <w:t xml:space="preserve">The primary role of the </w:t>
      </w:r>
      <w:r w:rsidR="00C74F34">
        <w:rPr>
          <w:color w:val="000000" w:themeColor="text1"/>
        </w:rPr>
        <w:t>THMP i</w:t>
      </w:r>
      <w:r w:rsidR="00C74F34" w:rsidRPr="00C74F34">
        <w:rPr>
          <w:color w:val="000000" w:themeColor="text1"/>
        </w:rPr>
        <w:t xml:space="preserve">s </w:t>
      </w:r>
      <w:r w:rsidR="00C74F34">
        <w:rPr>
          <w:color w:val="000000" w:themeColor="text1"/>
        </w:rPr>
        <w:t>“</w:t>
      </w:r>
      <w:r w:rsidR="00C74F34" w:rsidRPr="00C74F34">
        <w:rPr>
          <w:color w:val="000000" w:themeColor="text1"/>
        </w:rPr>
        <w:t xml:space="preserve">to motivate state agencies and local government, as well as the private sector, to prevent catastrophic impact to property and people from natural hazards by addressing their potential for risk, identifying mitigation </w:t>
      </w:r>
      <w:r w:rsidR="00C74F34" w:rsidRPr="00C74F34">
        <w:rPr>
          <w:color w:val="000000" w:themeColor="text1"/>
        </w:rPr>
        <w:lastRenderedPageBreak/>
        <w:t xml:space="preserve">actions; and establishing priorities to follow through with those actions through collaborative, </w:t>
      </w:r>
      <w:r w:rsidR="00C74F34">
        <w:rPr>
          <w:color w:val="000000" w:themeColor="text1"/>
        </w:rPr>
        <w:t>analytical mitigation planning</w:t>
      </w:r>
      <w:r w:rsidR="00E95820">
        <w:rPr>
          <w:color w:val="000000" w:themeColor="text1"/>
        </w:rPr>
        <w:t xml:space="preserve">” </w:t>
      </w:r>
      <w:r w:rsidR="00C74F34" w:rsidRPr="00C74F34">
        <w:rPr>
          <w:color w:val="000000" w:themeColor="text1"/>
        </w:rPr>
        <w:t xml:space="preserve"> </w:t>
      </w:r>
      <w:r w:rsidR="00E95820">
        <w:rPr>
          <w:color w:val="000000" w:themeColor="text1"/>
        </w:rPr>
        <w:t>(</w:t>
      </w:r>
      <w:r w:rsidR="00E95820" w:rsidRPr="00E95820">
        <w:rPr>
          <w:color w:val="000000" w:themeColor="text1"/>
        </w:rPr>
        <w:t>TXEMMPT</w:t>
      </w:r>
      <w:r>
        <w:rPr>
          <w:color w:val="000000" w:themeColor="text1"/>
        </w:rPr>
        <w:t xml:space="preserve">, 2013, </w:t>
      </w:r>
      <w:r w:rsidR="00E95820">
        <w:rPr>
          <w:color w:val="000000" w:themeColor="text1"/>
        </w:rPr>
        <w:t>p. 13).</w:t>
      </w:r>
    </w:p>
    <w:p w14:paraId="107CB6FF" w14:textId="4540305D" w:rsidR="00BB435A" w:rsidRDefault="00517408" w:rsidP="00156736">
      <w:r>
        <w:t xml:space="preserve">In the aftermath of Hurricane Ike, Texas Governor Rick Perry formed the </w:t>
      </w:r>
      <w:r w:rsidRPr="00141DA8">
        <w:t>Commission for Disaster Recovery and Renewal </w:t>
      </w:r>
      <w:r>
        <w:t xml:space="preserve">to investigate strategies for </w:t>
      </w:r>
      <w:r w:rsidRPr="00141DA8">
        <w:t>preparing for and mitigating future disasters</w:t>
      </w:r>
      <w:r>
        <w:t xml:space="preserve">.  </w:t>
      </w:r>
      <w:r w:rsidR="00BC23BB" w:rsidRPr="00BC23BB">
        <w:t>The Commission recommended that a 6-county (Harris, Galveston, Chambers, Brazoria, Orange and Jefferson) public corporation be established to examine regional Texas approaches to storm surge suppression. That corporation, the Gulf Coast Community Protection and Recovery District, Inc., was established on April 20, 2010.</w:t>
      </w:r>
      <w:r w:rsidR="00BC23BB">
        <w:t xml:space="preserve">  </w:t>
      </w:r>
      <w:r>
        <w:t xml:space="preserve">One proposed solution </w:t>
      </w:r>
      <w:r w:rsidR="00BC23BB">
        <w:t xml:space="preserve">the Commission considered </w:t>
      </w:r>
      <w:r>
        <w:t>is the “Ike Dike,” a massive levee system designed to withstand ~10,000 year storms and prevent storm surges from entering the internal waters of Galveston Bay, thereby protecting the island’s important</w:t>
      </w:r>
      <w:r w:rsidR="00EC39CF">
        <w:t xml:space="preserve"> petroleum and other </w:t>
      </w:r>
      <w:r>
        <w:t xml:space="preserve">industrial facilities lining the coast and shipping channel (Merrell, 2014; 2015).  </w:t>
      </w:r>
      <w:r w:rsidR="006A3831">
        <w:t>Momentum toward building the structure declined significantly in 2012 when attention was</w:t>
      </w:r>
      <w:r w:rsidR="00EC39CF">
        <w:t xml:space="preserve"> shifted</w:t>
      </w:r>
      <w:r w:rsidR="006A3831">
        <w:t xml:space="preserve"> away from the Gulf </w:t>
      </w:r>
      <w:r w:rsidR="00EC39CF">
        <w:t xml:space="preserve">as a result of the significant damages caused by </w:t>
      </w:r>
      <w:r w:rsidR="006A3831">
        <w:t>Hurricane</w:t>
      </w:r>
      <w:r w:rsidR="00EC39CF">
        <w:t xml:space="preserve"> Sandy in </w:t>
      </w:r>
      <w:r w:rsidR="006A3831">
        <w:t xml:space="preserve">the </w:t>
      </w:r>
      <w:r w:rsidR="00EC39CF">
        <w:t>northeast</w:t>
      </w:r>
      <w:r w:rsidR="006A3831">
        <w:t xml:space="preserve">.  However, in 2013, the </w:t>
      </w:r>
      <w:r w:rsidR="006A3831" w:rsidRPr="006A3831">
        <w:t>Bay Area Houston Economic Partnership</w:t>
      </w:r>
      <w:r w:rsidR="006A3831">
        <w:t xml:space="preserve"> began raising funds for a comprehensive study which </w:t>
      </w:r>
      <w:r w:rsidR="00EC39CF">
        <w:t xml:space="preserve">they hope to use </w:t>
      </w:r>
      <w:r w:rsidR="006A3831">
        <w:t xml:space="preserve">to persuade the US Congress to fund the project.  </w:t>
      </w:r>
      <w:r w:rsidR="006A3831" w:rsidRPr="006A3831">
        <w:t>Phase 1 of that study was completed in February</w:t>
      </w:r>
      <w:r w:rsidR="00156736">
        <w:t xml:space="preserve"> 2015</w:t>
      </w:r>
      <w:r w:rsidR="006A3831" w:rsidRPr="006A3831">
        <w:t xml:space="preserve">, and the final phase </w:t>
      </w:r>
      <w:r w:rsidR="00EC39CF">
        <w:t>is estimated to</w:t>
      </w:r>
      <w:r w:rsidR="006A3831" w:rsidRPr="006A3831">
        <w:t xml:space="preserve"> be complete</w:t>
      </w:r>
      <w:r w:rsidR="00156736">
        <w:t>d</w:t>
      </w:r>
      <w:r w:rsidR="006A3831" w:rsidRPr="006A3831">
        <w:t xml:space="preserve"> </w:t>
      </w:r>
      <w:r w:rsidR="00156736">
        <w:t xml:space="preserve">in </w:t>
      </w:r>
      <w:r w:rsidR="00EC39CF">
        <w:t>mid-</w:t>
      </w:r>
      <w:r w:rsidR="00156736">
        <w:t xml:space="preserve">2016.  </w:t>
      </w:r>
    </w:p>
    <w:p w14:paraId="4E011B3E" w14:textId="6B2822DF" w:rsidR="00AE4A91" w:rsidRPr="00FF0A45" w:rsidRDefault="00156736" w:rsidP="000E2FB8">
      <w:pPr>
        <w:rPr>
          <w:color w:val="FF0000"/>
        </w:rPr>
      </w:pPr>
      <w:r>
        <w:t xml:space="preserve">The lack of progress toward the development of clear strategies for </w:t>
      </w:r>
      <w:r w:rsidRPr="00141DA8">
        <w:t>preparing for and mitigating future disasters</w:t>
      </w:r>
      <w:r>
        <w:t xml:space="preserve"> has earned Texas a</w:t>
      </w:r>
      <w:r w:rsidR="00C06A11">
        <w:t xml:space="preserve"> </w:t>
      </w:r>
      <w:r>
        <w:t>‘D</w:t>
      </w:r>
      <w:r w:rsidR="00C06A11">
        <w:t>-</w:t>
      </w:r>
      <w:r>
        <w:t xml:space="preserve">’ </w:t>
      </w:r>
      <w:r w:rsidR="00C06A11">
        <w:t xml:space="preserve">for Flood Control Infrastructure </w:t>
      </w:r>
      <w:r>
        <w:t xml:space="preserve">on the </w:t>
      </w:r>
      <w:r w:rsidR="006721A2">
        <w:t xml:space="preserve">2015 </w:t>
      </w:r>
      <w:r>
        <w:t xml:space="preserve">ASCE Infrastructure Report Card, with warnings that this grade will drop further if Texas continues to forego central disaster mitigation planning </w:t>
      </w:r>
      <w:r w:rsidR="006721A2">
        <w:t xml:space="preserve">despite </w:t>
      </w:r>
      <w:r w:rsidR="00501C09">
        <w:t xml:space="preserve">growing populations </w:t>
      </w:r>
      <w:r>
        <w:t>a</w:t>
      </w:r>
      <w:r w:rsidR="006721A2">
        <w:t>l</w:t>
      </w:r>
      <w:r>
        <w:t>ong its flood-prone rivers</w:t>
      </w:r>
      <w:r w:rsidR="00C06A11">
        <w:t xml:space="preserve"> </w:t>
      </w:r>
      <w:r w:rsidR="00C06A11">
        <w:rPr>
          <w:color w:val="000000" w:themeColor="text1"/>
        </w:rPr>
        <w:t>(TASCE, 2015</w:t>
      </w:r>
      <w:r w:rsidR="00BB435A">
        <w:rPr>
          <w:color w:val="000000" w:themeColor="text1"/>
        </w:rPr>
        <w:t xml:space="preserve">).  </w:t>
      </w:r>
      <w:r w:rsidR="00501C09">
        <w:rPr>
          <w:color w:val="000000" w:themeColor="text1"/>
        </w:rPr>
        <w:t xml:space="preserve">The TASCE </w:t>
      </w:r>
      <w:r w:rsidR="006721A2">
        <w:rPr>
          <w:color w:val="000000" w:themeColor="text1"/>
        </w:rPr>
        <w:t xml:space="preserve">project that </w:t>
      </w:r>
      <w:r w:rsidR="00501C09">
        <w:rPr>
          <w:color w:val="000000" w:themeColor="text1"/>
        </w:rPr>
        <w:t xml:space="preserve">flood </w:t>
      </w:r>
      <w:r w:rsidR="006721A2">
        <w:rPr>
          <w:color w:val="000000" w:themeColor="text1"/>
        </w:rPr>
        <w:t xml:space="preserve">will </w:t>
      </w:r>
      <w:r w:rsidR="00501C09" w:rsidRPr="00501C09">
        <w:rPr>
          <w:color w:val="000000" w:themeColor="text1"/>
        </w:rPr>
        <w:t>damages to increase state</w:t>
      </w:r>
      <w:r w:rsidR="006721A2">
        <w:rPr>
          <w:color w:val="000000" w:themeColor="text1"/>
        </w:rPr>
        <w:t>-</w:t>
      </w:r>
      <w:r w:rsidR="00501C09" w:rsidRPr="00501C09">
        <w:rPr>
          <w:color w:val="000000" w:themeColor="text1"/>
        </w:rPr>
        <w:t xml:space="preserve">wide as population pressures lead to more development in high-risk areas, in rural counties with no defined flood boundary maps, and </w:t>
      </w:r>
      <w:r w:rsidR="006721A2">
        <w:rPr>
          <w:color w:val="000000" w:themeColor="text1"/>
        </w:rPr>
        <w:t xml:space="preserve">increased </w:t>
      </w:r>
      <w:r w:rsidR="00501C09" w:rsidRPr="00501C09">
        <w:rPr>
          <w:color w:val="000000" w:themeColor="text1"/>
        </w:rPr>
        <w:t>property values (and, therefore, damage values)</w:t>
      </w:r>
      <w:r w:rsidR="00501C09">
        <w:rPr>
          <w:color w:val="000000" w:themeColor="text1"/>
        </w:rPr>
        <w:t xml:space="preserve">.  Furthermore, the Report Card notes that that most communities have outdates floodplain maps, making local risk assessment and flood plain management difficult.  </w:t>
      </w:r>
    </w:p>
    <w:p w14:paraId="3F156856" w14:textId="5D7CF047" w:rsidR="005306D3" w:rsidRPr="00523F0B" w:rsidRDefault="006E4A4A" w:rsidP="000E2FB8">
      <w:pPr>
        <w:rPr>
          <w:b/>
          <w:sz w:val="24"/>
        </w:rPr>
      </w:pPr>
      <w:r>
        <w:rPr>
          <w:b/>
          <w:sz w:val="24"/>
        </w:rPr>
        <w:t xml:space="preserve">Galveston Hazard Mitigation </w:t>
      </w:r>
      <w:r w:rsidR="005306D3" w:rsidRPr="00523F0B">
        <w:rPr>
          <w:b/>
          <w:sz w:val="24"/>
        </w:rPr>
        <w:t>Plan Details</w:t>
      </w:r>
    </w:p>
    <w:p w14:paraId="6F722316" w14:textId="35CE08BF" w:rsidR="00481994" w:rsidRPr="00481994" w:rsidRDefault="00BC23BB" w:rsidP="00481994">
      <w:pPr>
        <w:rPr>
          <w:color w:val="FF0000"/>
        </w:rPr>
      </w:pPr>
      <w:r w:rsidRPr="00BC23BB">
        <w:t xml:space="preserve">The </w:t>
      </w:r>
      <w:r w:rsidR="002E3243">
        <w:t>City of Galveston, recognizing its high-risk profile</w:t>
      </w:r>
      <w:r w:rsidR="00A423C2">
        <w:t>,</w:t>
      </w:r>
      <w:r w:rsidR="002E3243">
        <w:t xml:space="preserve"> </w:t>
      </w:r>
      <w:r w:rsidR="00A806F7">
        <w:t xml:space="preserve">responded to the aforementioned governance challenges by </w:t>
      </w:r>
      <w:r w:rsidR="00FF4B7D">
        <w:t xml:space="preserve">proactively </w:t>
      </w:r>
      <w:r w:rsidR="00A806F7">
        <w:t xml:space="preserve">developing </w:t>
      </w:r>
      <w:r w:rsidR="00481994">
        <w:t>the City of Galveston</w:t>
      </w:r>
      <w:r w:rsidR="00A806F7">
        <w:t xml:space="preserve"> </w:t>
      </w:r>
      <w:r w:rsidR="00A806F7" w:rsidRPr="00BC23BB">
        <w:t>Hazard Mitigation Plan (</w:t>
      </w:r>
      <w:r w:rsidR="00481994">
        <w:t>G</w:t>
      </w:r>
      <w:r w:rsidR="00A806F7">
        <w:t>HMP) to</w:t>
      </w:r>
      <w:r w:rsidR="002E3243">
        <w:t xml:space="preserve"> mitigate the impact of future </w:t>
      </w:r>
      <w:r w:rsidR="002E3243" w:rsidRPr="00FC0227">
        <w:rPr>
          <w:color w:val="000000" w:themeColor="text1"/>
        </w:rPr>
        <w:t>natural hazards</w:t>
      </w:r>
      <w:r>
        <w:t xml:space="preserve">.  </w:t>
      </w:r>
      <w:r w:rsidR="00C059FB">
        <w:t>The</w:t>
      </w:r>
      <w:r w:rsidR="002017B1">
        <w:t xml:space="preserve"> </w:t>
      </w:r>
      <w:r w:rsidR="00E84D27">
        <w:t>GHMP</w:t>
      </w:r>
      <w:r w:rsidR="00C059FB">
        <w:t xml:space="preserve"> was developed through a partnership between the City’s Emergency Management Coordinator and the Department of Planning and Community Development with input from the City of Galveston Hazard Mitigation Plan Stakeholder Committee (HMPSC)</w:t>
      </w:r>
      <w:r w:rsidR="00A423C2">
        <w:t xml:space="preserve"> </w:t>
      </w:r>
      <w:r w:rsidR="00C059FB">
        <w:t xml:space="preserve">(City of Galveston, 2011).  </w:t>
      </w:r>
      <w:r w:rsidR="00E84D27">
        <w:t xml:space="preserve">To begin </w:t>
      </w:r>
      <w:r w:rsidR="00481994">
        <w:t xml:space="preserve">the GHMP planning process, the </w:t>
      </w:r>
      <w:r w:rsidR="00E84D27">
        <w:t xml:space="preserve">group reviewed the </w:t>
      </w:r>
      <w:r w:rsidR="00481994">
        <w:t xml:space="preserve">Texas HMP to ensure </w:t>
      </w:r>
      <w:r w:rsidR="00E84D27">
        <w:t xml:space="preserve">that the Galveston HMP would align with </w:t>
      </w:r>
      <w:r w:rsidR="00481994">
        <w:t xml:space="preserve">the </w:t>
      </w:r>
      <w:r w:rsidR="00E84D27">
        <w:t>State HMP document</w:t>
      </w:r>
      <w:r w:rsidR="00481994">
        <w:t xml:space="preserve"> in the areas of </w:t>
      </w:r>
      <w:r w:rsidR="00481994" w:rsidRPr="00481994">
        <w:t>hazard identification, risk assessment and mitigation strategy.</w:t>
      </w:r>
      <w:r w:rsidR="00481994">
        <w:t xml:space="preserve">  </w:t>
      </w:r>
      <w:r w:rsidR="00481994" w:rsidRPr="00481994">
        <w:t xml:space="preserve">In addition, </w:t>
      </w:r>
      <w:r w:rsidR="00E84D27">
        <w:t xml:space="preserve">the group identified the steps necessary to ensure that </w:t>
      </w:r>
      <w:r w:rsidR="00481994">
        <w:t xml:space="preserve">the GHMP </w:t>
      </w:r>
      <w:r w:rsidR="009300F1">
        <w:t>was developed</w:t>
      </w:r>
      <w:r w:rsidR="00481994">
        <w:t xml:space="preserve"> </w:t>
      </w:r>
      <w:r w:rsidR="00E84D27">
        <w:t xml:space="preserve">in </w:t>
      </w:r>
      <w:r w:rsidR="00481994">
        <w:rPr>
          <w:color w:val="000000" w:themeColor="text1"/>
        </w:rPr>
        <w:t xml:space="preserve">compliance with </w:t>
      </w:r>
      <w:r w:rsidR="00481994">
        <w:t>the r</w:t>
      </w:r>
      <w:r w:rsidR="00481994" w:rsidRPr="00BC23BB">
        <w:t>equirements</w:t>
      </w:r>
      <w:r w:rsidR="00481994">
        <w:t xml:space="preserve"> of the DMA 2000 and FEMA IFR.</w:t>
      </w:r>
      <w:r w:rsidR="00E84D27">
        <w:t xml:space="preserve"> </w:t>
      </w:r>
    </w:p>
    <w:p w14:paraId="26321A69" w14:textId="1343E8D4" w:rsidR="00B9331F" w:rsidRDefault="00C23648" w:rsidP="00585C07">
      <w:r>
        <w:t>T</w:t>
      </w:r>
      <w:r w:rsidR="003E5607">
        <w:t xml:space="preserve">he City </w:t>
      </w:r>
      <w:r w:rsidR="005D2BDF">
        <w:t xml:space="preserve">conducted an assessment of the City’s </w:t>
      </w:r>
      <w:r w:rsidR="0019709D">
        <w:t xml:space="preserve">vulnerability to natural hazards </w:t>
      </w:r>
      <w:r>
        <w:t xml:space="preserve">as well as a </w:t>
      </w:r>
      <w:r w:rsidR="003E5607">
        <w:t xml:space="preserve">comprehensive </w:t>
      </w:r>
      <w:r w:rsidR="00585C07">
        <w:t xml:space="preserve">hazard </w:t>
      </w:r>
      <w:r w:rsidR="0099258E">
        <w:t>risk assessment</w:t>
      </w:r>
      <w:r>
        <w:t xml:space="preserve">.  This </w:t>
      </w:r>
      <w:r w:rsidR="0099258E">
        <w:t xml:space="preserve">analysis </w:t>
      </w:r>
      <w:r>
        <w:t xml:space="preserve">was then used to form </w:t>
      </w:r>
      <w:r w:rsidR="0099258E">
        <w:t xml:space="preserve">the basis </w:t>
      </w:r>
      <w:r w:rsidR="00B9331F">
        <w:t xml:space="preserve">for prioritizing mitigation efforts in the </w:t>
      </w:r>
      <w:r w:rsidR="005A5496">
        <w:t>GHMP</w:t>
      </w:r>
      <w:r w:rsidR="0099258E">
        <w:t xml:space="preserve">.  </w:t>
      </w:r>
      <w:r w:rsidR="00B9331F">
        <w:t xml:space="preserve">The purpose of the risk assessment </w:t>
      </w:r>
      <w:r>
        <w:t>wa</w:t>
      </w:r>
      <w:r w:rsidR="00B9331F">
        <w:t xml:space="preserve">s to identify and quantify </w:t>
      </w:r>
      <w:r>
        <w:t xml:space="preserve">potential </w:t>
      </w:r>
      <w:r w:rsidR="00B9331F">
        <w:t xml:space="preserve">future losses from hazards, and to use this information to </w:t>
      </w:r>
      <w:r>
        <w:t>select the most appropriate</w:t>
      </w:r>
      <w:r w:rsidR="00B9331F">
        <w:t xml:space="preserve"> actions to take to reduce those damages.</w:t>
      </w:r>
    </w:p>
    <w:p w14:paraId="22023CA0" w14:textId="683553D2" w:rsidR="002F249A" w:rsidRDefault="004B5B55" w:rsidP="00B9331F">
      <w:r>
        <w:t xml:space="preserve">Of the 28 hazards included in </w:t>
      </w:r>
      <w:r w:rsidR="00C663CC">
        <w:t xml:space="preserve">a comprehensive </w:t>
      </w:r>
      <w:r>
        <w:t xml:space="preserve">hazard risk assessment, </w:t>
      </w:r>
      <w:r w:rsidR="00061A0B">
        <w:t xml:space="preserve">fourteen hazards </w:t>
      </w:r>
      <w:r>
        <w:t xml:space="preserve">were identified that </w:t>
      </w:r>
      <w:r w:rsidR="00061A0B">
        <w:t xml:space="preserve">posed the </w:t>
      </w:r>
      <w:r w:rsidR="00B54155">
        <w:t>highest</w:t>
      </w:r>
      <w:r w:rsidR="00061A0B">
        <w:t xml:space="preserve"> risk to </w:t>
      </w:r>
      <w:r w:rsidR="00B54155">
        <w:t xml:space="preserve">local </w:t>
      </w:r>
      <w:r w:rsidR="00061A0B">
        <w:t>residents an</w:t>
      </w:r>
      <w:r w:rsidR="001D5150">
        <w:t>d built environment.  The fourteen</w:t>
      </w:r>
      <w:r w:rsidR="00061A0B">
        <w:t xml:space="preserve"> risks were further evaluated using</w:t>
      </w:r>
      <w:r w:rsidR="001D5150">
        <w:t xml:space="preserve"> </w:t>
      </w:r>
      <w:r w:rsidR="00C663CC">
        <w:t xml:space="preserve">a qualitative risk assessment of past occurrence and likelihood of future occurrence was conducted using </w:t>
      </w:r>
      <w:r w:rsidR="001D5150">
        <w:t>a combination of</w:t>
      </w:r>
      <w:r w:rsidR="00061A0B">
        <w:t xml:space="preserve"> GIS analysis, exposure of assets assessments, loss estimates, and historical data to </w:t>
      </w:r>
      <w:r w:rsidR="001D5150">
        <w:t>a</w:t>
      </w:r>
      <w:r w:rsidR="00061A0B">
        <w:t xml:space="preserve">ssess </w:t>
      </w:r>
      <w:r w:rsidR="001D5150">
        <w:t xml:space="preserve">the </w:t>
      </w:r>
      <w:r w:rsidR="00061A0B">
        <w:t xml:space="preserve">likelihood of future occurrence and </w:t>
      </w:r>
      <w:r w:rsidR="001D5150">
        <w:t xml:space="preserve">to determine the </w:t>
      </w:r>
      <w:r w:rsidR="00061A0B">
        <w:t>significance of risk</w:t>
      </w:r>
      <w:r w:rsidR="001D5150">
        <w:t xml:space="preserve">.  </w:t>
      </w:r>
      <w:r w:rsidR="002F249A">
        <w:t xml:space="preserve">Ranking highest in probability of occurrence and potential impact to people, buildings and infrastructure in the qualitative risk assessment were flooding and extreme wind (City of Galveston, 2011, </w:t>
      </w:r>
      <w:r w:rsidR="002F249A" w:rsidRPr="004B1A55">
        <w:rPr>
          <w:bCs/>
          <w:lang w:val="en-GB"/>
        </w:rPr>
        <w:t>Table</w:t>
      </w:r>
      <w:r w:rsidR="002F249A">
        <w:rPr>
          <w:bCs/>
          <w:lang w:val="en-GB"/>
        </w:rPr>
        <w:t>s</w:t>
      </w:r>
      <w:r w:rsidR="002F249A" w:rsidRPr="004B1A55">
        <w:rPr>
          <w:bCs/>
          <w:lang w:val="en-GB"/>
        </w:rPr>
        <w:t xml:space="preserve"> 7.2-1</w:t>
      </w:r>
      <w:r w:rsidR="002F249A">
        <w:rPr>
          <w:bCs/>
          <w:lang w:val="en-GB"/>
        </w:rPr>
        <w:t xml:space="preserve">, </w:t>
      </w:r>
      <w:r w:rsidR="002F249A" w:rsidRPr="004B1A55">
        <w:rPr>
          <w:bCs/>
          <w:lang w:val="en-GB"/>
        </w:rPr>
        <w:t>7.3-2, 7.3-3</w:t>
      </w:r>
      <w:r w:rsidR="002F249A" w:rsidRPr="004B1A55">
        <w:t>).</w:t>
      </w:r>
      <w:r w:rsidR="002F249A">
        <w:t xml:space="preserve">  </w:t>
      </w:r>
    </w:p>
    <w:p w14:paraId="2753AC70" w14:textId="218D3459" w:rsidR="000E5AB1" w:rsidRDefault="00C172D7" w:rsidP="00B9331F">
      <w:r>
        <w:t xml:space="preserve">This analysis revealed </w:t>
      </w:r>
      <w:r w:rsidR="001D5150">
        <w:t xml:space="preserve">five </w:t>
      </w:r>
      <w:r w:rsidR="00061A0B">
        <w:t>hazard</w:t>
      </w:r>
      <w:r>
        <w:t xml:space="preserve">s to be </w:t>
      </w:r>
      <w:r w:rsidR="00C663CC">
        <w:t xml:space="preserve">significant enough for a quantitative risk assessment </w:t>
      </w:r>
      <w:r w:rsidR="009C6567">
        <w:t xml:space="preserve">of potential future losses </w:t>
      </w:r>
      <w:r w:rsidR="00C663CC">
        <w:t>to be conducted, these included:</w:t>
      </w:r>
      <w:r w:rsidR="00061A0B">
        <w:t xml:space="preserve">  coastal erosion, extreme wind, flooding, wildfire/urban fire</w:t>
      </w:r>
      <w:r w:rsidR="001D5150">
        <w:t>, and hazardous materials</w:t>
      </w:r>
      <w:r w:rsidR="00061A0B">
        <w:t xml:space="preserve">. </w:t>
      </w:r>
      <w:r w:rsidR="009C6567">
        <w:t>The City identified flooding as the hazard to which it is the most exposed, with extreme wind and wildfire/urban fire also identified as significant hazard risks</w:t>
      </w:r>
      <w:r w:rsidR="001F20E2">
        <w:t xml:space="preserve"> (City of Galveston, 2011)</w:t>
      </w:r>
      <w:r w:rsidR="009C6567">
        <w:t>.</w:t>
      </w:r>
      <w:r w:rsidR="00F668C4">
        <w:t xml:space="preserve">  </w:t>
      </w:r>
      <w:r w:rsidR="00B9331F">
        <w:t>The risk assessment notes that no large-scale measures wo</w:t>
      </w:r>
      <w:r w:rsidR="00F668C4">
        <w:t xml:space="preserve">uld be able to </w:t>
      </w:r>
      <w:r w:rsidR="00B9331F">
        <w:t xml:space="preserve">reduce risks to all properties, so consideration of site-specific mitigation interventions should be considered in </w:t>
      </w:r>
      <w:r w:rsidR="00F668C4">
        <w:t xml:space="preserve">the HMP in </w:t>
      </w:r>
      <w:r w:rsidR="00B9331F">
        <w:t xml:space="preserve">addition to </w:t>
      </w:r>
      <w:r w:rsidR="00F668C4">
        <w:t xml:space="preserve">large-scale </w:t>
      </w:r>
      <w:r w:rsidR="00B9331F">
        <w:t xml:space="preserve">City-wide actions.  </w:t>
      </w:r>
      <w:r w:rsidR="00F668C4">
        <w:t>Furthermore</w:t>
      </w:r>
      <w:r w:rsidR="00B9331F">
        <w:t xml:space="preserve">, like King County, </w:t>
      </w:r>
      <w:r w:rsidR="00F668C4">
        <w:t xml:space="preserve">the assessment </w:t>
      </w:r>
      <w:r w:rsidR="00356564">
        <w:t>notes that</w:t>
      </w:r>
      <w:r w:rsidR="00F668C4">
        <w:t xml:space="preserve"> </w:t>
      </w:r>
      <w:r w:rsidR="00061A0B">
        <w:t>other issues</w:t>
      </w:r>
      <w:r w:rsidR="00356564">
        <w:t xml:space="preserve"> (e.g. </w:t>
      </w:r>
      <w:r w:rsidR="00F668C4">
        <w:t>geography</w:t>
      </w:r>
      <w:r w:rsidR="00356564">
        <w:t>)</w:t>
      </w:r>
      <w:r w:rsidR="00F668C4">
        <w:t xml:space="preserve"> </w:t>
      </w:r>
      <w:r w:rsidR="00356564">
        <w:t xml:space="preserve">and </w:t>
      </w:r>
      <w:r w:rsidR="00F668C4">
        <w:t xml:space="preserve">issues </w:t>
      </w:r>
      <w:r w:rsidR="00F668C4">
        <w:lastRenderedPageBreak/>
        <w:t xml:space="preserve">related to </w:t>
      </w:r>
      <w:r w:rsidR="00061A0B">
        <w:t>climate change</w:t>
      </w:r>
      <w:r w:rsidR="00356564">
        <w:t xml:space="preserve"> (e.g. </w:t>
      </w:r>
      <w:r w:rsidR="00061A0B">
        <w:t>sea lev</w:t>
      </w:r>
      <w:r w:rsidR="00B9331F">
        <w:t>el</w:t>
      </w:r>
      <w:r w:rsidR="00061A0B">
        <w:t xml:space="preserve"> rise and the </w:t>
      </w:r>
      <w:r w:rsidR="00B9331F">
        <w:t xml:space="preserve">predicted </w:t>
      </w:r>
      <w:r w:rsidR="00061A0B">
        <w:t>increased intensity of severe weather-events</w:t>
      </w:r>
      <w:r w:rsidR="000E5AB1">
        <w:t xml:space="preserve"> in the future</w:t>
      </w:r>
      <w:r w:rsidR="00356564">
        <w:t>) also have the potential to intensify disasters</w:t>
      </w:r>
      <w:r w:rsidR="00061A0B">
        <w:t>.</w:t>
      </w:r>
      <w:r w:rsidR="000E5AB1">
        <w:t xml:space="preserve">  </w:t>
      </w:r>
    </w:p>
    <w:p w14:paraId="201F348B" w14:textId="2DDC08B0" w:rsidR="002960EF" w:rsidRDefault="002960EF" w:rsidP="00481994">
      <w:r>
        <w:t xml:space="preserve">Exceeding the requirements of the DMA 2000, </w:t>
      </w:r>
      <w:r w:rsidR="00481994">
        <w:t xml:space="preserve">The City of Galveston HMPSC used the risk assessment to </w:t>
      </w:r>
      <w:r>
        <w:t xml:space="preserve">first </w:t>
      </w:r>
      <w:r w:rsidR="00481994">
        <w:t>develop a series of goals and objectives for the City and then conduc</w:t>
      </w:r>
      <w:r>
        <w:t>t</w:t>
      </w:r>
      <w:r w:rsidR="00481994">
        <w:t xml:space="preserve"> a capability assessment to determine the City’s capacity to implement hazard mitigation projects.</w:t>
      </w:r>
      <w:r w:rsidR="0065745D">
        <w:t xml:space="preserve"> The assessment concluded</w:t>
      </w:r>
      <w:r>
        <w:t xml:space="preserve"> that capability is an area </w:t>
      </w:r>
      <w:r w:rsidR="009E4C4E">
        <w:t>in need of</w:t>
      </w:r>
      <w:r>
        <w:t xml:space="preserve"> immediate attention</w:t>
      </w:r>
      <w:r w:rsidR="00825590">
        <w:t xml:space="preserve"> because, a</w:t>
      </w:r>
      <w:r>
        <w:t>lthough there is a recognition that mitigation is essential for the long-term survival of the City, there is little to no local staffing for hazard mitigation acti</w:t>
      </w:r>
      <w:r w:rsidR="00825590">
        <w:t>vities (City of Galveston, 2011</w:t>
      </w:r>
      <w:r>
        <w:t xml:space="preserve">).  </w:t>
      </w:r>
    </w:p>
    <w:p w14:paraId="4D79A83D" w14:textId="4FF186DA" w:rsidR="007763C1" w:rsidRDefault="00B04D71" w:rsidP="007763C1">
      <w:r>
        <w:t xml:space="preserve">Chapter 9 of the GHMP outlines the four broad goals of the Mitigation Action Plan, and details the specific objectives with associated proposed mitigation action(s), the hazard(s) addressed by each action, the estimated cost and potential funding source for each action item, the responsible department, and its priority (Table 9.3.3-1).  Table G.1-1 lists all identified mitigation actions developed and prioritized during the planning process by hazard to be mitigated.  </w:t>
      </w:r>
      <w:r w:rsidR="007763C1">
        <w:t xml:space="preserve">The </w:t>
      </w:r>
      <w:r w:rsidR="002017B1">
        <w:t xml:space="preserve">Hazard Mitigation Plan Stakeholder Committee (HMPSC) </w:t>
      </w:r>
      <w:r w:rsidR="007763C1">
        <w:t xml:space="preserve">considered a range of mitigation actions to address the City’s hazard vulnerabilities, the following seven categories of actions are included in the GHMP: </w:t>
      </w:r>
    </w:p>
    <w:p w14:paraId="48DF3B87" w14:textId="77777777" w:rsidR="007763C1" w:rsidRDefault="007763C1" w:rsidP="007763C1">
      <w:pPr>
        <w:pStyle w:val="ListParagraph"/>
        <w:numPr>
          <w:ilvl w:val="0"/>
          <w:numId w:val="8"/>
        </w:numPr>
      </w:pPr>
      <w:r>
        <w:t xml:space="preserve">Public Education and Outreach </w:t>
      </w:r>
    </w:p>
    <w:p w14:paraId="36FB7E90" w14:textId="77777777" w:rsidR="007763C1" w:rsidRDefault="007763C1" w:rsidP="007763C1">
      <w:pPr>
        <w:pStyle w:val="ListParagraph"/>
        <w:numPr>
          <w:ilvl w:val="0"/>
          <w:numId w:val="8"/>
        </w:numPr>
      </w:pPr>
      <w:r>
        <w:t>NFIP, Flood Management and Building Codes</w:t>
      </w:r>
    </w:p>
    <w:p w14:paraId="69332FF4" w14:textId="77777777" w:rsidR="007763C1" w:rsidRDefault="007763C1" w:rsidP="007763C1">
      <w:pPr>
        <w:pStyle w:val="ListParagraph"/>
        <w:numPr>
          <w:ilvl w:val="0"/>
          <w:numId w:val="8"/>
        </w:numPr>
      </w:pPr>
      <w:r>
        <w:t>Flood Mitigation Actions</w:t>
      </w:r>
    </w:p>
    <w:p w14:paraId="6BC39514" w14:textId="77777777" w:rsidR="007763C1" w:rsidRDefault="007763C1" w:rsidP="007763C1">
      <w:pPr>
        <w:pStyle w:val="ListParagraph"/>
        <w:numPr>
          <w:ilvl w:val="0"/>
          <w:numId w:val="8"/>
        </w:numPr>
      </w:pPr>
      <w:r>
        <w:t>Wind Retrofitting Mitigation Actions</w:t>
      </w:r>
    </w:p>
    <w:p w14:paraId="493B209E" w14:textId="77777777" w:rsidR="007763C1" w:rsidRDefault="007763C1" w:rsidP="007763C1">
      <w:pPr>
        <w:pStyle w:val="ListParagraph"/>
        <w:numPr>
          <w:ilvl w:val="0"/>
          <w:numId w:val="8"/>
        </w:numPr>
      </w:pPr>
      <w:r>
        <w:t>Early Warning Systems</w:t>
      </w:r>
    </w:p>
    <w:p w14:paraId="7C5F2D14" w14:textId="77777777" w:rsidR="007763C1" w:rsidRDefault="007763C1" w:rsidP="007763C1">
      <w:pPr>
        <w:pStyle w:val="ListParagraph"/>
        <w:numPr>
          <w:ilvl w:val="0"/>
          <w:numId w:val="8"/>
        </w:numPr>
      </w:pPr>
      <w:r>
        <w:t>Coastal Erosion</w:t>
      </w:r>
    </w:p>
    <w:p w14:paraId="6A5156BE" w14:textId="77777777" w:rsidR="007763C1" w:rsidRDefault="007763C1" w:rsidP="007763C1">
      <w:pPr>
        <w:pStyle w:val="ListParagraph"/>
        <w:numPr>
          <w:ilvl w:val="0"/>
          <w:numId w:val="8"/>
        </w:numPr>
      </w:pPr>
      <w:r>
        <w:t>Wildfire/Urban Fire</w:t>
      </w:r>
    </w:p>
    <w:p w14:paraId="150E038C" w14:textId="3C887B51" w:rsidR="00A5640B" w:rsidRDefault="002017B1" w:rsidP="00A5640B">
      <w:r>
        <w:t xml:space="preserve">Priorities were initially qualitatively determined based on feasibility, anticipated effectiveness of reducing risk and a consideration of each action’s general cost effectiveness. To assess the implementation priority of </w:t>
      </w:r>
      <w:r w:rsidR="007763C1">
        <w:t xml:space="preserve">potential mitigation actions in a systematic manner, </w:t>
      </w:r>
      <w:r>
        <w:t xml:space="preserve">the HMPSC </w:t>
      </w:r>
      <w:r w:rsidR="007763C1">
        <w:t xml:space="preserve">utilized the </w:t>
      </w:r>
      <w:r w:rsidR="007763C1" w:rsidRPr="007763C1">
        <w:rPr>
          <w:i/>
        </w:rPr>
        <w:t>Social, Technical, Administrative, Political, Legal, Economic, and Environmental</w:t>
      </w:r>
      <w:r w:rsidR="007763C1" w:rsidRPr="00BE46CE">
        <w:t xml:space="preserve"> (STAPLEE)</w:t>
      </w:r>
      <w:r w:rsidR="007763C1">
        <w:rPr>
          <w:rStyle w:val="FootnoteReference"/>
        </w:rPr>
        <w:footnoteReference w:id="5"/>
      </w:r>
      <w:r w:rsidR="007763C1" w:rsidRPr="00BE46CE">
        <w:t xml:space="preserve"> method</w:t>
      </w:r>
      <w:r w:rsidR="007763C1">
        <w:t xml:space="preserve"> (City of Galveston, 2011, Table 9.4-1)</w:t>
      </w:r>
      <w:r w:rsidR="007763C1" w:rsidRPr="00BE46CE">
        <w:t>.</w:t>
      </w:r>
      <w:r w:rsidR="007763C1">
        <w:t xml:space="preserve"> This methodology was also used by the State in developing the SHMP, and ensured that the process used by the HMPSC to weigh the pros, cons, cost, and benefits is consiste</w:t>
      </w:r>
      <w:r w:rsidR="000C7359">
        <w:t xml:space="preserve">nt with the State’s process.  </w:t>
      </w:r>
      <w:r w:rsidR="007763C1">
        <w:t xml:space="preserve">For each mitigation action, a value of 1 (Low), 2 (Moderate) or 3 (High) was assigned to each of the STAPLEE criteria.  </w:t>
      </w:r>
      <w:r w:rsidR="00A5640B">
        <w:t xml:space="preserve">Higher priority mitigation actions were deemed to be most cost effective and most compatible with the social and cultural values of the community.  In addition, implementation of each mitigation action item was considered in terms of available staffing and funding resources, as this was identified as a potential limitation of the City’s capability (City of Galveston, 2011).  </w:t>
      </w:r>
      <w:r w:rsidR="007763C1">
        <w:t xml:space="preserve">Mitigation projects with a STAPLEE score less than seven were given an overall ranking of Low priority, </w:t>
      </w:r>
      <w:r>
        <w:t xml:space="preserve">while those with a STAPLEE score over 16 were deemed to be of High priority.  </w:t>
      </w:r>
      <w:r w:rsidR="00A5640B">
        <w:t xml:space="preserve">Mitigation projects with STAPLEE scores ranging from 8 to 15 were ranked as Moderate priority.  </w:t>
      </w:r>
    </w:p>
    <w:p w14:paraId="7C8B2985" w14:textId="64C0A4CD" w:rsidR="003B7C94" w:rsidRPr="006F570B" w:rsidRDefault="006F570B" w:rsidP="00A5640B">
      <w:r>
        <w:t xml:space="preserve">For compliance with the requirements set forth by FEMA in the </w:t>
      </w:r>
      <w:r w:rsidRPr="00E95820">
        <w:rPr>
          <w:i/>
          <w:color w:val="000000" w:themeColor="text1"/>
        </w:rPr>
        <w:t>Interim Final Rul</w:t>
      </w:r>
      <w:r>
        <w:rPr>
          <w:i/>
          <w:color w:val="000000" w:themeColor="text1"/>
        </w:rPr>
        <w:t xml:space="preserve">e, </w:t>
      </w:r>
      <w:r>
        <w:rPr>
          <w:color w:val="000000" w:themeColor="text1"/>
        </w:rPr>
        <w:t>benefit-cost analysis (BCA) is required for mitigation projects to be eligible for FEMA fundin</w:t>
      </w:r>
      <w:r w:rsidR="00687DFB">
        <w:rPr>
          <w:color w:val="000000" w:themeColor="text1"/>
        </w:rPr>
        <w:t xml:space="preserve">g.  The GHMP included a </w:t>
      </w:r>
      <w:r>
        <w:rPr>
          <w:color w:val="000000" w:themeColor="text1"/>
        </w:rPr>
        <w:t xml:space="preserve">general cost analysis for all mitigation actions at a general level, </w:t>
      </w:r>
      <w:r w:rsidR="00687DFB">
        <w:rPr>
          <w:color w:val="000000" w:themeColor="text1"/>
        </w:rPr>
        <w:t xml:space="preserve">and the HMPSC </w:t>
      </w:r>
      <w:r>
        <w:rPr>
          <w:color w:val="000000" w:themeColor="text1"/>
        </w:rPr>
        <w:t xml:space="preserve">determined that the City </w:t>
      </w:r>
      <w:r w:rsidR="00687DFB">
        <w:rPr>
          <w:color w:val="000000" w:themeColor="text1"/>
        </w:rPr>
        <w:t xml:space="preserve">will </w:t>
      </w:r>
      <w:bookmarkStart w:id="0" w:name="_GoBack"/>
      <w:bookmarkEnd w:id="0"/>
      <w:r>
        <w:rPr>
          <w:color w:val="000000" w:themeColor="text1"/>
        </w:rPr>
        <w:t>undertake a more extensive BCA</w:t>
      </w:r>
      <w:r w:rsidR="00687DFB">
        <w:rPr>
          <w:color w:val="000000" w:themeColor="text1"/>
        </w:rPr>
        <w:t xml:space="preserve"> </w:t>
      </w:r>
      <w:r w:rsidR="00687DFB">
        <w:rPr>
          <w:color w:val="000000" w:themeColor="text1"/>
        </w:rPr>
        <w:t>for specific projects</w:t>
      </w:r>
      <w:r>
        <w:rPr>
          <w:color w:val="000000" w:themeColor="text1"/>
        </w:rPr>
        <w:t xml:space="preserve"> as funding sources and opportunities arise.  This ensures that limited resources are not wasted on extensive data gathering and BCA for projects that may never be authorized.</w:t>
      </w:r>
    </w:p>
    <w:p w14:paraId="68DD65E6" w14:textId="2A3E0F7C" w:rsidR="00061A0B" w:rsidRDefault="007763C1" w:rsidP="000E2FB8">
      <w:r>
        <w:t xml:space="preserve">Interestingly, all action items, regardless of priority, </w:t>
      </w:r>
      <w:r w:rsidR="006F570B">
        <w:t xml:space="preserve">are listed in Table 9.3.3-1 with scheduled </w:t>
      </w:r>
      <w:r>
        <w:t xml:space="preserve">implementation between 2011 to 2016.   </w:t>
      </w:r>
      <w:r w:rsidR="00BC0A80">
        <w:t xml:space="preserve">Since the writing of the GHMP, </w:t>
      </w:r>
      <w:r w:rsidR="006E4A4A">
        <w:t xml:space="preserve">Galveston </w:t>
      </w:r>
      <w:r w:rsidR="00BC0A80">
        <w:t xml:space="preserve">has </w:t>
      </w:r>
      <w:r w:rsidR="006E4A4A">
        <w:t xml:space="preserve">joined the </w:t>
      </w:r>
      <w:r w:rsidR="008000FA">
        <w:t xml:space="preserve">NFIP </w:t>
      </w:r>
      <w:r w:rsidR="006E4A4A">
        <w:t xml:space="preserve">Community Rating System </w:t>
      </w:r>
      <w:r w:rsidR="006E3B76">
        <w:t xml:space="preserve">(CRS), </w:t>
      </w:r>
      <w:r w:rsidR="00BC0A80">
        <w:t xml:space="preserve">in May 2014, </w:t>
      </w:r>
      <w:r w:rsidR="006E4A4A">
        <w:t>and achieved a Class 7 rating resulting in a 15% reduction in premiums for local flood insurance policy holders.</w:t>
      </w:r>
      <w:r w:rsidR="008000FA">
        <w:t xml:space="preserve">  To address the CRS annual outreach requirement, the City proposes to pursue an annual </w:t>
      </w:r>
      <w:r w:rsidR="008000FA">
        <w:rPr>
          <w:i/>
        </w:rPr>
        <w:t>Repetitive Loss Outreach Program</w:t>
      </w:r>
      <w:r w:rsidR="008000FA">
        <w:t xml:space="preserve"> which would advise homeowners if they live in a repetitive loss area and could be subject to flooding, offer homeowners property protection measure guidelines, and offer </w:t>
      </w:r>
      <w:r w:rsidR="008000FA">
        <w:lastRenderedPageBreak/>
        <w:t>homeowners basic information about flood insurance.  The City has also adopted the 2009 International Building Code (IBC)</w:t>
      </w:r>
      <w:r w:rsidR="00457540">
        <w:t xml:space="preserve"> and meets the CRS requirement of having both a trained construction code official and municipal floodplain manager.  </w:t>
      </w:r>
      <w:r w:rsidR="008000FA">
        <w:t xml:space="preserve">Flood mitigation actions </w:t>
      </w:r>
      <w:r w:rsidR="005872ED">
        <w:t xml:space="preserve">in progress </w:t>
      </w:r>
      <w:r w:rsidR="008000FA">
        <w:t>focus on retrofitting structures prone to periodic flooding</w:t>
      </w:r>
      <w:r w:rsidR="005872ED">
        <w:t>; key strategies include</w:t>
      </w:r>
      <w:r w:rsidR="008000FA">
        <w:t xml:space="preserve">: </w:t>
      </w:r>
      <w:r w:rsidR="00B913D0">
        <w:t>increasing structural</w:t>
      </w:r>
      <w:r w:rsidR="008000FA">
        <w:t xml:space="preserve"> elevation, dry flood-proofing, wet flood-proofing, improved drainage, installing generators and acquisition of structures at fair-market value for removal/demolition.  </w:t>
      </w:r>
    </w:p>
    <w:p w14:paraId="47679563" w14:textId="77777777" w:rsidR="00515F88" w:rsidRDefault="00523F0B" w:rsidP="00515F88">
      <w:pPr>
        <w:pStyle w:val="ReferenceList"/>
        <w:rPr>
          <w:b/>
          <w:sz w:val="24"/>
        </w:rPr>
      </w:pPr>
      <w:r w:rsidRPr="00523F0B">
        <w:rPr>
          <w:b/>
          <w:sz w:val="24"/>
        </w:rPr>
        <w:t xml:space="preserve">CONCLUSIONS:  </w:t>
      </w:r>
      <w:r w:rsidR="005306D3">
        <w:rPr>
          <w:b/>
          <w:sz w:val="24"/>
        </w:rPr>
        <w:t>RELEVANCE FOR AUSTRALIA</w:t>
      </w:r>
    </w:p>
    <w:p w14:paraId="6D99BCB2" w14:textId="6BDAC57D" w:rsidR="00FE4B8B" w:rsidRPr="00515F88" w:rsidRDefault="00FE4B8B" w:rsidP="00515F88">
      <w:pPr>
        <w:pStyle w:val="ReferenceList"/>
        <w:rPr>
          <w:b/>
          <w:sz w:val="24"/>
        </w:rPr>
      </w:pPr>
      <w:r w:rsidRPr="00954327">
        <w:rPr>
          <w:szCs w:val="22"/>
        </w:rPr>
        <w:t xml:space="preserve">There are a number of reasons why these plans work.  </w:t>
      </w:r>
      <w:r w:rsidR="00674BBD" w:rsidRPr="00954327">
        <w:rPr>
          <w:szCs w:val="22"/>
        </w:rPr>
        <w:t>The King County plan is</w:t>
      </w:r>
      <w:r w:rsidRPr="00954327">
        <w:rPr>
          <w:szCs w:val="22"/>
        </w:rPr>
        <w:t xml:space="preserve"> </w:t>
      </w:r>
      <w:r w:rsidR="00FF7675" w:rsidRPr="00954327">
        <w:rPr>
          <w:szCs w:val="22"/>
        </w:rPr>
        <w:t xml:space="preserve">strongly </w:t>
      </w:r>
      <w:r w:rsidRPr="00954327">
        <w:rPr>
          <w:szCs w:val="22"/>
        </w:rPr>
        <w:t>supported by state legislation</w:t>
      </w:r>
      <w:r w:rsidR="00FF7675" w:rsidRPr="00954327">
        <w:rPr>
          <w:szCs w:val="22"/>
        </w:rPr>
        <w:t xml:space="preserve"> and although that is less so in Texas, </w:t>
      </w:r>
      <w:r w:rsidR="00954327" w:rsidRPr="00954327">
        <w:rPr>
          <w:szCs w:val="22"/>
        </w:rPr>
        <w:t>there is legislation in place supporting</w:t>
      </w:r>
      <w:r w:rsidR="00FF7675" w:rsidRPr="00954327">
        <w:rPr>
          <w:szCs w:val="22"/>
        </w:rPr>
        <w:t xml:space="preserve"> </w:t>
      </w:r>
      <w:r w:rsidR="00954327" w:rsidRPr="00954327">
        <w:rPr>
          <w:szCs w:val="22"/>
        </w:rPr>
        <w:t>the development and</w:t>
      </w:r>
      <w:r w:rsidR="00954327">
        <w:rPr>
          <w:szCs w:val="22"/>
        </w:rPr>
        <w:t xml:space="preserve"> implementation of such plans. Both leverage</w:t>
      </w:r>
      <w:r w:rsidRPr="00377936">
        <w:rPr>
          <w:szCs w:val="22"/>
        </w:rPr>
        <w:t xml:space="preserve"> federal monetary incentives </w:t>
      </w:r>
      <w:r w:rsidR="00954327">
        <w:rPr>
          <w:szCs w:val="22"/>
        </w:rPr>
        <w:t>to fund projects and</w:t>
      </w:r>
      <w:r w:rsidRPr="00377936">
        <w:rPr>
          <w:szCs w:val="22"/>
        </w:rPr>
        <w:t xml:space="preserve"> shared governance </w:t>
      </w:r>
      <w:r w:rsidR="00954327">
        <w:rPr>
          <w:szCs w:val="22"/>
        </w:rPr>
        <w:t xml:space="preserve">from </w:t>
      </w:r>
      <w:r w:rsidR="00CC0F7C">
        <w:rPr>
          <w:szCs w:val="22"/>
        </w:rPr>
        <w:t>public</w:t>
      </w:r>
      <w:r w:rsidR="00954327">
        <w:rPr>
          <w:szCs w:val="22"/>
        </w:rPr>
        <w:t xml:space="preserve"> and private stakeholders</w:t>
      </w:r>
      <w:r w:rsidRPr="00377936">
        <w:rPr>
          <w:szCs w:val="22"/>
        </w:rPr>
        <w:t xml:space="preserve"> motivate</w:t>
      </w:r>
      <w:r w:rsidR="00CC0F7C">
        <w:rPr>
          <w:szCs w:val="22"/>
        </w:rPr>
        <w:t>s</w:t>
      </w:r>
      <w:r w:rsidRPr="00377936">
        <w:rPr>
          <w:szCs w:val="22"/>
        </w:rPr>
        <w:t xml:space="preserve"> the </w:t>
      </w:r>
      <w:r>
        <w:rPr>
          <w:szCs w:val="22"/>
        </w:rPr>
        <w:t xml:space="preserve">implementation of the </w:t>
      </w:r>
      <w:r w:rsidRPr="00377936">
        <w:rPr>
          <w:szCs w:val="22"/>
        </w:rPr>
        <w:t>plan</w:t>
      </w:r>
      <w:r>
        <w:rPr>
          <w:szCs w:val="22"/>
        </w:rPr>
        <w:t>s</w:t>
      </w:r>
      <w:r w:rsidRPr="00377936">
        <w:rPr>
          <w:szCs w:val="22"/>
        </w:rPr>
        <w:t xml:space="preserve">.  </w:t>
      </w:r>
      <w:r>
        <w:t xml:space="preserve">The plans are </w:t>
      </w:r>
      <w:r w:rsidRPr="00377936">
        <w:t>thorough with goals that support stated objectives and that do not d</w:t>
      </w:r>
      <w:r>
        <w:t>eviate from the ultimate mission of disaster preparedness</w:t>
      </w:r>
      <w:r w:rsidRPr="00377936">
        <w:t xml:space="preserve">.  </w:t>
      </w:r>
      <w:r>
        <w:t>In addition, both plan</w:t>
      </w:r>
      <w:r w:rsidR="00AD6CCD">
        <w:t>s</w:t>
      </w:r>
      <w:r>
        <w:t xml:space="preserve"> view disaster planning and mitigation </w:t>
      </w:r>
      <w:r w:rsidRPr="00377936">
        <w:t>a</w:t>
      </w:r>
      <w:r>
        <w:t>s part of a comprehensive hazard mitigation approach</w:t>
      </w:r>
      <w:r w:rsidRPr="00377936">
        <w:t xml:space="preserve">, identifying related issues and prioritising projects based on feasibility and anticipated impact.  Furthermore, </w:t>
      </w:r>
      <w:r>
        <w:t xml:space="preserve">both plans are </w:t>
      </w:r>
      <w:r w:rsidRPr="00377936">
        <w:t>based on a realistic cost-benefit analysis that considers funding sources and availability and leverages current resources to achieve the most cos</w:t>
      </w:r>
      <w:r>
        <w:t>t-effective, immediate and wide</w:t>
      </w:r>
      <w:r w:rsidRPr="00377936">
        <w:t xml:space="preserve">spread impacts. </w:t>
      </w:r>
    </w:p>
    <w:p w14:paraId="58E5AB26" w14:textId="28D05C43" w:rsidR="00523F0B" w:rsidRPr="001916B5" w:rsidRDefault="001916B5" w:rsidP="001916B5">
      <w:pPr>
        <w:pStyle w:val="ReferenceList"/>
        <w:spacing w:before="120" w:after="120"/>
      </w:pPr>
      <w:r>
        <w:t>There are several</w:t>
      </w:r>
      <w:r w:rsidR="000060F0">
        <w:t xml:space="preserve"> of key lessons that Australian policymakers and planners can take away from the King County and Galveston experiences. </w:t>
      </w:r>
      <w:r w:rsidR="00FE4B8B" w:rsidRPr="00377936">
        <w:t xml:space="preserve"> </w:t>
      </w:r>
      <w:r w:rsidR="000060F0">
        <w:rPr>
          <w:szCs w:val="22"/>
        </w:rPr>
        <w:t>Firstly, flood preparedness is not one-dimensional.  It should be c</w:t>
      </w:r>
      <w:r w:rsidR="00FE4B8B">
        <w:rPr>
          <w:szCs w:val="22"/>
        </w:rPr>
        <w:t xml:space="preserve">onsidered </w:t>
      </w:r>
      <w:r w:rsidR="000060F0">
        <w:rPr>
          <w:szCs w:val="22"/>
        </w:rPr>
        <w:t>as part</w:t>
      </w:r>
      <w:r w:rsidR="00FE4B8B">
        <w:rPr>
          <w:szCs w:val="22"/>
        </w:rPr>
        <w:t xml:space="preserve"> of a comprehensive disaster mitigation strategy </w:t>
      </w:r>
      <w:r w:rsidR="000060F0">
        <w:rPr>
          <w:szCs w:val="22"/>
        </w:rPr>
        <w:t xml:space="preserve">that </w:t>
      </w:r>
      <w:r w:rsidR="000F23B6">
        <w:rPr>
          <w:szCs w:val="22"/>
        </w:rPr>
        <w:t>looks at the compound effects of a range of disasters.  Plans should link floods and</w:t>
      </w:r>
      <w:r w:rsidR="000060F0">
        <w:rPr>
          <w:szCs w:val="22"/>
        </w:rPr>
        <w:t xml:space="preserve"> related </w:t>
      </w:r>
      <w:r w:rsidR="000F23B6">
        <w:rPr>
          <w:szCs w:val="22"/>
        </w:rPr>
        <w:t>events</w:t>
      </w:r>
      <w:r w:rsidR="000060F0">
        <w:rPr>
          <w:szCs w:val="22"/>
        </w:rPr>
        <w:t xml:space="preserve"> </w:t>
      </w:r>
      <w:r w:rsidR="000F23B6">
        <w:rPr>
          <w:szCs w:val="22"/>
        </w:rPr>
        <w:t>with the likelihood of occurrence as well as the extent of impact on people, property and the environment.  Plans need to be thorough an</w:t>
      </w:r>
      <w:r w:rsidR="00E64E9C">
        <w:rPr>
          <w:szCs w:val="22"/>
        </w:rPr>
        <w:t>d comprehensive in this respect and also account for the cost and benefits of mitigation and preparedness activities.</w:t>
      </w:r>
      <w:r w:rsidR="000F23B6">
        <w:rPr>
          <w:szCs w:val="22"/>
        </w:rPr>
        <w:t xml:space="preserve"> </w:t>
      </w:r>
      <w:r>
        <w:rPr>
          <w:szCs w:val="22"/>
        </w:rPr>
        <w:t xml:space="preserve"> Finally, policies, mandates and projects should be coordinated at all levels, including public and private stakeholders in proactive decision-making that helps preserve property, pro</w:t>
      </w:r>
      <w:r w:rsidR="00B46FFF">
        <w:rPr>
          <w:szCs w:val="22"/>
        </w:rPr>
        <w:t>tect people and minimise damage</w:t>
      </w:r>
      <w:r>
        <w:rPr>
          <w:szCs w:val="22"/>
        </w:rPr>
        <w:t>.</w:t>
      </w:r>
    </w:p>
    <w:p w14:paraId="4D850826" w14:textId="77777777" w:rsidR="00ED0383" w:rsidRPr="00377936" w:rsidRDefault="00ED0383" w:rsidP="00ED0383">
      <w:pPr>
        <w:pStyle w:val="EmailContact"/>
        <w:rPr>
          <w:sz w:val="24"/>
        </w:rPr>
      </w:pPr>
      <w:r w:rsidRPr="00377936">
        <w:rPr>
          <w:sz w:val="24"/>
        </w:rPr>
        <w:t>REFERENCES</w:t>
      </w:r>
    </w:p>
    <w:p w14:paraId="07E02F69" w14:textId="71CFE6BB" w:rsidR="00C10718" w:rsidRPr="00C10718" w:rsidRDefault="00C10718" w:rsidP="00C10718">
      <w:pPr>
        <w:pStyle w:val="EmailContact"/>
        <w:rPr>
          <w:b w:val="0"/>
          <w:szCs w:val="22"/>
        </w:rPr>
      </w:pPr>
      <w:r w:rsidRPr="00C10718">
        <w:rPr>
          <w:b w:val="0"/>
          <w:bCs/>
          <w:szCs w:val="22"/>
          <w:lang w:val="en"/>
        </w:rPr>
        <w:t xml:space="preserve">Australian Government.  </w:t>
      </w:r>
      <w:r w:rsidRPr="00C10718">
        <w:rPr>
          <w:b w:val="0"/>
          <w:bCs/>
          <w:i/>
          <w:szCs w:val="22"/>
          <w:lang w:val="en"/>
        </w:rPr>
        <w:t>Natural disasters in Australia</w:t>
      </w:r>
      <w:r w:rsidRPr="00C10718">
        <w:rPr>
          <w:b w:val="0"/>
          <w:bCs/>
          <w:szCs w:val="22"/>
          <w:lang w:val="en"/>
        </w:rPr>
        <w:t xml:space="preserve">.  </w:t>
      </w:r>
      <w:r w:rsidRPr="00C10718">
        <w:rPr>
          <w:b w:val="0"/>
          <w:szCs w:val="22"/>
        </w:rPr>
        <w:t>Accessed on 15 September 2015 from:</w:t>
      </w:r>
      <w:r w:rsidRPr="00C10718">
        <w:rPr>
          <w:b w:val="0"/>
          <w:bCs/>
          <w:szCs w:val="22"/>
          <w:lang w:val="en"/>
        </w:rPr>
        <w:t xml:space="preserve"> </w:t>
      </w:r>
      <w:hyperlink r:id="rId8" w:history="1">
        <w:r w:rsidRPr="00C10718">
          <w:rPr>
            <w:rStyle w:val="Hyperlink"/>
            <w:b w:val="0"/>
            <w:szCs w:val="22"/>
          </w:rPr>
          <w:t>http://www.australia.gov.au/about-australia/australian-story/natural-disasters</w:t>
        </w:r>
      </w:hyperlink>
      <w:r w:rsidRPr="00C10718">
        <w:rPr>
          <w:b w:val="0"/>
          <w:szCs w:val="22"/>
          <w:lang w:val="en-GB"/>
        </w:rPr>
        <w:t xml:space="preserve"> </w:t>
      </w:r>
      <w:r w:rsidRPr="00C10718">
        <w:rPr>
          <w:b w:val="0"/>
          <w:szCs w:val="22"/>
        </w:rPr>
        <w:t xml:space="preserve"> </w:t>
      </w:r>
    </w:p>
    <w:p w14:paraId="03966796" w14:textId="098D5AFA" w:rsidR="00ED0383" w:rsidRPr="00377936" w:rsidRDefault="00ED0383" w:rsidP="00ED0383">
      <w:pPr>
        <w:pStyle w:val="EmailContact"/>
        <w:rPr>
          <w:b w:val="0"/>
          <w:szCs w:val="22"/>
        </w:rPr>
      </w:pPr>
      <w:r w:rsidRPr="00C10718">
        <w:rPr>
          <w:b w:val="0"/>
          <w:szCs w:val="22"/>
          <w:lang w:val="da-DK"/>
        </w:rPr>
        <w:t>Berke, P R, Lyles, W &amp; Smith, G</w:t>
      </w:r>
      <w:r w:rsidR="00CC7E2F" w:rsidRPr="00C10718">
        <w:rPr>
          <w:b w:val="0"/>
          <w:szCs w:val="22"/>
          <w:lang w:val="da-DK"/>
        </w:rPr>
        <w:t xml:space="preserve">. </w:t>
      </w:r>
      <w:r w:rsidRPr="00C10718">
        <w:rPr>
          <w:b w:val="0"/>
          <w:szCs w:val="22"/>
          <w:lang w:val="da-DK"/>
        </w:rPr>
        <w:t xml:space="preserve"> </w:t>
      </w:r>
      <w:r w:rsidR="00CC7E2F">
        <w:rPr>
          <w:b w:val="0"/>
          <w:szCs w:val="22"/>
        </w:rPr>
        <w:t xml:space="preserve">2014. </w:t>
      </w:r>
      <w:r w:rsidRPr="00377936">
        <w:rPr>
          <w:b w:val="0"/>
          <w:szCs w:val="22"/>
        </w:rPr>
        <w:t xml:space="preserve"> The impacts of federal and state hazard mitigation policies on local land use policy, </w:t>
      </w:r>
      <w:r w:rsidRPr="00377936">
        <w:rPr>
          <w:b w:val="0"/>
          <w:i/>
          <w:szCs w:val="22"/>
        </w:rPr>
        <w:t>Journal of Planning Education and Research</w:t>
      </w:r>
      <w:r w:rsidRPr="00377936">
        <w:rPr>
          <w:b w:val="0"/>
          <w:szCs w:val="22"/>
        </w:rPr>
        <w:t>, 34</w:t>
      </w:r>
      <w:r w:rsidR="00AE24A0">
        <w:rPr>
          <w:b w:val="0"/>
          <w:szCs w:val="22"/>
        </w:rPr>
        <w:t xml:space="preserve">(1), </w:t>
      </w:r>
      <w:r w:rsidRPr="00377936">
        <w:rPr>
          <w:b w:val="0"/>
          <w:szCs w:val="22"/>
        </w:rPr>
        <w:t>pp. 60-76.</w:t>
      </w:r>
    </w:p>
    <w:p w14:paraId="3C10876F" w14:textId="54022771" w:rsidR="00ED0383" w:rsidRPr="00377936" w:rsidRDefault="00ED0383" w:rsidP="00ED0383">
      <w:pPr>
        <w:pStyle w:val="EmailContact"/>
        <w:rPr>
          <w:b w:val="0"/>
          <w:szCs w:val="22"/>
        </w:rPr>
      </w:pPr>
      <w:r w:rsidRPr="00377936">
        <w:rPr>
          <w:b w:val="0"/>
          <w:szCs w:val="22"/>
        </w:rPr>
        <w:t>Burby, R</w:t>
      </w:r>
      <w:r w:rsidR="00CC7E2F">
        <w:rPr>
          <w:b w:val="0"/>
          <w:szCs w:val="22"/>
        </w:rPr>
        <w:t xml:space="preserve">. </w:t>
      </w:r>
      <w:r w:rsidRPr="00377936">
        <w:rPr>
          <w:b w:val="0"/>
          <w:szCs w:val="22"/>
        </w:rPr>
        <w:t xml:space="preserve"> 2006</w:t>
      </w:r>
      <w:r w:rsidR="00CC7E2F">
        <w:rPr>
          <w:b w:val="0"/>
          <w:szCs w:val="22"/>
        </w:rPr>
        <w:t xml:space="preserve">. </w:t>
      </w:r>
      <w:r w:rsidRPr="00377936">
        <w:rPr>
          <w:b w:val="0"/>
          <w:szCs w:val="22"/>
        </w:rPr>
        <w:t xml:space="preserve"> Hurricane Katrina and the paradoxes of government disaster policy: bringing about wise governmental decisions for hazardous areas, </w:t>
      </w:r>
      <w:r w:rsidRPr="00377936">
        <w:rPr>
          <w:b w:val="0"/>
          <w:i/>
          <w:szCs w:val="22"/>
        </w:rPr>
        <w:t>Annals of the American Academy of Political and Social Science,</w:t>
      </w:r>
      <w:r w:rsidRPr="00377936">
        <w:rPr>
          <w:b w:val="0"/>
          <w:szCs w:val="22"/>
        </w:rPr>
        <w:t xml:space="preserve"> 604, March, pp. 171-91.</w:t>
      </w:r>
    </w:p>
    <w:p w14:paraId="61289207" w14:textId="7A6706B0" w:rsidR="00ED0383" w:rsidRPr="00377936" w:rsidRDefault="00ED0383" w:rsidP="00ED0383">
      <w:pPr>
        <w:pStyle w:val="EmailContact"/>
        <w:rPr>
          <w:b w:val="0"/>
          <w:szCs w:val="22"/>
        </w:rPr>
      </w:pPr>
      <w:r w:rsidRPr="00377936">
        <w:rPr>
          <w:b w:val="0"/>
          <w:szCs w:val="22"/>
        </w:rPr>
        <w:t>Burby, R, Beatley, T, Berke, P, Deyle, R, French, S, Godscalk, D, Kaiser, E, Kartez, J, Patterson, R, &amp; Platt, R</w:t>
      </w:r>
      <w:r w:rsidR="008704F2">
        <w:rPr>
          <w:b w:val="0"/>
          <w:szCs w:val="22"/>
        </w:rPr>
        <w:t xml:space="preserve">. </w:t>
      </w:r>
      <w:r w:rsidRPr="00377936">
        <w:rPr>
          <w:b w:val="0"/>
          <w:szCs w:val="22"/>
        </w:rPr>
        <w:t>1999</w:t>
      </w:r>
      <w:r w:rsidR="008704F2">
        <w:rPr>
          <w:b w:val="0"/>
          <w:szCs w:val="22"/>
        </w:rPr>
        <w:t>.</w:t>
      </w:r>
      <w:r w:rsidRPr="00377936">
        <w:rPr>
          <w:b w:val="0"/>
          <w:szCs w:val="22"/>
        </w:rPr>
        <w:t xml:space="preserve"> Unleasing the power of planning to create disaster-resistant communities, </w:t>
      </w:r>
      <w:r w:rsidRPr="00377936">
        <w:rPr>
          <w:b w:val="0"/>
          <w:i/>
          <w:szCs w:val="22"/>
        </w:rPr>
        <w:t>Journal of the American Planning Association</w:t>
      </w:r>
      <w:r w:rsidRPr="00377936">
        <w:rPr>
          <w:b w:val="0"/>
          <w:szCs w:val="22"/>
        </w:rPr>
        <w:t>, 65</w:t>
      </w:r>
      <w:r w:rsidR="008704F2">
        <w:rPr>
          <w:b w:val="0"/>
          <w:szCs w:val="22"/>
        </w:rPr>
        <w:t>(3)</w:t>
      </w:r>
      <w:r w:rsidRPr="00377936">
        <w:rPr>
          <w:b w:val="0"/>
          <w:szCs w:val="22"/>
        </w:rPr>
        <w:t xml:space="preserve">, pp. 247-58.  </w:t>
      </w:r>
    </w:p>
    <w:p w14:paraId="7D56C7A5" w14:textId="642A8B64" w:rsidR="00E34BD0" w:rsidRDefault="00E34BD0" w:rsidP="00ED0383">
      <w:pPr>
        <w:pStyle w:val="EmailContact"/>
        <w:rPr>
          <w:b w:val="0"/>
          <w:szCs w:val="22"/>
        </w:rPr>
      </w:pPr>
      <w:r>
        <w:rPr>
          <w:b w:val="0"/>
          <w:szCs w:val="22"/>
        </w:rPr>
        <w:t xml:space="preserve">Capps, K.  2015.  </w:t>
      </w:r>
      <w:r w:rsidRPr="00E34BD0">
        <w:rPr>
          <w:b w:val="0"/>
          <w:szCs w:val="22"/>
        </w:rPr>
        <w:t>Texas Is Paying the Price for Its Lack of Flood Infrastructure</w:t>
      </w:r>
      <w:r>
        <w:rPr>
          <w:b w:val="0"/>
          <w:szCs w:val="22"/>
        </w:rPr>
        <w:t xml:space="preserve">.  </w:t>
      </w:r>
      <w:r w:rsidRPr="00E34BD0">
        <w:rPr>
          <w:b w:val="0"/>
          <w:i/>
          <w:szCs w:val="22"/>
        </w:rPr>
        <w:t>The Atlantic City Lab</w:t>
      </w:r>
      <w:r>
        <w:rPr>
          <w:b w:val="0"/>
          <w:i/>
          <w:szCs w:val="22"/>
        </w:rPr>
        <w:t xml:space="preserve">, </w:t>
      </w:r>
      <w:r w:rsidRPr="00E34BD0">
        <w:rPr>
          <w:b w:val="0"/>
          <w:szCs w:val="22"/>
        </w:rPr>
        <w:t>May 26, 2015</w:t>
      </w:r>
      <w:r>
        <w:rPr>
          <w:b w:val="0"/>
          <w:szCs w:val="22"/>
        </w:rPr>
        <w:t xml:space="preserve">. Accessed 15 September 2015 from: </w:t>
      </w:r>
      <w:hyperlink r:id="rId9" w:history="1">
        <w:r w:rsidRPr="001F44E5">
          <w:rPr>
            <w:rStyle w:val="Hyperlink"/>
            <w:b w:val="0"/>
            <w:szCs w:val="22"/>
            <w:lang w:val="en-GB"/>
          </w:rPr>
          <w:t>http://www.citylab.com/weather/2015/05/texas-is-paying-the-price-for-its-lack-of-flood-infrastructure/394115/</w:t>
        </w:r>
      </w:hyperlink>
      <w:r>
        <w:rPr>
          <w:b w:val="0"/>
          <w:szCs w:val="22"/>
          <w:lang w:val="en-GB"/>
        </w:rPr>
        <w:t xml:space="preserve"> </w:t>
      </w:r>
    </w:p>
    <w:p w14:paraId="1EB97464" w14:textId="0536005A" w:rsidR="00224C34" w:rsidRDefault="00224C34" w:rsidP="00ED0383">
      <w:pPr>
        <w:pStyle w:val="EmailContact"/>
        <w:rPr>
          <w:b w:val="0"/>
          <w:szCs w:val="22"/>
        </w:rPr>
      </w:pPr>
      <w:r w:rsidRPr="00224C34">
        <w:rPr>
          <w:b w:val="0"/>
          <w:szCs w:val="22"/>
        </w:rPr>
        <w:t>City of Galveston Hazard Mitigation Plan</w:t>
      </w:r>
      <w:r w:rsidR="00CC7E2F">
        <w:rPr>
          <w:b w:val="0"/>
          <w:szCs w:val="22"/>
        </w:rPr>
        <w:t xml:space="preserve">. </w:t>
      </w:r>
      <w:r>
        <w:rPr>
          <w:b w:val="0"/>
          <w:szCs w:val="22"/>
        </w:rPr>
        <w:t>2011</w:t>
      </w:r>
      <w:r w:rsidR="00CC7E2F">
        <w:rPr>
          <w:b w:val="0"/>
          <w:szCs w:val="22"/>
        </w:rPr>
        <w:t>.  A</w:t>
      </w:r>
      <w:r>
        <w:rPr>
          <w:b w:val="0"/>
          <w:szCs w:val="22"/>
        </w:rPr>
        <w:t xml:space="preserve">ccessed 15 September 2015 from: </w:t>
      </w:r>
      <w:hyperlink r:id="rId10" w:history="1">
        <w:r w:rsidRPr="001F44E5">
          <w:rPr>
            <w:rStyle w:val="Hyperlink"/>
            <w:b w:val="0"/>
            <w:szCs w:val="22"/>
          </w:rPr>
          <w:t>http://www.cityofgalveston.org/198/Hazard-Mitigation-Plan</w:t>
        </w:r>
      </w:hyperlink>
      <w:r>
        <w:rPr>
          <w:b w:val="0"/>
          <w:szCs w:val="22"/>
        </w:rPr>
        <w:t xml:space="preserve">.  </w:t>
      </w:r>
    </w:p>
    <w:p w14:paraId="03E5C091" w14:textId="2579D2A3" w:rsidR="008704F2" w:rsidRDefault="008704F2" w:rsidP="00ED0383">
      <w:pPr>
        <w:pStyle w:val="EmailContact"/>
        <w:rPr>
          <w:b w:val="0"/>
          <w:i/>
          <w:szCs w:val="22"/>
        </w:rPr>
      </w:pPr>
      <w:r>
        <w:rPr>
          <w:b w:val="0"/>
          <w:szCs w:val="22"/>
        </w:rPr>
        <w:lastRenderedPageBreak/>
        <w:t>Federal Emergency Management Agency (FEMA).</w:t>
      </w:r>
      <w:r w:rsidR="00AE24A0">
        <w:rPr>
          <w:b w:val="0"/>
          <w:szCs w:val="22"/>
        </w:rPr>
        <w:t xml:space="preserve"> </w:t>
      </w:r>
      <w:r>
        <w:rPr>
          <w:b w:val="0"/>
          <w:szCs w:val="22"/>
        </w:rPr>
        <w:t>2002.</w:t>
      </w:r>
      <w:r w:rsidR="00721F12">
        <w:rPr>
          <w:b w:val="0"/>
          <w:szCs w:val="22"/>
        </w:rPr>
        <w:t xml:space="preserve"> </w:t>
      </w:r>
      <w:r w:rsidR="00E95820" w:rsidRPr="008704F2">
        <w:rPr>
          <w:b w:val="0"/>
          <w:i/>
          <w:szCs w:val="22"/>
        </w:rPr>
        <w:t>44 CFR Parts 201 and 206 – Hazard Mitigation Planning and Hazard Mitigation Grant Program: Interim Final Rule</w:t>
      </w:r>
      <w:r w:rsidR="00E95820">
        <w:rPr>
          <w:b w:val="0"/>
          <w:i/>
          <w:szCs w:val="22"/>
        </w:rPr>
        <w:t xml:space="preserve">. </w:t>
      </w:r>
      <w:r w:rsidR="00E95820">
        <w:rPr>
          <w:b w:val="0"/>
          <w:szCs w:val="22"/>
        </w:rPr>
        <w:t xml:space="preserve"> </w:t>
      </w:r>
      <w:r w:rsidR="00721F12">
        <w:rPr>
          <w:b w:val="0"/>
          <w:szCs w:val="22"/>
        </w:rPr>
        <w:t xml:space="preserve">Accessed 15 September 2015 from: </w:t>
      </w:r>
      <w:r>
        <w:rPr>
          <w:b w:val="0"/>
          <w:szCs w:val="22"/>
        </w:rPr>
        <w:t xml:space="preserve"> </w:t>
      </w:r>
      <w:hyperlink r:id="rId11" w:history="1">
        <w:r w:rsidR="00E95820" w:rsidRPr="001F44E5">
          <w:rPr>
            <w:rStyle w:val="Hyperlink"/>
            <w:b w:val="0"/>
            <w:szCs w:val="22"/>
            <w:lang w:val="en-GB"/>
          </w:rPr>
          <w:t>http://www.fema.gov/pdf/help/fr02-4321.pdf</w:t>
        </w:r>
      </w:hyperlink>
      <w:r w:rsidR="00E95820">
        <w:rPr>
          <w:b w:val="0"/>
          <w:szCs w:val="22"/>
          <w:lang w:val="en-GB"/>
        </w:rPr>
        <w:t xml:space="preserve"> </w:t>
      </w:r>
    </w:p>
    <w:p w14:paraId="611E8620" w14:textId="30DDDC0C" w:rsidR="0014369A" w:rsidRDefault="0014369A" w:rsidP="00ED0383">
      <w:pPr>
        <w:pStyle w:val="EmailContact"/>
        <w:rPr>
          <w:b w:val="0"/>
          <w:szCs w:val="22"/>
          <w:lang w:val="en-GB"/>
        </w:rPr>
      </w:pPr>
      <w:r>
        <w:rPr>
          <w:b w:val="0"/>
          <w:szCs w:val="22"/>
        </w:rPr>
        <w:t xml:space="preserve">Federal Emergency Management Agency (FEMA). 2013.  </w:t>
      </w:r>
      <w:r w:rsidRPr="0014369A">
        <w:rPr>
          <w:b w:val="0"/>
          <w:i/>
          <w:szCs w:val="22"/>
        </w:rPr>
        <w:t xml:space="preserve">Threat and Hazard Identification and Risk Assessment.  </w:t>
      </w:r>
      <w:r>
        <w:rPr>
          <w:b w:val="0"/>
          <w:szCs w:val="22"/>
        </w:rPr>
        <w:t xml:space="preserve">Accessed 18 September 2015 from: </w:t>
      </w:r>
      <w:r w:rsidRPr="008704F2">
        <w:rPr>
          <w:b w:val="0"/>
          <w:i/>
          <w:szCs w:val="22"/>
        </w:rPr>
        <w:t xml:space="preserve"> </w:t>
      </w:r>
      <w:hyperlink r:id="rId12" w:history="1">
        <w:r w:rsidRPr="001F44E5">
          <w:rPr>
            <w:rStyle w:val="Hyperlink"/>
            <w:b w:val="0"/>
            <w:szCs w:val="22"/>
            <w:lang w:val="en-GB"/>
          </w:rPr>
          <w:t>http://www.fema.gov/media-library-data/1388146249060-7b2abfe6be10c67c4070ed42deaaadf1/THIRA%20Information%20Sheet_20131104.pdf</w:t>
        </w:r>
      </w:hyperlink>
      <w:r>
        <w:rPr>
          <w:b w:val="0"/>
          <w:szCs w:val="22"/>
          <w:lang w:val="en-GB"/>
        </w:rPr>
        <w:t xml:space="preserve"> </w:t>
      </w:r>
    </w:p>
    <w:p w14:paraId="1FB28F34" w14:textId="498042C0" w:rsidR="00721F12" w:rsidRDefault="00721F12" w:rsidP="00ED0383">
      <w:pPr>
        <w:pStyle w:val="EmailContact"/>
        <w:rPr>
          <w:b w:val="0"/>
          <w:szCs w:val="22"/>
        </w:rPr>
      </w:pPr>
      <w:r>
        <w:rPr>
          <w:b w:val="0"/>
          <w:szCs w:val="22"/>
        </w:rPr>
        <w:t xml:space="preserve">Federal Emergency Management Agency (FEMA). 2014. </w:t>
      </w:r>
      <w:r w:rsidRPr="00721F12">
        <w:rPr>
          <w:b w:val="0"/>
          <w:i/>
          <w:szCs w:val="22"/>
          <w:lang w:val="en"/>
        </w:rPr>
        <w:t>Community Rating System (CRS) Communities and their Classes</w:t>
      </w:r>
      <w:r>
        <w:rPr>
          <w:b w:val="0"/>
          <w:i/>
          <w:szCs w:val="22"/>
          <w:lang w:val="en"/>
        </w:rPr>
        <w:t xml:space="preserve">. </w:t>
      </w:r>
      <w:r>
        <w:rPr>
          <w:b w:val="0"/>
          <w:i/>
          <w:szCs w:val="22"/>
        </w:rPr>
        <w:t xml:space="preserve"> </w:t>
      </w:r>
      <w:r>
        <w:rPr>
          <w:b w:val="0"/>
          <w:szCs w:val="22"/>
        </w:rPr>
        <w:t xml:space="preserve">Accessed 18 September 2015 from: </w:t>
      </w:r>
      <w:r w:rsidRPr="008704F2">
        <w:rPr>
          <w:b w:val="0"/>
          <w:i/>
          <w:szCs w:val="22"/>
        </w:rPr>
        <w:t xml:space="preserve"> </w:t>
      </w:r>
      <w:hyperlink r:id="rId13" w:history="1">
        <w:r w:rsidRPr="001F44E5">
          <w:rPr>
            <w:rStyle w:val="Hyperlink"/>
            <w:b w:val="0"/>
            <w:szCs w:val="22"/>
            <w:lang w:val="en-GB"/>
          </w:rPr>
          <w:t>http://www.fema.gov/media-library-data/1398878892102-5cbcaa727a635327277d834491210fec/CRS_Communites_May_1_2014.pdf</w:t>
        </w:r>
      </w:hyperlink>
      <w:r>
        <w:rPr>
          <w:b w:val="0"/>
          <w:szCs w:val="22"/>
          <w:lang w:val="en-GB"/>
        </w:rPr>
        <w:t xml:space="preserve"> </w:t>
      </w:r>
    </w:p>
    <w:p w14:paraId="168E35FA" w14:textId="6D668F3C" w:rsidR="00141DA8" w:rsidRDefault="00141DA8" w:rsidP="00ED0383">
      <w:pPr>
        <w:pStyle w:val="EmailContact"/>
        <w:rPr>
          <w:b w:val="0"/>
          <w:szCs w:val="22"/>
        </w:rPr>
      </w:pPr>
      <w:r>
        <w:rPr>
          <w:b w:val="0"/>
          <w:szCs w:val="22"/>
        </w:rPr>
        <w:t xml:space="preserve">Merrell, W.J.  2014. </w:t>
      </w:r>
      <w:r>
        <w:rPr>
          <w:b w:val="0"/>
          <w:i/>
          <w:szCs w:val="22"/>
        </w:rPr>
        <w:t>The Ike Dike</w:t>
      </w:r>
      <w:r w:rsidRPr="00141DA8">
        <w:rPr>
          <w:b w:val="0"/>
          <w:i/>
          <w:szCs w:val="22"/>
        </w:rPr>
        <w:t xml:space="preserve">: </w:t>
      </w:r>
      <w:r w:rsidRPr="00141DA8">
        <w:rPr>
          <w:b w:val="0"/>
          <w:bCs/>
          <w:i/>
          <w:szCs w:val="22"/>
          <w:lang w:val="en-US"/>
        </w:rPr>
        <w:t>A Coastal Barrier System</w:t>
      </w:r>
      <w:r>
        <w:rPr>
          <w:b w:val="0"/>
          <w:bCs/>
          <w:i/>
          <w:szCs w:val="22"/>
          <w:lang w:val="en-US"/>
        </w:rPr>
        <w:t xml:space="preserve"> </w:t>
      </w:r>
      <w:r w:rsidRPr="00141DA8">
        <w:rPr>
          <w:b w:val="0"/>
          <w:bCs/>
          <w:i/>
          <w:szCs w:val="22"/>
          <w:lang w:val="en-US"/>
        </w:rPr>
        <w:t>Protecting the Houston/Galveston Region from Hurricane Storm Surge</w:t>
      </w:r>
      <w:r>
        <w:rPr>
          <w:b w:val="0"/>
          <w:bCs/>
          <w:i/>
          <w:szCs w:val="22"/>
          <w:lang w:val="en-US"/>
        </w:rPr>
        <w:t xml:space="preserve">. </w:t>
      </w:r>
      <w:r>
        <w:rPr>
          <w:b w:val="0"/>
          <w:szCs w:val="22"/>
        </w:rPr>
        <w:t xml:space="preserve"> </w:t>
      </w:r>
      <w:r w:rsidRPr="00141DA8">
        <w:rPr>
          <w:b w:val="0"/>
          <w:bCs/>
          <w:szCs w:val="22"/>
        </w:rPr>
        <w:t>Bay Area Houston Transportation Partnership</w:t>
      </w:r>
      <w:r>
        <w:rPr>
          <w:b w:val="0"/>
          <w:bCs/>
          <w:szCs w:val="22"/>
        </w:rPr>
        <w:t>, Houston, Texas.</w:t>
      </w:r>
      <w:r>
        <w:rPr>
          <w:b w:val="0"/>
          <w:szCs w:val="22"/>
        </w:rPr>
        <w:t xml:space="preserve"> Accessed September 18 from: </w:t>
      </w:r>
      <w:hyperlink r:id="rId14" w:history="1">
        <w:r w:rsidRPr="001F44E5">
          <w:rPr>
            <w:rStyle w:val="Hyperlink"/>
            <w:b w:val="0"/>
            <w:szCs w:val="22"/>
          </w:rPr>
          <w:t>http://www.tamug.edu/ikedike/presentations/IkeDikeVideo.htm</w:t>
        </w:r>
      </w:hyperlink>
      <w:r>
        <w:rPr>
          <w:b w:val="0"/>
          <w:szCs w:val="22"/>
        </w:rPr>
        <w:t xml:space="preserve"> </w:t>
      </w:r>
    </w:p>
    <w:p w14:paraId="428872BF" w14:textId="0C005190" w:rsidR="00FD34B0" w:rsidRDefault="00FD34B0" w:rsidP="00ED0383">
      <w:pPr>
        <w:pStyle w:val="EmailContact"/>
        <w:rPr>
          <w:b w:val="0"/>
          <w:szCs w:val="22"/>
        </w:rPr>
      </w:pPr>
      <w:r>
        <w:rPr>
          <w:b w:val="0"/>
          <w:szCs w:val="22"/>
        </w:rPr>
        <w:t xml:space="preserve">Merrell, W.J. 2015. Ike Dike. Accessed September 19 from: </w:t>
      </w:r>
      <w:hyperlink r:id="rId15" w:history="1">
        <w:r w:rsidRPr="001F44E5">
          <w:rPr>
            <w:rStyle w:val="Hyperlink"/>
            <w:b w:val="0"/>
            <w:szCs w:val="22"/>
          </w:rPr>
          <w:t>http://www.tamug.edu/ikedike/</w:t>
        </w:r>
      </w:hyperlink>
      <w:r>
        <w:rPr>
          <w:b w:val="0"/>
          <w:szCs w:val="22"/>
        </w:rPr>
        <w:t xml:space="preserve"> .</w:t>
      </w:r>
    </w:p>
    <w:p w14:paraId="6C76F52D" w14:textId="1814B9E2" w:rsidR="00ED0383" w:rsidRPr="00377936" w:rsidRDefault="00CC7E2F" w:rsidP="00ED0383">
      <w:pPr>
        <w:pStyle w:val="EmailContact"/>
        <w:rPr>
          <w:b w:val="0"/>
          <w:szCs w:val="22"/>
        </w:rPr>
      </w:pPr>
      <w:r>
        <w:rPr>
          <w:b w:val="0"/>
          <w:szCs w:val="22"/>
        </w:rPr>
        <w:t>Mileti, D.</w:t>
      </w:r>
      <w:r w:rsidR="00ED0383" w:rsidRPr="00377936">
        <w:rPr>
          <w:b w:val="0"/>
          <w:szCs w:val="22"/>
        </w:rPr>
        <w:t xml:space="preserve"> 1999</w:t>
      </w:r>
      <w:r>
        <w:rPr>
          <w:b w:val="0"/>
          <w:szCs w:val="22"/>
        </w:rPr>
        <w:t xml:space="preserve">. </w:t>
      </w:r>
      <w:r w:rsidR="00ED0383" w:rsidRPr="00377936">
        <w:rPr>
          <w:b w:val="0"/>
          <w:szCs w:val="22"/>
        </w:rPr>
        <w:t>Disasters by design: a reassessment of natural hazards in the United States, Washington DC, Joseph Henry Press.</w:t>
      </w:r>
    </w:p>
    <w:p w14:paraId="50D70179" w14:textId="225004C7" w:rsidR="00B27704" w:rsidRDefault="00B27704" w:rsidP="007D7582">
      <w:pPr>
        <w:pStyle w:val="EmailContact"/>
        <w:rPr>
          <w:b w:val="0"/>
          <w:szCs w:val="22"/>
        </w:rPr>
      </w:pPr>
      <w:r>
        <w:rPr>
          <w:b w:val="0"/>
          <w:szCs w:val="22"/>
        </w:rPr>
        <w:t xml:space="preserve">National Association of Development Organizations. 2014. </w:t>
      </w:r>
      <w:r w:rsidRPr="00B27704">
        <w:rPr>
          <w:b w:val="0"/>
          <w:szCs w:val="22"/>
        </w:rPr>
        <w:t>The National Flood Insurance Program Community Rating System: An Introduction and Discussion of the RDO Rol</w:t>
      </w:r>
      <w:r>
        <w:rPr>
          <w:b w:val="0"/>
          <w:szCs w:val="22"/>
        </w:rPr>
        <w:t xml:space="preserve">e. Accessed September 17 from: </w:t>
      </w:r>
      <w:hyperlink r:id="rId16" w:history="1">
        <w:r w:rsidRPr="001F44E5">
          <w:rPr>
            <w:rStyle w:val="Hyperlink"/>
            <w:b w:val="0"/>
            <w:szCs w:val="22"/>
            <w:lang w:val="en-GB"/>
          </w:rPr>
          <w:t>http://www.nado.org/wp-content/uploads/2014/09/NFIP-CRS-Intro-and-RDO-Role.pdf</w:t>
        </w:r>
      </w:hyperlink>
      <w:r>
        <w:rPr>
          <w:b w:val="0"/>
          <w:szCs w:val="22"/>
          <w:lang w:val="en-GB"/>
        </w:rPr>
        <w:t xml:space="preserve"> </w:t>
      </w:r>
      <w:r>
        <w:rPr>
          <w:b w:val="0"/>
          <w:szCs w:val="22"/>
        </w:rPr>
        <w:t xml:space="preserve"> </w:t>
      </w:r>
    </w:p>
    <w:p w14:paraId="0B97FC6D" w14:textId="2B6F8D66" w:rsidR="00C43617" w:rsidRDefault="00C43617" w:rsidP="007D7582">
      <w:pPr>
        <w:pStyle w:val="EmailContact"/>
        <w:rPr>
          <w:b w:val="0"/>
          <w:szCs w:val="22"/>
        </w:rPr>
      </w:pPr>
      <w:r>
        <w:rPr>
          <w:b w:val="0"/>
          <w:szCs w:val="22"/>
        </w:rPr>
        <w:t xml:space="preserve">National Flood Insurance Program (NFIP).  2015.  Community Rating System (CSR).  Accessed September 17 from: </w:t>
      </w:r>
      <w:hyperlink r:id="rId17" w:history="1">
        <w:r w:rsidRPr="001F44E5">
          <w:rPr>
            <w:rStyle w:val="Hyperlink"/>
            <w:b w:val="0"/>
            <w:szCs w:val="22"/>
            <w:lang w:val="en-GB"/>
          </w:rPr>
          <w:t>https://www.floodsmart.gov/floodsmart/pages/crs/community_rating_system.jsp</w:t>
        </w:r>
      </w:hyperlink>
      <w:r>
        <w:rPr>
          <w:b w:val="0"/>
          <w:szCs w:val="22"/>
          <w:lang w:val="en-GB"/>
        </w:rPr>
        <w:t xml:space="preserve"> </w:t>
      </w:r>
    </w:p>
    <w:p w14:paraId="3AB604C2" w14:textId="709B53E0" w:rsidR="00377936" w:rsidRDefault="00E7006E" w:rsidP="007D7582">
      <w:pPr>
        <w:pStyle w:val="EmailContact"/>
        <w:rPr>
          <w:b w:val="0"/>
          <w:szCs w:val="22"/>
        </w:rPr>
      </w:pPr>
      <w:r w:rsidRPr="00377936">
        <w:rPr>
          <w:b w:val="0"/>
          <w:szCs w:val="22"/>
        </w:rPr>
        <w:t>King County Food Control District Hazard Mitigation Plan</w:t>
      </w:r>
      <w:r w:rsidR="00AE24A0">
        <w:rPr>
          <w:b w:val="0"/>
          <w:szCs w:val="22"/>
        </w:rPr>
        <w:t>.</w:t>
      </w:r>
      <w:r w:rsidR="00A36A28" w:rsidRPr="00377936">
        <w:rPr>
          <w:b w:val="0"/>
          <w:szCs w:val="22"/>
        </w:rPr>
        <w:t xml:space="preserve"> 2010</w:t>
      </w:r>
      <w:r w:rsidR="00AE24A0">
        <w:rPr>
          <w:b w:val="0"/>
          <w:szCs w:val="22"/>
        </w:rPr>
        <w:t>.</w:t>
      </w:r>
      <w:r w:rsidR="00A36A28" w:rsidRPr="00377936">
        <w:rPr>
          <w:b w:val="0"/>
          <w:szCs w:val="22"/>
        </w:rPr>
        <w:t xml:space="preserve"> </w:t>
      </w:r>
      <w:r w:rsidR="00AE24A0">
        <w:rPr>
          <w:b w:val="0"/>
          <w:szCs w:val="22"/>
        </w:rPr>
        <w:t>P</w:t>
      </w:r>
      <w:r w:rsidR="00A36A28" w:rsidRPr="00377936">
        <w:rPr>
          <w:b w:val="0"/>
          <w:szCs w:val="22"/>
        </w:rPr>
        <w:t>repared by Tetra Tech Engineering &amp; Architecture Services, Seattle.</w:t>
      </w:r>
      <w:r w:rsidR="00AE24A0">
        <w:rPr>
          <w:b w:val="0"/>
          <w:szCs w:val="22"/>
        </w:rPr>
        <w:t xml:space="preserve"> </w:t>
      </w:r>
      <w:r w:rsidR="00AE24A0" w:rsidRPr="00AE24A0">
        <w:rPr>
          <w:b w:val="0"/>
          <w:color w:val="FF0000"/>
          <w:szCs w:val="22"/>
        </w:rPr>
        <w:t xml:space="preserve"> </w:t>
      </w:r>
    </w:p>
    <w:p w14:paraId="352A6BCF" w14:textId="7CE3EADC" w:rsidR="00585235" w:rsidRDefault="00585235" w:rsidP="007D7582">
      <w:pPr>
        <w:pStyle w:val="EmailContact"/>
        <w:rPr>
          <w:b w:val="0"/>
          <w:szCs w:val="22"/>
        </w:rPr>
      </w:pPr>
      <w:r w:rsidRPr="00585235">
        <w:rPr>
          <w:b w:val="0"/>
          <w:szCs w:val="22"/>
        </w:rPr>
        <w:t>National Oceanic and Atmospheric Administration’s (NOAA) National Climatic Data Center (NCDC) database</w:t>
      </w:r>
      <w:r>
        <w:rPr>
          <w:b w:val="0"/>
          <w:szCs w:val="22"/>
        </w:rPr>
        <w:t xml:space="preserve">. </w:t>
      </w:r>
      <w:r w:rsidR="008704F2">
        <w:rPr>
          <w:b w:val="0"/>
          <w:szCs w:val="22"/>
        </w:rPr>
        <w:t xml:space="preserve"> </w:t>
      </w:r>
      <w:r>
        <w:rPr>
          <w:b w:val="0"/>
          <w:szCs w:val="22"/>
        </w:rPr>
        <w:t xml:space="preserve">Accessed 15 September from: </w:t>
      </w:r>
      <w:hyperlink r:id="rId18" w:history="1">
        <w:r w:rsidRPr="001F44E5">
          <w:rPr>
            <w:rStyle w:val="Hyperlink"/>
            <w:b w:val="0"/>
            <w:szCs w:val="22"/>
          </w:rPr>
          <w:t>https://www.ncdc.noaa.gov/data-access</w:t>
        </w:r>
      </w:hyperlink>
      <w:r>
        <w:rPr>
          <w:b w:val="0"/>
          <w:szCs w:val="22"/>
        </w:rPr>
        <w:t xml:space="preserve"> </w:t>
      </w:r>
    </w:p>
    <w:p w14:paraId="1F1EABC4" w14:textId="0D64B689" w:rsidR="00585C07" w:rsidRDefault="00585C07" w:rsidP="007D7582">
      <w:pPr>
        <w:pStyle w:val="EmailContact"/>
        <w:rPr>
          <w:b w:val="0"/>
          <w:szCs w:val="22"/>
        </w:rPr>
      </w:pPr>
      <w:r w:rsidRPr="00585C07">
        <w:rPr>
          <w:b w:val="0"/>
          <w:szCs w:val="22"/>
        </w:rPr>
        <w:t>Texas Division of Emergency Management and the Mitigation Planning Team</w:t>
      </w:r>
      <w:r>
        <w:rPr>
          <w:b w:val="0"/>
          <w:szCs w:val="22"/>
        </w:rPr>
        <w:t xml:space="preserve">, </w:t>
      </w:r>
      <w:r w:rsidRPr="00585C07">
        <w:rPr>
          <w:b w:val="0"/>
          <w:szCs w:val="22"/>
        </w:rPr>
        <w:t>Mitigation Section</w:t>
      </w:r>
      <w:r w:rsidR="00E95820">
        <w:rPr>
          <w:b w:val="0"/>
          <w:szCs w:val="22"/>
        </w:rPr>
        <w:t xml:space="preserve"> (TXEMMPT)</w:t>
      </w:r>
      <w:r>
        <w:rPr>
          <w:b w:val="0"/>
          <w:szCs w:val="22"/>
        </w:rPr>
        <w:t xml:space="preserve">.  2013 (update).   </w:t>
      </w:r>
      <w:r w:rsidRPr="00585C07">
        <w:rPr>
          <w:b w:val="0"/>
          <w:i/>
          <w:szCs w:val="22"/>
        </w:rPr>
        <w:t>State of Texas Hazard Mitigation Plan: 2013 Update.</w:t>
      </w:r>
      <w:r>
        <w:rPr>
          <w:b w:val="0"/>
          <w:szCs w:val="22"/>
        </w:rPr>
        <w:t xml:space="preserve">  Accessed 16 September from: </w:t>
      </w:r>
      <w:hyperlink r:id="rId19" w:history="1">
        <w:r w:rsidRPr="001F44E5">
          <w:rPr>
            <w:rStyle w:val="Hyperlink"/>
            <w:b w:val="0"/>
            <w:szCs w:val="22"/>
            <w:lang w:val="en-GB"/>
          </w:rPr>
          <w:t>http://www.txdps.state.tx.us/dem/Mitigation/txHazMitPlan.pdf</w:t>
        </w:r>
      </w:hyperlink>
      <w:r>
        <w:rPr>
          <w:b w:val="0"/>
          <w:szCs w:val="22"/>
          <w:lang w:val="en-GB"/>
        </w:rPr>
        <w:t xml:space="preserve"> </w:t>
      </w:r>
    </w:p>
    <w:p w14:paraId="7E653500" w14:textId="76B0478E" w:rsidR="00DE5621" w:rsidRPr="00DE5621" w:rsidRDefault="00DE5621" w:rsidP="007D7582">
      <w:pPr>
        <w:pStyle w:val="EmailContact"/>
        <w:rPr>
          <w:b w:val="0"/>
          <w:szCs w:val="22"/>
        </w:rPr>
      </w:pPr>
      <w:r>
        <w:rPr>
          <w:b w:val="0"/>
          <w:szCs w:val="22"/>
        </w:rPr>
        <w:t>Texas Floodplain Management Association</w:t>
      </w:r>
      <w:r w:rsidR="00813E1A">
        <w:rPr>
          <w:b w:val="0"/>
          <w:szCs w:val="22"/>
        </w:rPr>
        <w:t xml:space="preserve"> (TFMA)</w:t>
      </w:r>
      <w:r w:rsidR="00AE24A0">
        <w:rPr>
          <w:b w:val="0"/>
          <w:szCs w:val="22"/>
        </w:rPr>
        <w:t xml:space="preserve">. </w:t>
      </w:r>
      <w:r>
        <w:rPr>
          <w:b w:val="0"/>
          <w:szCs w:val="22"/>
        </w:rPr>
        <w:t xml:space="preserve">2008. </w:t>
      </w:r>
      <w:r>
        <w:rPr>
          <w:b w:val="0"/>
          <w:i/>
          <w:szCs w:val="22"/>
        </w:rPr>
        <w:t>Quick Guide: Floodpla</w:t>
      </w:r>
      <w:r w:rsidR="008704F2">
        <w:rPr>
          <w:b w:val="0"/>
          <w:i/>
          <w:szCs w:val="22"/>
        </w:rPr>
        <w:t>i</w:t>
      </w:r>
      <w:r>
        <w:rPr>
          <w:b w:val="0"/>
          <w:i/>
          <w:szCs w:val="22"/>
        </w:rPr>
        <w:t xml:space="preserve">n Management in Texas.  </w:t>
      </w:r>
      <w:r>
        <w:rPr>
          <w:b w:val="0"/>
          <w:szCs w:val="22"/>
        </w:rPr>
        <w:t xml:space="preserve">Accessed 16 September from: </w:t>
      </w:r>
      <w:hyperlink r:id="rId20" w:history="1">
        <w:r w:rsidR="00813E1A" w:rsidRPr="0017116C">
          <w:rPr>
            <w:rStyle w:val="Hyperlink"/>
            <w:b w:val="0"/>
            <w:szCs w:val="22"/>
          </w:rPr>
          <w:t>http://www.twdb.texas.gov/flood/resources/doc/2008_Texas_Quick_Guide.pdf</w:t>
        </w:r>
      </w:hyperlink>
      <w:r>
        <w:rPr>
          <w:b w:val="0"/>
          <w:szCs w:val="22"/>
        </w:rPr>
        <w:t xml:space="preserve"> </w:t>
      </w:r>
    </w:p>
    <w:p w14:paraId="6E646697" w14:textId="50E3AED2" w:rsidR="00D03730" w:rsidRPr="00D03730" w:rsidRDefault="00D03730" w:rsidP="007D7582">
      <w:pPr>
        <w:pStyle w:val="EmailContact"/>
        <w:rPr>
          <w:b w:val="0"/>
        </w:rPr>
      </w:pPr>
      <w:r w:rsidRPr="00D03730">
        <w:rPr>
          <w:b w:val="0"/>
        </w:rPr>
        <w:t xml:space="preserve">Texas </w:t>
      </w:r>
      <w:r>
        <w:rPr>
          <w:b w:val="0"/>
        </w:rPr>
        <w:t>S</w:t>
      </w:r>
      <w:r w:rsidRPr="00D03730">
        <w:rPr>
          <w:b w:val="0"/>
        </w:rPr>
        <w:t>ection of the American Society of Civil Engineers</w:t>
      </w:r>
      <w:r>
        <w:rPr>
          <w:b w:val="0"/>
        </w:rPr>
        <w:t xml:space="preserve"> (TASCE).  2015.  </w:t>
      </w:r>
      <w:r w:rsidRPr="00D03730">
        <w:rPr>
          <w:b w:val="0"/>
          <w:i/>
        </w:rPr>
        <w:t>Flood Control Fact Sheet.</w:t>
      </w:r>
      <w:r>
        <w:rPr>
          <w:b w:val="0"/>
        </w:rPr>
        <w:t xml:space="preserve">  Renewing Texas Infrastructure: 2012 Texas Infrastructure Report Card.  </w:t>
      </w:r>
      <w:r>
        <w:rPr>
          <w:b w:val="0"/>
          <w:szCs w:val="22"/>
        </w:rPr>
        <w:t xml:space="preserve">Accessed 16 September from: </w:t>
      </w:r>
      <w:hyperlink r:id="rId21" w:history="1">
        <w:r w:rsidR="00517408" w:rsidRPr="00517408">
          <w:rPr>
            <w:rStyle w:val="Hyperlink"/>
            <w:rFonts w:ascii="Segoe UI" w:hAnsi="Segoe UI" w:cs="Segoe UI"/>
            <w:b w:val="0"/>
            <w:sz w:val="20"/>
            <w:szCs w:val="20"/>
            <w:lang w:val="en-GB" w:eastAsia="en-US"/>
          </w:rPr>
          <w:t>http://www.texasce.org/?page=TexasIRC</w:t>
        </w:r>
      </w:hyperlink>
      <w:r w:rsidR="00517408">
        <w:rPr>
          <w:rFonts w:ascii="Segoe UI" w:hAnsi="Segoe UI" w:cs="Segoe UI"/>
          <w:color w:val="000000"/>
          <w:sz w:val="20"/>
          <w:szCs w:val="20"/>
          <w:lang w:val="en-GB" w:eastAsia="en-US"/>
        </w:rPr>
        <w:t xml:space="preserve"> </w:t>
      </w:r>
    </w:p>
    <w:p w14:paraId="3C7848FC" w14:textId="4CF3375C" w:rsidR="00967343" w:rsidRPr="00C10718" w:rsidRDefault="00C10718" w:rsidP="007D7582">
      <w:pPr>
        <w:pStyle w:val="EmailContact"/>
        <w:rPr>
          <w:b w:val="0"/>
          <w:color w:val="0070C0"/>
          <w:szCs w:val="22"/>
        </w:rPr>
      </w:pPr>
      <w:r>
        <w:rPr>
          <w:b w:val="0"/>
          <w:bCs/>
          <w:lang w:val="en"/>
        </w:rPr>
        <w:t xml:space="preserve">Australian Government.  </w:t>
      </w:r>
      <w:r w:rsidRPr="00C10718">
        <w:rPr>
          <w:b w:val="0"/>
          <w:bCs/>
          <w:i/>
          <w:lang w:val="en"/>
        </w:rPr>
        <w:t>Natural disasters in Australia</w:t>
      </w:r>
      <w:r>
        <w:rPr>
          <w:b w:val="0"/>
          <w:bCs/>
          <w:lang w:val="en"/>
        </w:rPr>
        <w:t xml:space="preserve">.  </w:t>
      </w:r>
      <w:r w:rsidRPr="00D03730">
        <w:rPr>
          <w:rStyle w:val="Hyperlink"/>
          <w:b w:val="0"/>
          <w:color w:val="000000" w:themeColor="text1"/>
          <w:szCs w:val="22"/>
          <w:u w:val="none"/>
        </w:rPr>
        <w:t>A</w:t>
      </w:r>
      <w:r w:rsidRPr="00377936">
        <w:rPr>
          <w:b w:val="0"/>
          <w:szCs w:val="22"/>
        </w:rPr>
        <w:t>ccessed on 15 September 2015</w:t>
      </w:r>
      <w:r>
        <w:rPr>
          <w:b w:val="0"/>
          <w:szCs w:val="22"/>
        </w:rPr>
        <w:t xml:space="preserve"> from:</w:t>
      </w:r>
      <w:r>
        <w:rPr>
          <w:bCs/>
          <w:lang w:val="en"/>
        </w:rPr>
        <w:t xml:space="preserve"> </w:t>
      </w:r>
      <w:hyperlink r:id="rId22" w:history="1">
        <w:r w:rsidRPr="00C10718">
          <w:rPr>
            <w:rStyle w:val="Hyperlink"/>
            <w:b w:val="0"/>
            <w:color w:val="0070C0"/>
            <w:szCs w:val="22"/>
          </w:rPr>
          <w:t>http://www.australia.gov.au/about-australia/australian-story/natural-disasters</w:t>
        </w:r>
      </w:hyperlink>
      <w:r w:rsidRPr="00C10718">
        <w:rPr>
          <w:rStyle w:val="Hyperlink"/>
          <w:b w:val="0"/>
          <w:color w:val="0070C0"/>
          <w:szCs w:val="22"/>
          <w:u w:val="none"/>
        </w:rPr>
        <w:t xml:space="preserve"> </w:t>
      </w:r>
    </w:p>
    <w:p w14:paraId="202C92E5" w14:textId="77777777" w:rsidR="00517408" w:rsidRDefault="00517408">
      <w:pPr>
        <w:spacing w:before="0" w:after="0"/>
        <w:jc w:val="left"/>
        <w:rPr>
          <w:szCs w:val="22"/>
        </w:rPr>
      </w:pPr>
    </w:p>
    <w:p w14:paraId="78937992" w14:textId="77777777" w:rsidR="00793F35" w:rsidRPr="0005361A" w:rsidRDefault="00793F35" w:rsidP="007D7582">
      <w:pPr>
        <w:pStyle w:val="EmailContact"/>
        <w:rPr>
          <w:szCs w:val="22"/>
        </w:rPr>
      </w:pPr>
    </w:p>
    <w:sectPr w:rsidR="00793F35" w:rsidRPr="0005361A" w:rsidSect="00817EB3">
      <w:headerReference w:type="default" r:id="rId23"/>
      <w:footerReference w:type="default" r:id="rId24"/>
      <w:headerReference w:type="first" r:id="rId25"/>
      <w:type w:val="continuous"/>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3A4D3" w14:textId="77777777" w:rsidR="00E97875" w:rsidRDefault="00E97875" w:rsidP="008E12A6">
      <w:pPr>
        <w:spacing w:before="0" w:after="0"/>
      </w:pPr>
      <w:r>
        <w:separator/>
      </w:r>
    </w:p>
    <w:p w14:paraId="6A96E72D" w14:textId="77777777" w:rsidR="00E97875" w:rsidRDefault="00E97875"/>
  </w:endnote>
  <w:endnote w:type="continuationSeparator" w:id="0">
    <w:p w14:paraId="4DAE6441" w14:textId="77777777" w:rsidR="00E97875" w:rsidRDefault="00E97875" w:rsidP="008E12A6">
      <w:pPr>
        <w:spacing w:before="0" w:after="0"/>
      </w:pPr>
      <w:r>
        <w:continuationSeparator/>
      </w:r>
    </w:p>
    <w:p w14:paraId="3648E516" w14:textId="77777777" w:rsidR="00E97875" w:rsidRDefault="00E97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FD82" w14:textId="77777777" w:rsidR="003F4F55" w:rsidRDefault="003F4F55" w:rsidP="00972069">
    <w:pPr>
      <w:pStyle w:val="Footer"/>
      <w:pBdr>
        <w:top w:val="single" w:sz="4" w:space="1" w:color="auto"/>
      </w:pBdr>
      <w:tabs>
        <w:tab w:val="clear" w:pos="9026"/>
        <w:tab w:val="right" w:pos="9639"/>
      </w:tabs>
      <w:jc w:val="left"/>
    </w:pPr>
    <w:r>
      <w:t>22</w:t>
    </w:r>
    <w:r>
      <w:rPr>
        <w:vertAlign w:val="superscript"/>
      </w:rPr>
      <w:t xml:space="preserve">nd </w:t>
    </w:r>
    <w:r>
      <w:t>Annual PRRES Conference, Sunshine Coast, Queensland, Australia 17-20 January 2016</w:t>
    </w:r>
    <w:r>
      <w:tab/>
    </w:r>
    <w:r>
      <w:fldChar w:fldCharType="begin"/>
    </w:r>
    <w:r>
      <w:instrText xml:space="preserve"> PAGE   \* MERGEFORMAT </w:instrText>
    </w:r>
    <w:r>
      <w:fldChar w:fldCharType="separate"/>
    </w:r>
    <w:r w:rsidR="00687DFB">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BA8CF" w14:textId="77777777" w:rsidR="00E97875" w:rsidRDefault="00E97875" w:rsidP="008E12A6">
      <w:pPr>
        <w:spacing w:before="0" w:after="0"/>
      </w:pPr>
      <w:r>
        <w:separator/>
      </w:r>
    </w:p>
    <w:p w14:paraId="62F7FDD1" w14:textId="77777777" w:rsidR="00E97875" w:rsidRDefault="00E97875"/>
  </w:footnote>
  <w:footnote w:type="continuationSeparator" w:id="0">
    <w:p w14:paraId="161F147D" w14:textId="77777777" w:rsidR="00E97875" w:rsidRDefault="00E97875" w:rsidP="008E12A6">
      <w:pPr>
        <w:spacing w:before="0" w:after="0"/>
      </w:pPr>
      <w:r>
        <w:continuationSeparator/>
      </w:r>
    </w:p>
    <w:p w14:paraId="4161CC70" w14:textId="77777777" w:rsidR="00E97875" w:rsidRDefault="00E97875"/>
  </w:footnote>
  <w:footnote w:id="1">
    <w:p w14:paraId="68DA1FAD" w14:textId="1BBD91F6" w:rsidR="003F4F55" w:rsidRDefault="003F4F55" w:rsidP="00ED1D42">
      <w:pPr>
        <w:pStyle w:val="FootnoteText"/>
      </w:pPr>
      <w:r>
        <w:rPr>
          <w:rStyle w:val="FootnoteReference"/>
        </w:rPr>
        <w:footnoteRef/>
      </w:r>
      <w:r>
        <w:t xml:space="preserve"> </w:t>
      </w:r>
      <w:hyperlink r:id="rId1" w:history="1">
        <w:r w:rsidR="00D13D00" w:rsidRPr="004D6445">
          <w:rPr>
            <w:rStyle w:val="Hyperlink"/>
          </w:rPr>
          <w:t>Pernille.Christensen@uts.edu.au</w:t>
        </w:r>
      </w:hyperlink>
      <w:r w:rsidR="00515F88">
        <w:t xml:space="preserve"> (contact author)</w:t>
      </w:r>
    </w:p>
  </w:footnote>
  <w:footnote w:id="2">
    <w:p w14:paraId="7BCF3AD6" w14:textId="0632EB51" w:rsidR="003F4F55" w:rsidRDefault="003F4F55" w:rsidP="00CE31DF">
      <w:pPr>
        <w:pStyle w:val="FootnoteText"/>
      </w:pPr>
      <w:r>
        <w:rPr>
          <w:rStyle w:val="FootnoteReference"/>
        </w:rPr>
        <w:footnoteRef/>
      </w:r>
      <w:r>
        <w:t xml:space="preserve"> kimberly.winson@unimelb.edu.au</w:t>
      </w:r>
    </w:p>
  </w:footnote>
  <w:footnote w:id="3">
    <w:p w14:paraId="2A8E4B23" w14:textId="1E527181" w:rsidR="003F4F55" w:rsidRDefault="003F4F55">
      <w:pPr>
        <w:pStyle w:val="FootnoteText"/>
      </w:pPr>
      <w:r>
        <w:rPr>
          <w:rStyle w:val="FootnoteReference"/>
        </w:rPr>
        <w:footnoteRef/>
      </w:r>
      <w:r>
        <w:t xml:space="preserve"> A Special Flood Hazard Area (SFHA) is the portion of the floodplain subject to inundation by the base flood and/or flood-related erosion hazards.  </w:t>
      </w:r>
      <w:r w:rsidRPr="007F3148">
        <w:t>The base flood means the flood having a 1% chance of being equalled or exceeded in any given year (also called “100-year floodplain”).</w:t>
      </w:r>
    </w:p>
  </w:footnote>
  <w:footnote w:id="4">
    <w:p w14:paraId="76F1A632" w14:textId="1FDC62F8" w:rsidR="003F4F55" w:rsidRDefault="003F4F55">
      <w:pPr>
        <w:pStyle w:val="FootnoteText"/>
      </w:pPr>
      <w:r>
        <w:rPr>
          <w:rStyle w:val="FootnoteReference"/>
        </w:rPr>
        <w:footnoteRef/>
      </w:r>
      <w:r>
        <w:t xml:space="preserve"> </w:t>
      </w:r>
      <w:r w:rsidRPr="00677CD8">
        <w:t>http://www.fema.gov/national-flood-insurance-program</w:t>
      </w:r>
    </w:p>
  </w:footnote>
  <w:footnote w:id="5">
    <w:p w14:paraId="230036E0" w14:textId="77777777" w:rsidR="007763C1" w:rsidRPr="00BE46CE" w:rsidRDefault="007763C1" w:rsidP="007763C1">
      <w:pPr>
        <w:pStyle w:val="FootnoteText"/>
        <w:rPr>
          <w:lang w:val="en-US"/>
        </w:rPr>
      </w:pPr>
      <w:r>
        <w:rPr>
          <w:rStyle w:val="FootnoteReference"/>
        </w:rPr>
        <w:footnoteRef/>
      </w:r>
      <w:r>
        <w:t xml:space="preserve"> </w:t>
      </w:r>
      <w:r w:rsidRPr="00BE46CE">
        <w:t>Table 9.4-1 describes the basic steps in the STAPLEE methodology.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7376" w14:textId="77777777" w:rsidR="003F4F55" w:rsidRDefault="003F4F55" w:rsidP="00817EB3">
    <w:pPr>
      <w:pStyle w:val="ConferenceDetails"/>
    </w:pPr>
    <w:r>
      <w:t>22</w:t>
    </w:r>
    <w:r w:rsidRPr="00972069">
      <w:rPr>
        <w:vertAlign w:val="superscript"/>
      </w:rPr>
      <w:t>ND</w:t>
    </w:r>
    <w:r>
      <w:t xml:space="preserve"> Annual Pacific-Rim Real Estate Society Conference</w:t>
    </w:r>
  </w:p>
  <w:p w14:paraId="6BAABDA2" w14:textId="60FB71F4" w:rsidR="003F4F55" w:rsidRPr="00817EB3" w:rsidRDefault="003F4F55" w:rsidP="00817EB3">
    <w:pPr>
      <w:pStyle w:val="ConferenceDetails"/>
      <w:rPr>
        <w:sz w:val="10"/>
        <w:szCs w:val="10"/>
      </w:rPr>
    </w:pPr>
    <w:r>
      <w:t>SUNSHINE COAST, QUEENSLAND, AUSTRALIA 17-20 January 2016</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37F44" w14:textId="77777777" w:rsidR="003F4F55" w:rsidRDefault="003F4F55" w:rsidP="00D308B8">
    <w:pPr>
      <w:pStyle w:val="ConferenceDetails"/>
    </w:pPr>
    <w:r>
      <w:t>22</w:t>
    </w:r>
    <w:r w:rsidRPr="00972069">
      <w:rPr>
        <w:vertAlign w:val="superscript"/>
      </w:rPr>
      <w:t>ND</w:t>
    </w:r>
    <w:r>
      <w:t xml:space="preserve"> Annual Pacific-Rim Real Estate Society Conference</w:t>
    </w:r>
  </w:p>
  <w:p w14:paraId="6886248C" w14:textId="77777777" w:rsidR="003F4F55" w:rsidRDefault="003F4F55" w:rsidP="00D308B8">
    <w:pPr>
      <w:pStyle w:val="ConferenceDetails"/>
    </w:pPr>
    <w:r>
      <w:t>SUNSHINE COAST, QUEENSLAND, AUSTRALIA 17-20 January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3F7"/>
    <w:multiLevelType w:val="hybridMultilevel"/>
    <w:tmpl w:val="7D6AC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94028"/>
    <w:multiLevelType w:val="hybridMultilevel"/>
    <w:tmpl w:val="189A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B42EC"/>
    <w:multiLevelType w:val="multilevel"/>
    <w:tmpl w:val="118A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B52B6"/>
    <w:multiLevelType w:val="multilevel"/>
    <w:tmpl w:val="9DCC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172BB"/>
    <w:multiLevelType w:val="hybridMultilevel"/>
    <w:tmpl w:val="BD0AC8A0"/>
    <w:lvl w:ilvl="0" w:tplc="0C927B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8737A4"/>
    <w:multiLevelType w:val="hybridMultilevel"/>
    <w:tmpl w:val="96AC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373B4"/>
    <w:multiLevelType w:val="hybridMultilevel"/>
    <w:tmpl w:val="BE9C0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73"/>
    <w:rsid w:val="000060F0"/>
    <w:rsid w:val="0000703D"/>
    <w:rsid w:val="000267A5"/>
    <w:rsid w:val="00026F60"/>
    <w:rsid w:val="00035919"/>
    <w:rsid w:val="000523C5"/>
    <w:rsid w:val="0005361A"/>
    <w:rsid w:val="00061A0B"/>
    <w:rsid w:val="00074FB8"/>
    <w:rsid w:val="00087FEB"/>
    <w:rsid w:val="00090AA1"/>
    <w:rsid w:val="000A5776"/>
    <w:rsid w:val="000A7E4A"/>
    <w:rsid w:val="000B4502"/>
    <w:rsid w:val="000C1B31"/>
    <w:rsid w:val="000C4518"/>
    <w:rsid w:val="000C7359"/>
    <w:rsid w:val="000D1C37"/>
    <w:rsid w:val="000D4CE6"/>
    <w:rsid w:val="000E1108"/>
    <w:rsid w:val="000E1E0C"/>
    <w:rsid w:val="000E2FB8"/>
    <w:rsid w:val="000E5AB1"/>
    <w:rsid w:val="000F1D5D"/>
    <w:rsid w:val="000F23B6"/>
    <w:rsid w:val="000F5A53"/>
    <w:rsid w:val="001101A3"/>
    <w:rsid w:val="0011105A"/>
    <w:rsid w:val="00141DA8"/>
    <w:rsid w:val="0014369A"/>
    <w:rsid w:val="00151D43"/>
    <w:rsid w:val="001544FA"/>
    <w:rsid w:val="00156736"/>
    <w:rsid w:val="001666B5"/>
    <w:rsid w:val="00180750"/>
    <w:rsid w:val="001916B5"/>
    <w:rsid w:val="0019709D"/>
    <w:rsid w:val="001B4E04"/>
    <w:rsid w:val="001C00B5"/>
    <w:rsid w:val="001C4C32"/>
    <w:rsid w:val="001D5150"/>
    <w:rsid w:val="001D6133"/>
    <w:rsid w:val="001E3188"/>
    <w:rsid w:val="001E35E9"/>
    <w:rsid w:val="001F20E2"/>
    <w:rsid w:val="002017B1"/>
    <w:rsid w:val="002231F2"/>
    <w:rsid w:val="00224C34"/>
    <w:rsid w:val="00227144"/>
    <w:rsid w:val="002323FF"/>
    <w:rsid w:val="00234630"/>
    <w:rsid w:val="002404FB"/>
    <w:rsid w:val="00240D58"/>
    <w:rsid w:val="00250937"/>
    <w:rsid w:val="0025376A"/>
    <w:rsid w:val="00264348"/>
    <w:rsid w:val="002661BD"/>
    <w:rsid w:val="00266E07"/>
    <w:rsid w:val="00272115"/>
    <w:rsid w:val="00275F5A"/>
    <w:rsid w:val="00277720"/>
    <w:rsid w:val="002857BF"/>
    <w:rsid w:val="00292CDB"/>
    <w:rsid w:val="0029606C"/>
    <w:rsid w:val="002960EF"/>
    <w:rsid w:val="002B5D75"/>
    <w:rsid w:val="002C5485"/>
    <w:rsid w:val="002D54DF"/>
    <w:rsid w:val="002E1FF3"/>
    <w:rsid w:val="002E3243"/>
    <w:rsid w:val="002E7948"/>
    <w:rsid w:val="002F223E"/>
    <w:rsid w:val="002F249A"/>
    <w:rsid w:val="00303EC2"/>
    <w:rsid w:val="00306BD9"/>
    <w:rsid w:val="00332ED2"/>
    <w:rsid w:val="00353AA3"/>
    <w:rsid w:val="00353BDE"/>
    <w:rsid w:val="00353BE1"/>
    <w:rsid w:val="00356564"/>
    <w:rsid w:val="00377936"/>
    <w:rsid w:val="003879CF"/>
    <w:rsid w:val="003915A3"/>
    <w:rsid w:val="003A0363"/>
    <w:rsid w:val="003B7C94"/>
    <w:rsid w:val="003D7A26"/>
    <w:rsid w:val="003E47DC"/>
    <w:rsid w:val="003E5607"/>
    <w:rsid w:val="003F4F55"/>
    <w:rsid w:val="00401A4B"/>
    <w:rsid w:val="00402AC1"/>
    <w:rsid w:val="00403878"/>
    <w:rsid w:val="00405D19"/>
    <w:rsid w:val="00422C2B"/>
    <w:rsid w:val="004235D4"/>
    <w:rsid w:val="00425B72"/>
    <w:rsid w:val="00426AC7"/>
    <w:rsid w:val="00426C21"/>
    <w:rsid w:val="004411CD"/>
    <w:rsid w:val="004450A0"/>
    <w:rsid w:val="0045499B"/>
    <w:rsid w:val="00457540"/>
    <w:rsid w:val="0046110D"/>
    <w:rsid w:val="00475F68"/>
    <w:rsid w:val="00480AC7"/>
    <w:rsid w:val="00481994"/>
    <w:rsid w:val="004842CC"/>
    <w:rsid w:val="00496F0D"/>
    <w:rsid w:val="004A3359"/>
    <w:rsid w:val="004A44EC"/>
    <w:rsid w:val="004B1A55"/>
    <w:rsid w:val="004B5B55"/>
    <w:rsid w:val="004B701A"/>
    <w:rsid w:val="004C34F9"/>
    <w:rsid w:val="004D09C0"/>
    <w:rsid w:val="004D0E7D"/>
    <w:rsid w:val="004E010B"/>
    <w:rsid w:val="004E10A0"/>
    <w:rsid w:val="004E3975"/>
    <w:rsid w:val="00501C09"/>
    <w:rsid w:val="00511231"/>
    <w:rsid w:val="00512418"/>
    <w:rsid w:val="00515F88"/>
    <w:rsid w:val="00517408"/>
    <w:rsid w:val="00523F0B"/>
    <w:rsid w:val="005255E7"/>
    <w:rsid w:val="005274D7"/>
    <w:rsid w:val="005306D3"/>
    <w:rsid w:val="005331E3"/>
    <w:rsid w:val="0053469A"/>
    <w:rsid w:val="00567AFD"/>
    <w:rsid w:val="00580309"/>
    <w:rsid w:val="00584AA4"/>
    <w:rsid w:val="00585235"/>
    <w:rsid w:val="00585C07"/>
    <w:rsid w:val="005872ED"/>
    <w:rsid w:val="005903B6"/>
    <w:rsid w:val="005A2002"/>
    <w:rsid w:val="005A4036"/>
    <w:rsid w:val="005A5496"/>
    <w:rsid w:val="005B27AC"/>
    <w:rsid w:val="005C69DB"/>
    <w:rsid w:val="005D0A31"/>
    <w:rsid w:val="005D2BDF"/>
    <w:rsid w:val="005D3DBA"/>
    <w:rsid w:val="005E1E79"/>
    <w:rsid w:val="005E70C9"/>
    <w:rsid w:val="00614734"/>
    <w:rsid w:val="00622262"/>
    <w:rsid w:val="00622AF1"/>
    <w:rsid w:val="00626415"/>
    <w:rsid w:val="00626858"/>
    <w:rsid w:val="00644DB6"/>
    <w:rsid w:val="006543AE"/>
    <w:rsid w:val="0065745D"/>
    <w:rsid w:val="006721A2"/>
    <w:rsid w:val="00674881"/>
    <w:rsid w:val="00674BBD"/>
    <w:rsid w:val="00677CD8"/>
    <w:rsid w:val="00685F9C"/>
    <w:rsid w:val="00687DFB"/>
    <w:rsid w:val="00693BE3"/>
    <w:rsid w:val="006A1FCC"/>
    <w:rsid w:val="006A3831"/>
    <w:rsid w:val="006A4175"/>
    <w:rsid w:val="006A55CF"/>
    <w:rsid w:val="006A5648"/>
    <w:rsid w:val="006B080C"/>
    <w:rsid w:val="006C24E6"/>
    <w:rsid w:val="006C65CE"/>
    <w:rsid w:val="006C7683"/>
    <w:rsid w:val="006D45B9"/>
    <w:rsid w:val="006D620C"/>
    <w:rsid w:val="006D7E2C"/>
    <w:rsid w:val="006E3B76"/>
    <w:rsid w:val="006E48C2"/>
    <w:rsid w:val="006E4A4A"/>
    <w:rsid w:val="006F570B"/>
    <w:rsid w:val="007000B8"/>
    <w:rsid w:val="007108D0"/>
    <w:rsid w:val="00712C5B"/>
    <w:rsid w:val="00716E26"/>
    <w:rsid w:val="00721F12"/>
    <w:rsid w:val="00731AE9"/>
    <w:rsid w:val="007378C5"/>
    <w:rsid w:val="0075724D"/>
    <w:rsid w:val="00764B0A"/>
    <w:rsid w:val="00773D02"/>
    <w:rsid w:val="007763C1"/>
    <w:rsid w:val="00777E55"/>
    <w:rsid w:val="00786D2E"/>
    <w:rsid w:val="00792E15"/>
    <w:rsid w:val="00793F35"/>
    <w:rsid w:val="007975B6"/>
    <w:rsid w:val="00797DA3"/>
    <w:rsid w:val="007A2398"/>
    <w:rsid w:val="007A2D99"/>
    <w:rsid w:val="007A488F"/>
    <w:rsid w:val="007C771C"/>
    <w:rsid w:val="007D7582"/>
    <w:rsid w:val="007E4B99"/>
    <w:rsid w:val="007E5479"/>
    <w:rsid w:val="007F3148"/>
    <w:rsid w:val="007F61D0"/>
    <w:rsid w:val="007F7818"/>
    <w:rsid w:val="007F78A0"/>
    <w:rsid w:val="008000FA"/>
    <w:rsid w:val="00805214"/>
    <w:rsid w:val="00813E1A"/>
    <w:rsid w:val="0081763B"/>
    <w:rsid w:val="00817EB3"/>
    <w:rsid w:val="00824785"/>
    <w:rsid w:val="00825590"/>
    <w:rsid w:val="00835910"/>
    <w:rsid w:val="00847BA3"/>
    <w:rsid w:val="008704F2"/>
    <w:rsid w:val="00873997"/>
    <w:rsid w:val="00881A48"/>
    <w:rsid w:val="00891010"/>
    <w:rsid w:val="00893B2B"/>
    <w:rsid w:val="008B7424"/>
    <w:rsid w:val="008C063E"/>
    <w:rsid w:val="008C3F2D"/>
    <w:rsid w:val="008D1CEB"/>
    <w:rsid w:val="008D2A11"/>
    <w:rsid w:val="008D4CD3"/>
    <w:rsid w:val="008E12A6"/>
    <w:rsid w:val="008E54AC"/>
    <w:rsid w:val="008E72CB"/>
    <w:rsid w:val="008F5927"/>
    <w:rsid w:val="00900209"/>
    <w:rsid w:val="0090153C"/>
    <w:rsid w:val="00906F1B"/>
    <w:rsid w:val="00912BC4"/>
    <w:rsid w:val="009300F1"/>
    <w:rsid w:val="00954327"/>
    <w:rsid w:val="00957803"/>
    <w:rsid w:val="00962C0B"/>
    <w:rsid w:val="00967343"/>
    <w:rsid w:val="00972069"/>
    <w:rsid w:val="00987C29"/>
    <w:rsid w:val="0099258E"/>
    <w:rsid w:val="00993F43"/>
    <w:rsid w:val="0099521E"/>
    <w:rsid w:val="009959B4"/>
    <w:rsid w:val="009B0054"/>
    <w:rsid w:val="009B5FAA"/>
    <w:rsid w:val="009C2F8A"/>
    <w:rsid w:val="009C5B20"/>
    <w:rsid w:val="009C6567"/>
    <w:rsid w:val="009D0ADD"/>
    <w:rsid w:val="009D20FA"/>
    <w:rsid w:val="009E256D"/>
    <w:rsid w:val="009E2BCD"/>
    <w:rsid w:val="009E4C4E"/>
    <w:rsid w:val="009E7C57"/>
    <w:rsid w:val="009F28F7"/>
    <w:rsid w:val="009F3A2A"/>
    <w:rsid w:val="00A0099B"/>
    <w:rsid w:val="00A079E2"/>
    <w:rsid w:val="00A12CA2"/>
    <w:rsid w:val="00A17EF6"/>
    <w:rsid w:val="00A30C62"/>
    <w:rsid w:val="00A36A28"/>
    <w:rsid w:val="00A40709"/>
    <w:rsid w:val="00A423C2"/>
    <w:rsid w:val="00A426A0"/>
    <w:rsid w:val="00A51597"/>
    <w:rsid w:val="00A5640B"/>
    <w:rsid w:val="00A63D62"/>
    <w:rsid w:val="00A806F7"/>
    <w:rsid w:val="00A90773"/>
    <w:rsid w:val="00AA741E"/>
    <w:rsid w:val="00AD3234"/>
    <w:rsid w:val="00AD6CCD"/>
    <w:rsid w:val="00AE24A0"/>
    <w:rsid w:val="00AE2C06"/>
    <w:rsid w:val="00AE4A91"/>
    <w:rsid w:val="00AE4BB1"/>
    <w:rsid w:val="00AE6023"/>
    <w:rsid w:val="00B03B5C"/>
    <w:rsid w:val="00B04D71"/>
    <w:rsid w:val="00B06442"/>
    <w:rsid w:val="00B25512"/>
    <w:rsid w:val="00B27704"/>
    <w:rsid w:val="00B31776"/>
    <w:rsid w:val="00B33D56"/>
    <w:rsid w:val="00B375D0"/>
    <w:rsid w:val="00B40958"/>
    <w:rsid w:val="00B46FFF"/>
    <w:rsid w:val="00B54155"/>
    <w:rsid w:val="00B6460F"/>
    <w:rsid w:val="00B65C4C"/>
    <w:rsid w:val="00B65F23"/>
    <w:rsid w:val="00B66E0B"/>
    <w:rsid w:val="00B74CB2"/>
    <w:rsid w:val="00B762AF"/>
    <w:rsid w:val="00B81B89"/>
    <w:rsid w:val="00B86854"/>
    <w:rsid w:val="00B913D0"/>
    <w:rsid w:val="00B9331F"/>
    <w:rsid w:val="00BB0E0D"/>
    <w:rsid w:val="00BB1B73"/>
    <w:rsid w:val="00BB435A"/>
    <w:rsid w:val="00BC0A80"/>
    <w:rsid w:val="00BC23BB"/>
    <w:rsid w:val="00BC6060"/>
    <w:rsid w:val="00BC6759"/>
    <w:rsid w:val="00BC6FAA"/>
    <w:rsid w:val="00BD24F1"/>
    <w:rsid w:val="00BD2675"/>
    <w:rsid w:val="00BD6A6D"/>
    <w:rsid w:val="00BE315A"/>
    <w:rsid w:val="00BE46CE"/>
    <w:rsid w:val="00BF47FA"/>
    <w:rsid w:val="00C059FB"/>
    <w:rsid w:val="00C06A11"/>
    <w:rsid w:val="00C10718"/>
    <w:rsid w:val="00C172D7"/>
    <w:rsid w:val="00C17980"/>
    <w:rsid w:val="00C2300D"/>
    <w:rsid w:val="00C23648"/>
    <w:rsid w:val="00C25514"/>
    <w:rsid w:val="00C259E4"/>
    <w:rsid w:val="00C416D4"/>
    <w:rsid w:val="00C42972"/>
    <w:rsid w:val="00C43617"/>
    <w:rsid w:val="00C519B3"/>
    <w:rsid w:val="00C5341E"/>
    <w:rsid w:val="00C56B35"/>
    <w:rsid w:val="00C6420D"/>
    <w:rsid w:val="00C6561B"/>
    <w:rsid w:val="00C661B2"/>
    <w:rsid w:val="00C663CC"/>
    <w:rsid w:val="00C703FA"/>
    <w:rsid w:val="00C74F34"/>
    <w:rsid w:val="00C8138A"/>
    <w:rsid w:val="00CB132F"/>
    <w:rsid w:val="00CC0F7C"/>
    <w:rsid w:val="00CC7E2F"/>
    <w:rsid w:val="00CD0217"/>
    <w:rsid w:val="00CD1431"/>
    <w:rsid w:val="00CD2AFE"/>
    <w:rsid w:val="00CE31DF"/>
    <w:rsid w:val="00CF1D2F"/>
    <w:rsid w:val="00CF5854"/>
    <w:rsid w:val="00D0169F"/>
    <w:rsid w:val="00D02EBA"/>
    <w:rsid w:val="00D03730"/>
    <w:rsid w:val="00D04D60"/>
    <w:rsid w:val="00D13D00"/>
    <w:rsid w:val="00D308B8"/>
    <w:rsid w:val="00D32AE7"/>
    <w:rsid w:val="00D3429D"/>
    <w:rsid w:val="00D51C63"/>
    <w:rsid w:val="00D53CC7"/>
    <w:rsid w:val="00D66669"/>
    <w:rsid w:val="00D7149D"/>
    <w:rsid w:val="00D75518"/>
    <w:rsid w:val="00D84376"/>
    <w:rsid w:val="00D91FEA"/>
    <w:rsid w:val="00D92066"/>
    <w:rsid w:val="00D92FA4"/>
    <w:rsid w:val="00D9743E"/>
    <w:rsid w:val="00DA6370"/>
    <w:rsid w:val="00DB0C6D"/>
    <w:rsid w:val="00DC2754"/>
    <w:rsid w:val="00DC510C"/>
    <w:rsid w:val="00DC7922"/>
    <w:rsid w:val="00DD2D21"/>
    <w:rsid w:val="00DD5FAB"/>
    <w:rsid w:val="00DE5621"/>
    <w:rsid w:val="00DF5780"/>
    <w:rsid w:val="00E12961"/>
    <w:rsid w:val="00E2449D"/>
    <w:rsid w:val="00E26468"/>
    <w:rsid w:val="00E32985"/>
    <w:rsid w:val="00E34BD0"/>
    <w:rsid w:val="00E35611"/>
    <w:rsid w:val="00E450C2"/>
    <w:rsid w:val="00E52C00"/>
    <w:rsid w:val="00E55F9E"/>
    <w:rsid w:val="00E57273"/>
    <w:rsid w:val="00E64E9C"/>
    <w:rsid w:val="00E6554D"/>
    <w:rsid w:val="00E7006E"/>
    <w:rsid w:val="00E84D27"/>
    <w:rsid w:val="00E87E05"/>
    <w:rsid w:val="00E95820"/>
    <w:rsid w:val="00E97875"/>
    <w:rsid w:val="00EA337B"/>
    <w:rsid w:val="00EB470F"/>
    <w:rsid w:val="00EC39CF"/>
    <w:rsid w:val="00EC4F29"/>
    <w:rsid w:val="00ED0383"/>
    <w:rsid w:val="00ED1D42"/>
    <w:rsid w:val="00EE35EE"/>
    <w:rsid w:val="00EE50F4"/>
    <w:rsid w:val="00EE5201"/>
    <w:rsid w:val="00EE52EE"/>
    <w:rsid w:val="00EF16BE"/>
    <w:rsid w:val="00F0168A"/>
    <w:rsid w:val="00F02760"/>
    <w:rsid w:val="00F1018E"/>
    <w:rsid w:val="00F13009"/>
    <w:rsid w:val="00F22F57"/>
    <w:rsid w:val="00F35272"/>
    <w:rsid w:val="00F36279"/>
    <w:rsid w:val="00F43C90"/>
    <w:rsid w:val="00F443C2"/>
    <w:rsid w:val="00F6241F"/>
    <w:rsid w:val="00F668C4"/>
    <w:rsid w:val="00F72816"/>
    <w:rsid w:val="00F746A4"/>
    <w:rsid w:val="00F80253"/>
    <w:rsid w:val="00F925D3"/>
    <w:rsid w:val="00FA198C"/>
    <w:rsid w:val="00FA4DFE"/>
    <w:rsid w:val="00FA6893"/>
    <w:rsid w:val="00FB2AA0"/>
    <w:rsid w:val="00FC0227"/>
    <w:rsid w:val="00FC6831"/>
    <w:rsid w:val="00FC7D67"/>
    <w:rsid w:val="00FD06F6"/>
    <w:rsid w:val="00FD0A44"/>
    <w:rsid w:val="00FD18AA"/>
    <w:rsid w:val="00FD32D6"/>
    <w:rsid w:val="00FD34B0"/>
    <w:rsid w:val="00FE4B8B"/>
    <w:rsid w:val="00FF0A45"/>
    <w:rsid w:val="00FF4B7D"/>
    <w:rsid w:val="00FF4D72"/>
    <w:rsid w:val="00FF7335"/>
    <w:rsid w:val="00FF76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91360"/>
  <w15:docId w15:val="{A576B885-E98F-4069-9FF2-EBB918FC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61A"/>
    <w:pPr>
      <w:spacing w:before="120" w:after="120"/>
      <w:jc w:val="both"/>
    </w:pPr>
    <w:rPr>
      <w:sz w:val="22"/>
      <w:szCs w:val="24"/>
      <w:lang w:eastAsia="en-AU"/>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cs="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paragraph" w:styleId="ListParagraph">
    <w:name w:val="List Paragraph"/>
    <w:basedOn w:val="Normal"/>
    <w:uiPriority w:val="72"/>
    <w:rsid w:val="002323FF"/>
    <w:pPr>
      <w:ind w:left="720"/>
      <w:contextualSpacing/>
    </w:pPr>
  </w:style>
  <w:style w:type="character" w:styleId="Hyperlink">
    <w:name w:val="Hyperlink"/>
    <w:basedOn w:val="DefaultParagraphFont"/>
    <w:rsid w:val="00793F35"/>
    <w:rPr>
      <w:color w:val="0000FF" w:themeColor="hyperlink"/>
      <w:u w:val="single"/>
    </w:rPr>
  </w:style>
  <w:style w:type="character" w:styleId="FollowedHyperlink">
    <w:name w:val="FollowedHyperlink"/>
    <w:basedOn w:val="DefaultParagraphFont"/>
    <w:rsid w:val="00377936"/>
    <w:rPr>
      <w:color w:val="800080" w:themeColor="followedHyperlink"/>
      <w:u w:val="single"/>
    </w:rPr>
  </w:style>
  <w:style w:type="paragraph" w:styleId="NormalWeb">
    <w:name w:val="Normal (Web)"/>
    <w:basedOn w:val="Normal"/>
    <w:uiPriority w:val="99"/>
    <w:semiHidden/>
    <w:unhideWhenUsed/>
    <w:rsid w:val="00141DA8"/>
    <w:pPr>
      <w:spacing w:before="100" w:beforeAutospacing="1" w:after="100" w:afterAutospacing="1"/>
      <w:jc w:val="left"/>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1381">
      <w:bodyDiv w:val="1"/>
      <w:marLeft w:val="0"/>
      <w:marRight w:val="0"/>
      <w:marTop w:val="0"/>
      <w:marBottom w:val="0"/>
      <w:divBdr>
        <w:top w:val="none" w:sz="0" w:space="0" w:color="auto"/>
        <w:left w:val="none" w:sz="0" w:space="0" w:color="auto"/>
        <w:bottom w:val="none" w:sz="0" w:space="0" w:color="auto"/>
        <w:right w:val="none" w:sz="0" w:space="0" w:color="auto"/>
      </w:divBdr>
      <w:divsChild>
        <w:div w:id="1879199373">
          <w:marLeft w:val="0"/>
          <w:marRight w:val="0"/>
          <w:marTop w:val="0"/>
          <w:marBottom w:val="0"/>
          <w:divBdr>
            <w:top w:val="none" w:sz="0" w:space="0" w:color="auto"/>
            <w:left w:val="none" w:sz="0" w:space="0" w:color="auto"/>
            <w:bottom w:val="none" w:sz="0" w:space="0" w:color="auto"/>
            <w:right w:val="none" w:sz="0" w:space="0" w:color="auto"/>
          </w:divBdr>
          <w:divsChild>
            <w:div w:id="1203714819">
              <w:marLeft w:val="0"/>
              <w:marRight w:val="0"/>
              <w:marTop w:val="0"/>
              <w:marBottom w:val="0"/>
              <w:divBdr>
                <w:top w:val="none" w:sz="0" w:space="0" w:color="auto"/>
                <w:left w:val="none" w:sz="0" w:space="0" w:color="auto"/>
                <w:bottom w:val="none" w:sz="0" w:space="0" w:color="auto"/>
                <w:right w:val="none" w:sz="0" w:space="0" w:color="auto"/>
              </w:divBdr>
              <w:divsChild>
                <w:div w:id="1624195011">
                  <w:marLeft w:val="0"/>
                  <w:marRight w:val="0"/>
                  <w:marTop w:val="0"/>
                  <w:marBottom w:val="0"/>
                  <w:divBdr>
                    <w:top w:val="none" w:sz="0" w:space="0" w:color="auto"/>
                    <w:left w:val="none" w:sz="0" w:space="0" w:color="auto"/>
                    <w:bottom w:val="none" w:sz="0" w:space="0" w:color="auto"/>
                    <w:right w:val="none" w:sz="0" w:space="0" w:color="auto"/>
                  </w:divBdr>
                  <w:divsChild>
                    <w:div w:id="1056010917">
                      <w:marLeft w:val="0"/>
                      <w:marRight w:val="0"/>
                      <w:marTop w:val="0"/>
                      <w:marBottom w:val="0"/>
                      <w:divBdr>
                        <w:top w:val="none" w:sz="0" w:space="0" w:color="auto"/>
                        <w:left w:val="none" w:sz="0" w:space="0" w:color="auto"/>
                        <w:bottom w:val="none" w:sz="0" w:space="0" w:color="auto"/>
                        <w:right w:val="none" w:sz="0" w:space="0" w:color="auto"/>
                      </w:divBdr>
                      <w:divsChild>
                        <w:div w:id="524634482">
                          <w:marLeft w:val="0"/>
                          <w:marRight w:val="0"/>
                          <w:marTop w:val="0"/>
                          <w:marBottom w:val="0"/>
                          <w:divBdr>
                            <w:top w:val="none" w:sz="0" w:space="0" w:color="auto"/>
                            <w:left w:val="none" w:sz="0" w:space="0" w:color="auto"/>
                            <w:bottom w:val="none" w:sz="0" w:space="0" w:color="auto"/>
                            <w:right w:val="none" w:sz="0" w:space="0" w:color="auto"/>
                          </w:divBdr>
                          <w:divsChild>
                            <w:div w:id="13058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439501">
      <w:bodyDiv w:val="1"/>
      <w:marLeft w:val="0"/>
      <w:marRight w:val="0"/>
      <w:marTop w:val="0"/>
      <w:marBottom w:val="0"/>
      <w:divBdr>
        <w:top w:val="none" w:sz="0" w:space="0" w:color="auto"/>
        <w:left w:val="none" w:sz="0" w:space="0" w:color="auto"/>
        <w:bottom w:val="none" w:sz="0" w:space="0" w:color="auto"/>
        <w:right w:val="none" w:sz="0" w:space="0" w:color="auto"/>
      </w:divBdr>
    </w:div>
    <w:div w:id="939414052">
      <w:bodyDiv w:val="1"/>
      <w:marLeft w:val="0"/>
      <w:marRight w:val="0"/>
      <w:marTop w:val="0"/>
      <w:marBottom w:val="0"/>
      <w:divBdr>
        <w:top w:val="none" w:sz="0" w:space="0" w:color="auto"/>
        <w:left w:val="none" w:sz="0" w:space="0" w:color="auto"/>
        <w:bottom w:val="none" w:sz="0" w:space="0" w:color="auto"/>
        <w:right w:val="none" w:sz="0" w:space="0" w:color="auto"/>
      </w:divBdr>
    </w:div>
    <w:div w:id="1136987278">
      <w:bodyDiv w:val="1"/>
      <w:marLeft w:val="0"/>
      <w:marRight w:val="0"/>
      <w:marTop w:val="0"/>
      <w:marBottom w:val="0"/>
      <w:divBdr>
        <w:top w:val="none" w:sz="0" w:space="0" w:color="auto"/>
        <w:left w:val="none" w:sz="0" w:space="0" w:color="auto"/>
        <w:bottom w:val="none" w:sz="0" w:space="0" w:color="auto"/>
        <w:right w:val="none" w:sz="0" w:space="0" w:color="auto"/>
      </w:divBdr>
    </w:div>
    <w:div w:id="1223055800">
      <w:bodyDiv w:val="1"/>
      <w:marLeft w:val="0"/>
      <w:marRight w:val="0"/>
      <w:marTop w:val="0"/>
      <w:marBottom w:val="0"/>
      <w:divBdr>
        <w:top w:val="none" w:sz="0" w:space="0" w:color="auto"/>
        <w:left w:val="none" w:sz="0" w:space="0" w:color="auto"/>
        <w:bottom w:val="none" w:sz="0" w:space="0" w:color="auto"/>
        <w:right w:val="none" w:sz="0" w:space="0" w:color="auto"/>
      </w:divBdr>
    </w:div>
    <w:div w:id="1239823766">
      <w:bodyDiv w:val="1"/>
      <w:marLeft w:val="0"/>
      <w:marRight w:val="0"/>
      <w:marTop w:val="0"/>
      <w:marBottom w:val="0"/>
      <w:divBdr>
        <w:top w:val="none" w:sz="0" w:space="0" w:color="auto"/>
        <w:left w:val="none" w:sz="0" w:space="0" w:color="auto"/>
        <w:bottom w:val="none" w:sz="0" w:space="0" w:color="auto"/>
        <w:right w:val="none" w:sz="0" w:space="0" w:color="auto"/>
      </w:divBdr>
    </w:div>
    <w:div w:id="1552106822">
      <w:bodyDiv w:val="1"/>
      <w:marLeft w:val="0"/>
      <w:marRight w:val="0"/>
      <w:marTop w:val="0"/>
      <w:marBottom w:val="0"/>
      <w:divBdr>
        <w:top w:val="none" w:sz="0" w:space="0" w:color="auto"/>
        <w:left w:val="none" w:sz="0" w:space="0" w:color="auto"/>
        <w:bottom w:val="none" w:sz="0" w:space="0" w:color="auto"/>
        <w:right w:val="none" w:sz="0" w:space="0" w:color="auto"/>
      </w:divBdr>
      <w:divsChild>
        <w:div w:id="873998535">
          <w:marLeft w:val="0"/>
          <w:marRight w:val="0"/>
          <w:marTop w:val="0"/>
          <w:marBottom w:val="0"/>
          <w:divBdr>
            <w:top w:val="none" w:sz="0" w:space="0" w:color="auto"/>
            <w:left w:val="none" w:sz="0" w:space="0" w:color="auto"/>
            <w:bottom w:val="none" w:sz="0" w:space="0" w:color="auto"/>
            <w:right w:val="none" w:sz="0" w:space="0" w:color="auto"/>
          </w:divBdr>
          <w:divsChild>
            <w:div w:id="918368381">
              <w:marLeft w:val="0"/>
              <w:marRight w:val="0"/>
              <w:marTop w:val="0"/>
              <w:marBottom w:val="0"/>
              <w:divBdr>
                <w:top w:val="none" w:sz="0" w:space="0" w:color="auto"/>
                <w:left w:val="none" w:sz="0" w:space="0" w:color="auto"/>
                <w:bottom w:val="none" w:sz="0" w:space="0" w:color="auto"/>
                <w:right w:val="none" w:sz="0" w:space="0" w:color="auto"/>
              </w:divBdr>
              <w:divsChild>
                <w:div w:id="283200292">
                  <w:marLeft w:val="0"/>
                  <w:marRight w:val="0"/>
                  <w:marTop w:val="0"/>
                  <w:marBottom w:val="0"/>
                  <w:divBdr>
                    <w:top w:val="none" w:sz="0" w:space="0" w:color="auto"/>
                    <w:left w:val="none" w:sz="0" w:space="0" w:color="auto"/>
                    <w:bottom w:val="none" w:sz="0" w:space="0" w:color="auto"/>
                    <w:right w:val="none" w:sz="0" w:space="0" w:color="auto"/>
                  </w:divBdr>
                  <w:divsChild>
                    <w:div w:id="494998253">
                      <w:marLeft w:val="0"/>
                      <w:marRight w:val="0"/>
                      <w:marTop w:val="0"/>
                      <w:marBottom w:val="0"/>
                      <w:divBdr>
                        <w:top w:val="none" w:sz="0" w:space="0" w:color="auto"/>
                        <w:left w:val="none" w:sz="0" w:space="0" w:color="auto"/>
                        <w:bottom w:val="none" w:sz="0" w:space="0" w:color="auto"/>
                        <w:right w:val="none" w:sz="0" w:space="0" w:color="auto"/>
                      </w:divBdr>
                      <w:divsChild>
                        <w:div w:id="136070700">
                          <w:marLeft w:val="0"/>
                          <w:marRight w:val="0"/>
                          <w:marTop w:val="0"/>
                          <w:marBottom w:val="0"/>
                          <w:divBdr>
                            <w:top w:val="none" w:sz="0" w:space="0" w:color="auto"/>
                            <w:left w:val="none" w:sz="0" w:space="0" w:color="auto"/>
                            <w:bottom w:val="none" w:sz="0" w:space="0" w:color="auto"/>
                            <w:right w:val="none" w:sz="0" w:space="0" w:color="auto"/>
                          </w:divBdr>
                          <w:divsChild>
                            <w:div w:id="12812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7382">
      <w:bodyDiv w:val="1"/>
      <w:marLeft w:val="0"/>
      <w:marRight w:val="0"/>
      <w:marTop w:val="0"/>
      <w:marBottom w:val="0"/>
      <w:divBdr>
        <w:top w:val="none" w:sz="0" w:space="0" w:color="auto"/>
        <w:left w:val="none" w:sz="0" w:space="0" w:color="auto"/>
        <w:bottom w:val="none" w:sz="0" w:space="0" w:color="auto"/>
        <w:right w:val="none" w:sz="0" w:space="0" w:color="auto"/>
      </w:divBdr>
    </w:div>
    <w:div w:id="1686395719">
      <w:bodyDiv w:val="1"/>
      <w:marLeft w:val="0"/>
      <w:marRight w:val="0"/>
      <w:marTop w:val="0"/>
      <w:marBottom w:val="0"/>
      <w:divBdr>
        <w:top w:val="none" w:sz="0" w:space="0" w:color="auto"/>
        <w:left w:val="none" w:sz="0" w:space="0" w:color="auto"/>
        <w:bottom w:val="none" w:sz="0" w:space="0" w:color="auto"/>
        <w:right w:val="none" w:sz="0" w:space="0" w:color="auto"/>
      </w:divBdr>
      <w:divsChild>
        <w:div w:id="790513058">
          <w:marLeft w:val="0"/>
          <w:marRight w:val="0"/>
          <w:marTop w:val="0"/>
          <w:marBottom w:val="0"/>
          <w:divBdr>
            <w:top w:val="none" w:sz="0" w:space="0" w:color="auto"/>
            <w:left w:val="none" w:sz="0" w:space="0" w:color="auto"/>
            <w:bottom w:val="none" w:sz="0" w:space="0" w:color="auto"/>
            <w:right w:val="none" w:sz="0" w:space="0" w:color="auto"/>
          </w:divBdr>
          <w:divsChild>
            <w:div w:id="2030139462">
              <w:marLeft w:val="0"/>
              <w:marRight w:val="0"/>
              <w:marTop w:val="0"/>
              <w:marBottom w:val="0"/>
              <w:divBdr>
                <w:top w:val="none" w:sz="0" w:space="0" w:color="auto"/>
                <w:left w:val="none" w:sz="0" w:space="0" w:color="auto"/>
                <w:bottom w:val="none" w:sz="0" w:space="0" w:color="auto"/>
                <w:right w:val="none" w:sz="0" w:space="0" w:color="auto"/>
              </w:divBdr>
              <w:divsChild>
                <w:div w:id="534927623">
                  <w:marLeft w:val="0"/>
                  <w:marRight w:val="0"/>
                  <w:marTop w:val="0"/>
                  <w:marBottom w:val="0"/>
                  <w:divBdr>
                    <w:top w:val="none" w:sz="0" w:space="0" w:color="auto"/>
                    <w:left w:val="none" w:sz="0" w:space="0" w:color="auto"/>
                    <w:bottom w:val="none" w:sz="0" w:space="0" w:color="auto"/>
                    <w:right w:val="none" w:sz="0" w:space="0" w:color="auto"/>
                  </w:divBdr>
                  <w:divsChild>
                    <w:div w:id="1410930410">
                      <w:marLeft w:val="0"/>
                      <w:marRight w:val="0"/>
                      <w:marTop w:val="0"/>
                      <w:marBottom w:val="0"/>
                      <w:divBdr>
                        <w:top w:val="none" w:sz="0" w:space="0" w:color="auto"/>
                        <w:left w:val="none" w:sz="0" w:space="0" w:color="auto"/>
                        <w:bottom w:val="none" w:sz="0" w:space="0" w:color="auto"/>
                        <w:right w:val="none" w:sz="0" w:space="0" w:color="auto"/>
                      </w:divBdr>
                      <w:divsChild>
                        <w:div w:id="424571654">
                          <w:marLeft w:val="0"/>
                          <w:marRight w:val="0"/>
                          <w:marTop w:val="0"/>
                          <w:marBottom w:val="0"/>
                          <w:divBdr>
                            <w:top w:val="none" w:sz="0" w:space="0" w:color="auto"/>
                            <w:left w:val="none" w:sz="0" w:space="0" w:color="auto"/>
                            <w:bottom w:val="none" w:sz="0" w:space="0" w:color="auto"/>
                            <w:right w:val="none" w:sz="0" w:space="0" w:color="auto"/>
                          </w:divBdr>
                          <w:divsChild>
                            <w:div w:id="780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5673">
      <w:bodyDiv w:val="1"/>
      <w:marLeft w:val="0"/>
      <w:marRight w:val="0"/>
      <w:marTop w:val="0"/>
      <w:marBottom w:val="0"/>
      <w:divBdr>
        <w:top w:val="none" w:sz="0" w:space="0" w:color="auto"/>
        <w:left w:val="none" w:sz="0" w:space="0" w:color="auto"/>
        <w:bottom w:val="none" w:sz="0" w:space="0" w:color="auto"/>
        <w:right w:val="none" w:sz="0" w:space="0" w:color="auto"/>
      </w:divBdr>
      <w:divsChild>
        <w:div w:id="878083394">
          <w:marLeft w:val="0"/>
          <w:marRight w:val="0"/>
          <w:marTop w:val="0"/>
          <w:marBottom w:val="0"/>
          <w:divBdr>
            <w:top w:val="none" w:sz="0" w:space="0" w:color="auto"/>
            <w:left w:val="none" w:sz="0" w:space="0" w:color="auto"/>
            <w:bottom w:val="none" w:sz="0" w:space="0" w:color="auto"/>
            <w:right w:val="none" w:sz="0" w:space="0" w:color="auto"/>
          </w:divBdr>
          <w:divsChild>
            <w:div w:id="295453252">
              <w:marLeft w:val="0"/>
              <w:marRight w:val="0"/>
              <w:marTop w:val="0"/>
              <w:marBottom w:val="0"/>
              <w:divBdr>
                <w:top w:val="none" w:sz="0" w:space="0" w:color="auto"/>
                <w:left w:val="none" w:sz="0" w:space="0" w:color="auto"/>
                <w:bottom w:val="none" w:sz="0" w:space="0" w:color="auto"/>
                <w:right w:val="none" w:sz="0" w:space="0" w:color="auto"/>
              </w:divBdr>
              <w:divsChild>
                <w:div w:id="1568801509">
                  <w:marLeft w:val="0"/>
                  <w:marRight w:val="0"/>
                  <w:marTop w:val="0"/>
                  <w:marBottom w:val="0"/>
                  <w:divBdr>
                    <w:top w:val="none" w:sz="0" w:space="0" w:color="auto"/>
                    <w:left w:val="none" w:sz="0" w:space="0" w:color="auto"/>
                    <w:bottom w:val="none" w:sz="0" w:space="0" w:color="auto"/>
                    <w:right w:val="none" w:sz="0" w:space="0" w:color="auto"/>
                  </w:divBdr>
                  <w:divsChild>
                    <w:div w:id="1677538233">
                      <w:marLeft w:val="0"/>
                      <w:marRight w:val="0"/>
                      <w:marTop w:val="0"/>
                      <w:marBottom w:val="0"/>
                      <w:divBdr>
                        <w:top w:val="none" w:sz="0" w:space="0" w:color="auto"/>
                        <w:left w:val="none" w:sz="0" w:space="0" w:color="auto"/>
                        <w:bottom w:val="none" w:sz="0" w:space="0" w:color="auto"/>
                        <w:right w:val="none" w:sz="0" w:space="0" w:color="auto"/>
                      </w:divBdr>
                      <w:divsChild>
                        <w:div w:id="1279025104">
                          <w:marLeft w:val="0"/>
                          <w:marRight w:val="0"/>
                          <w:marTop w:val="0"/>
                          <w:marBottom w:val="0"/>
                          <w:divBdr>
                            <w:top w:val="none" w:sz="0" w:space="0" w:color="auto"/>
                            <w:left w:val="none" w:sz="0" w:space="0" w:color="auto"/>
                            <w:bottom w:val="none" w:sz="0" w:space="0" w:color="auto"/>
                            <w:right w:val="none" w:sz="0" w:space="0" w:color="auto"/>
                          </w:divBdr>
                          <w:divsChild>
                            <w:div w:id="2454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stralia.gov.au/about-australia/australian-story/natural-disasters" TargetMode="External"/><Relationship Id="rId13" Type="http://schemas.openxmlformats.org/officeDocument/2006/relationships/hyperlink" Target="http://www.fema.gov/media-library-data/1398878892102-5cbcaa727a635327277d834491210fec/CRS_Communites_May_1_2014.pdf" TargetMode="External"/><Relationship Id="rId18" Type="http://schemas.openxmlformats.org/officeDocument/2006/relationships/hyperlink" Target="https://www.ncdc.noaa.gov/data-acces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xasce.org/?page=TexasIRC" TargetMode="External"/><Relationship Id="rId7" Type="http://schemas.openxmlformats.org/officeDocument/2006/relationships/endnotes" Target="endnotes.xml"/><Relationship Id="rId12" Type="http://schemas.openxmlformats.org/officeDocument/2006/relationships/hyperlink" Target="http://www.fema.gov/media-library-data/1388146249060-7b2abfe6be10c67c4070ed42deaaadf1/THIRA%20Information%20Sheet_20131104.pdf" TargetMode="External"/><Relationship Id="rId17" Type="http://schemas.openxmlformats.org/officeDocument/2006/relationships/hyperlink" Target="https://www.floodsmart.gov/floodsmart/pages/crs/community_rating_system.js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ado.org/wp-content/uploads/2014/09/NFIP-CRS-Intro-and-RDO-Role.pdf" TargetMode="External"/><Relationship Id="rId20" Type="http://schemas.openxmlformats.org/officeDocument/2006/relationships/hyperlink" Target="http://www.twdb.texas.gov/flood/resources/doc/2008_Texas_Quick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ma.gov/pdf/help/fr02-432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amug.edu/ikedike/" TargetMode="External"/><Relationship Id="rId23" Type="http://schemas.openxmlformats.org/officeDocument/2006/relationships/header" Target="header1.xml"/><Relationship Id="rId10" Type="http://schemas.openxmlformats.org/officeDocument/2006/relationships/hyperlink" Target="http://www.cityofgalveston.org/198/Hazard-Mitigation-Plan" TargetMode="External"/><Relationship Id="rId19" Type="http://schemas.openxmlformats.org/officeDocument/2006/relationships/hyperlink" Target="http://www.txdps.state.tx.us/dem/Mitigation/txHazMitPlan.pdf" TargetMode="External"/><Relationship Id="rId4" Type="http://schemas.openxmlformats.org/officeDocument/2006/relationships/settings" Target="settings.xml"/><Relationship Id="rId9" Type="http://schemas.openxmlformats.org/officeDocument/2006/relationships/hyperlink" Target="http://www.citylab.com/weather/2015/05/texas-is-paying-the-price-for-its-lack-of-flood-infrastructure/394115/" TargetMode="External"/><Relationship Id="rId14" Type="http://schemas.openxmlformats.org/officeDocument/2006/relationships/hyperlink" Target="http://www.tamug.edu/ikedike/presentations/IkeDikeVideo.htm" TargetMode="External"/><Relationship Id="rId22" Type="http://schemas.openxmlformats.org/officeDocument/2006/relationships/hyperlink" Target="http://www.australia.gov.au/about-australia/australian-story/natural-disaster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ernille.Christensen@uts.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869CAC-FFAD-41CA-8AB0-EA24D0098141}">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B21E27-585D-4D5C-9B4F-B86A6068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0</TotalTime>
  <Pages>10</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39554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Pernille Christensen</cp:lastModifiedBy>
  <cp:revision>2</cp:revision>
  <cp:lastPrinted>2015-09-17T08:29:00Z</cp:lastPrinted>
  <dcterms:created xsi:type="dcterms:W3CDTF">2015-09-22T10:39:00Z</dcterms:created>
  <dcterms:modified xsi:type="dcterms:W3CDTF">2015-09-22T10:39:00Z</dcterms:modified>
</cp:coreProperties>
</file>