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86B0E" w14:textId="07B02C5B" w:rsidR="001A788D" w:rsidRPr="00B66E62" w:rsidRDefault="006666B0"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Title</w:t>
      </w:r>
      <w:r w:rsidR="004110E2" w:rsidRPr="00B66E62">
        <w:rPr>
          <w:rFonts w:ascii="Times New Roman" w:hAnsi="Times New Roman" w:cs="Times New Roman"/>
          <w:b/>
          <w:sz w:val="24"/>
          <w:szCs w:val="24"/>
        </w:rPr>
        <w:t xml:space="preserve">: Self-reported </w:t>
      </w:r>
      <w:r w:rsidR="00E8242B" w:rsidRPr="00B66E62">
        <w:rPr>
          <w:rFonts w:ascii="Times New Roman" w:hAnsi="Times New Roman" w:cs="Times New Roman"/>
          <w:b/>
          <w:sz w:val="24"/>
          <w:szCs w:val="24"/>
        </w:rPr>
        <w:t xml:space="preserve">confidence in </w:t>
      </w:r>
      <w:r w:rsidR="004110E2" w:rsidRPr="00B66E62">
        <w:rPr>
          <w:rFonts w:ascii="Times New Roman" w:hAnsi="Times New Roman" w:cs="Times New Roman"/>
          <w:b/>
          <w:sz w:val="24"/>
          <w:szCs w:val="24"/>
        </w:rPr>
        <w:t xml:space="preserve">patient safety </w:t>
      </w:r>
      <w:r w:rsidR="00BB1817" w:rsidRPr="00B66E62">
        <w:rPr>
          <w:rFonts w:ascii="Times New Roman" w:hAnsi="Times New Roman" w:cs="Times New Roman"/>
          <w:b/>
          <w:sz w:val="24"/>
          <w:szCs w:val="24"/>
        </w:rPr>
        <w:t xml:space="preserve">knowledge </w:t>
      </w:r>
      <w:r w:rsidR="004110E2" w:rsidRPr="00B66E62">
        <w:rPr>
          <w:rFonts w:ascii="Times New Roman" w:hAnsi="Times New Roman" w:cs="Times New Roman"/>
          <w:b/>
          <w:sz w:val="24"/>
          <w:szCs w:val="24"/>
        </w:rPr>
        <w:t xml:space="preserve">among Australian </w:t>
      </w:r>
      <w:r w:rsidR="001E5DC5" w:rsidRPr="00B66E62">
        <w:rPr>
          <w:rFonts w:ascii="Times New Roman" w:hAnsi="Times New Roman" w:cs="Times New Roman"/>
          <w:b/>
          <w:sz w:val="24"/>
          <w:szCs w:val="24"/>
        </w:rPr>
        <w:t xml:space="preserve">undergraduate </w:t>
      </w:r>
      <w:r w:rsidR="004110E2" w:rsidRPr="00B66E62">
        <w:rPr>
          <w:rFonts w:ascii="Times New Roman" w:hAnsi="Times New Roman" w:cs="Times New Roman"/>
          <w:b/>
          <w:sz w:val="24"/>
          <w:szCs w:val="24"/>
        </w:rPr>
        <w:t xml:space="preserve">nursing students: a </w:t>
      </w:r>
      <w:r w:rsidR="001E5DC5" w:rsidRPr="00B66E62">
        <w:rPr>
          <w:rFonts w:ascii="Times New Roman" w:hAnsi="Times New Roman" w:cs="Times New Roman"/>
          <w:b/>
          <w:sz w:val="24"/>
          <w:szCs w:val="24"/>
        </w:rPr>
        <w:t xml:space="preserve">multi-site </w:t>
      </w:r>
      <w:r w:rsidR="004110E2" w:rsidRPr="00B66E62">
        <w:rPr>
          <w:rFonts w:ascii="Times New Roman" w:hAnsi="Times New Roman" w:cs="Times New Roman"/>
          <w:b/>
          <w:sz w:val="24"/>
          <w:szCs w:val="24"/>
        </w:rPr>
        <w:t>cross-sectional survey</w:t>
      </w:r>
      <w:r w:rsidR="002B2631" w:rsidRPr="00B66E62">
        <w:rPr>
          <w:rFonts w:ascii="Times New Roman" w:hAnsi="Times New Roman" w:cs="Times New Roman"/>
          <w:b/>
          <w:sz w:val="24"/>
          <w:szCs w:val="24"/>
        </w:rPr>
        <w:t xml:space="preserve"> study</w:t>
      </w:r>
    </w:p>
    <w:p w14:paraId="45DA3AAE" w14:textId="77777777" w:rsidR="00B9021E" w:rsidRPr="00B66E62" w:rsidRDefault="00B9021E" w:rsidP="00A55745">
      <w:pPr>
        <w:spacing w:line="480" w:lineRule="auto"/>
        <w:rPr>
          <w:rFonts w:ascii="Times New Roman" w:hAnsi="Times New Roman" w:cs="Times New Roman"/>
          <w:sz w:val="24"/>
          <w:szCs w:val="24"/>
        </w:rPr>
      </w:pPr>
    </w:p>
    <w:p w14:paraId="6009F05D" w14:textId="77777777" w:rsidR="006666B0" w:rsidRPr="00B66E62" w:rsidRDefault="006666B0"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Abstract</w:t>
      </w:r>
    </w:p>
    <w:p w14:paraId="1870FC32" w14:textId="77777777" w:rsidR="00833211" w:rsidRPr="00B66E62" w:rsidRDefault="00833211" w:rsidP="00833211">
      <w:pPr>
        <w:spacing w:after="120" w:line="480" w:lineRule="auto"/>
        <w:rPr>
          <w:rFonts w:ascii="Times New Roman" w:hAnsi="Times New Roman" w:cs="Times New Roman"/>
          <w:i/>
          <w:sz w:val="24"/>
          <w:szCs w:val="24"/>
        </w:rPr>
      </w:pPr>
      <w:r w:rsidRPr="00B66E62">
        <w:rPr>
          <w:rFonts w:ascii="Times New Roman" w:hAnsi="Times New Roman" w:cs="Times New Roman"/>
          <w:i/>
          <w:sz w:val="24"/>
          <w:szCs w:val="24"/>
        </w:rPr>
        <w:t>Background</w:t>
      </w:r>
    </w:p>
    <w:p w14:paraId="4187BDDD" w14:textId="5D80AB3A" w:rsidR="00833211" w:rsidRPr="00B66E62" w:rsidRDefault="00833211" w:rsidP="00833211">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Patient safety is critical to the provision of quality health care and thus </w:t>
      </w:r>
      <w:r w:rsidR="00354B67" w:rsidRPr="00B66E62">
        <w:rPr>
          <w:rFonts w:ascii="Times New Roman" w:hAnsi="Times New Roman" w:cs="Times New Roman"/>
          <w:sz w:val="24"/>
          <w:szCs w:val="24"/>
        </w:rPr>
        <w:t>is an essential component of</w:t>
      </w:r>
      <w:r w:rsidRPr="00B66E62">
        <w:rPr>
          <w:rFonts w:ascii="Times New Roman" w:hAnsi="Times New Roman" w:cs="Times New Roman"/>
          <w:sz w:val="24"/>
          <w:szCs w:val="24"/>
        </w:rPr>
        <w:t xml:space="preserve"> nurse education. </w:t>
      </w:r>
    </w:p>
    <w:p w14:paraId="00C0829F" w14:textId="2C35BA8C" w:rsidR="004B53AE" w:rsidRPr="00B66E62" w:rsidRDefault="00F84087" w:rsidP="00A55745">
      <w:pPr>
        <w:spacing w:line="480" w:lineRule="auto"/>
        <w:rPr>
          <w:rFonts w:ascii="Times New Roman" w:hAnsi="Times New Roman" w:cs="Times New Roman"/>
          <w:i/>
          <w:sz w:val="24"/>
          <w:szCs w:val="24"/>
        </w:rPr>
      </w:pPr>
      <w:r w:rsidRPr="00B66E62">
        <w:rPr>
          <w:rFonts w:ascii="Times New Roman" w:hAnsi="Times New Roman" w:cs="Times New Roman"/>
          <w:i/>
          <w:sz w:val="24"/>
          <w:szCs w:val="24"/>
        </w:rPr>
        <w:t>Objective</w:t>
      </w:r>
    </w:p>
    <w:p w14:paraId="20194A55" w14:textId="1CA3366D" w:rsidR="004B53AE" w:rsidRPr="00B66E62" w:rsidRDefault="004B53AE" w:rsidP="007B5BA6">
      <w:pPr>
        <w:autoSpaceDE w:val="0"/>
        <w:autoSpaceDN w:val="0"/>
        <w:adjustRightInd w:val="0"/>
        <w:spacing w:after="120" w:line="480" w:lineRule="auto"/>
        <w:rPr>
          <w:rFonts w:ascii="Times New Roman" w:hAnsi="Times New Roman" w:cs="Times New Roman"/>
          <w:sz w:val="24"/>
          <w:szCs w:val="24"/>
        </w:rPr>
      </w:pPr>
      <w:r w:rsidRPr="00B66E62">
        <w:rPr>
          <w:rFonts w:ascii="Times New Roman" w:hAnsi="Times New Roman" w:cs="Times New Roman"/>
          <w:sz w:val="24"/>
          <w:szCs w:val="24"/>
        </w:rPr>
        <w:t xml:space="preserve">To </w:t>
      </w:r>
      <w:r w:rsidR="007B5BA6" w:rsidRPr="00B66E62">
        <w:rPr>
          <w:rFonts w:ascii="Times New Roman" w:hAnsi="Times New Roman" w:cs="Times New Roman"/>
          <w:sz w:val="24"/>
          <w:szCs w:val="24"/>
        </w:rPr>
        <w:t>describe</w:t>
      </w:r>
      <w:r w:rsidRPr="00B66E62">
        <w:rPr>
          <w:rFonts w:ascii="Times New Roman" w:hAnsi="Times New Roman" w:cs="Times New Roman"/>
          <w:sz w:val="24"/>
          <w:szCs w:val="24"/>
        </w:rPr>
        <w:t xml:space="preserve"> </w:t>
      </w:r>
      <w:r w:rsidR="002B2631" w:rsidRPr="00B66E62">
        <w:rPr>
          <w:rFonts w:ascii="Times New Roman" w:hAnsi="Times New Roman" w:cs="Times New Roman"/>
          <w:sz w:val="24"/>
          <w:szCs w:val="24"/>
        </w:rPr>
        <w:t>first, second and third year Australian undergraduate</w:t>
      </w:r>
      <w:r w:rsidRPr="00B66E62">
        <w:rPr>
          <w:rFonts w:ascii="Times New Roman" w:hAnsi="Times New Roman" w:cs="Times New Roman"/>
          <w:sz w:val="24"/>
          <w:szCs w:val="24"/>
        </w:rPr>
        <w:t xml:space="preserve"> nursing students’ </w:t>
      </w:r>
      <w:r w:rsidR="00E8242B" w:rsidRPr="00B66E62">
        <w:rPr>
          <w:rFonts w:ascii="Times New Roman" w:hAnsi="Times New Roman" w:cs="Times New Roman"/>
          <w:sz w:val="24"/>
          <w:szCs w:val="24"/>
        </w:rPr>
        <w:t xml:space="preserve">confidence in </w:t>
      </w:r>
      <w:r w:rsidRPr="00B66E62">
        <w:rPr>
          <w:rFonts w:ascii="Times New Roman" w:hAnsi="Times New Roman" w:cs="Times New Roman"/>
          <w:sz w:val="24"/>
          <w:szCs w:val="24"/>
        </w:rPr>
        <w:t xml:space="preserve">patient safety </w:t>
      </w:r>
      <w:r w:rsidR="00BB1817" w:rsidRPr="00B66E62">
        <w:rPr>
          <w:rFonts w:ascii="Times New Roman" w:hAnsi="Times New Roman" w:cs="Times New Roman"/>
          <w:sz w:val="24"/>
          <w:szCs w:val="24"/>
        </w:rPr>
        <w:t xml:space="preserve">knowledge </w:t>
      </w:r>
      <w:r w:rsidRPr="00B66E62">
        <w:rPr>
          <w:rFonts w:ascii="Times New Roman" w:hAnsi="Times New Roman" w:cs="Times New Roman"/>
          <w:sz w:val="24"/>
          <w:szCs w:val="24"/>
        </w:rPr>
        <w:t xml:space="preserve">acquired in the classroom and clinical settings across the three years of the </w:t>
      </w:r>
      <w:r w:rsidR="007100A7" w:rsidRPr="00B66E62">
        <w:rPr>
          <w:rFonts w:ascii="Times New Roman" w:hAnsi="Times New Roman" w:cs="Times New Roman"/>
          <w:sz w:val="24"/>
          <w:szCs w:val="24"/>
        </w:rPr>
        <w:t xml:space="preserve">undergraduate </w:t>
      </w:r>
      <w:r w:rsidRPr="00B66E62">
        <w:rPr>
          <w:rFonts w:ascii="Times New Roman" w:hAnsi="Times New Roman" w:cs="Times New Roman"/>
          <w:sz w:val="24"/>
          <w:szCs w:val="24"/>
        </w:rPr>
        <w:t xml:space="preserve">nursing program. </w:t>
      </w:r>
    </w:p>
    <w:p w14:paraId="24215CDE" w14:textId="72E557F2" w:rsidR="00A677A8" w:rsidRPr="00B66E62" w:rsidRDefault="00A677A8" w:rsidP="00A55745">
      <w:pPr>
        <w:spacing w:line="480" w:lineRule="auto"/>
        <w:rPr>
          <w:rFonts w:ascii="Times New Roman" w:hAnsi="Times New Roman" w:cs="Times New Roman"/>
          <w:i/>
          <w:sz w:val="24"/>
          <w:szCs w:val="24"/>
        </w:rPr>
      </w:pPr>
      <w:r w:rsidRPr="00B66E62">
        <w:rPr>
          <w:rFonts w:ascii="Times New Roman" w:hAnsi="Times New Roman" w:cs="Times New Roman"/>
          <w:i/>
          <w:sz w:val="24"/>
          <w:szCs w:val="24"/>
        </w:rPr>
        <w:t>Design</w:t>
      </w:r>
    </w:p>
    <w:p w14:paraId="636BDC91" w14:textId="556125E7" w:rsidR="00A677A8" w:rsidRPr="00B66E62" w:rsidRDefault="00A677A8"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A cross-sectional online survey conducted in 2015.</w:t>
      </w:r>
    </w:p>
    <w:p w14:paraId="756CF11C" w14:textId="77777777" w:rsidR="000D3466" w:rsidRPr="00B66E62" w:rsidRDefault="000D3466" w:rsidP="000D3466">
      <w:pPr>
        <w:spacing w:line="480" w:lineRule="auto"/>
        <w:rPr>
          <w:rFonts w:ascii="Times New Roman" w:hAnsi="Times New Roman" w:cs="Times New Roman"/>
          <w:i/>
          <w:sz w:val="24"/>
          <w:szCs w:val="24"/>
        </w:rPr>
      </w:pPr>
      <w:r w:rsidRPr="00B66E62">
        <w:rPr>
          <w:rFonts w:ascii="Times New Roman" w:hAnsi="Times New Roman" w:cs="Times New Roman"/>
          <w:i/>
          <w:sz w:val="24"/>
          <w:szCs w:val="24"/>
        </w:rPr>
        <w:t>Setting</w:t>
      </w:r>
    </w:p>
    <w:p w14:paraId="6F6AC704" w14:textId="77777777" w:rsidR="000D3466" w:rsidRPr="00B66E62" w:rsidRDefault="000D3466" w:rsidP="000D3466">
      <w:pPr>
        <w:spacing w:line="480" w:lineRule="auto"/>
        <w:rPr>
          <w:rFonts w:ascii="Times New Roman" w:hAnsi="Times New Roman" w:cs="Times New Roman"/>
          <w:sz w:val="24"/>
          <w:szCs w:val="24"/>
        </w:rPr>
      </w:pPr>
      <w:r w:rsidRPr="00B66E62">
        <w:rPr>
          <w:rFonts w:ascii="Times New Roman" w:hAnsi="Times New Roman" w:cs="Times New Roman"/>
          <w:sz w:val="24"/>
          <w:szCs w:val="24"/>
        </w:rPr>
        <w:t>Seven Australian universities with campuses across three states (Queensland, New South Wales, South Australia).</w:t>
      </w:r>
    </w:p>
    <w:p w14:paraId="4B97DABF" w14:textId="77777777" w:rsidR="00621FB7" w:rsidRPr="00B66E62" w:rsidRDefault="00621FB7" w:rsidP="00621FB7">
      <w:pPr>
        <w:spacing w:line="480" w:lineRule="auto"/>
        <w:rPr>
          <w:rFonts w:ascii="Times New Roman" w:hAnsi="Times New Roman" w:cs="Times New Roman"/>
          <w:i/>
          <w:sz w:val="24"/>
          <w:szCs w:val="24"/>
        </w:rPr>
      </w:pPr>
      <w:r w:rsidRPr="00B66E62">
        <w:rPr>
          <w:rFonts w:ascii="Times New Roman" w:hAnsi="Times New Roman" w:cs="Times New Roman"/>
          <w:i/>
          <w:sz w:val="24"/>
          <w:szCs w:val="24"/>
        </w:rPr>
        <w:t>Participants</w:t>
      </w:r>
    </w:p>
    <w:p w14:paraId="1BAFBD10" w14:textId="58C40926" w:rsidR="00621FB7" w:rsidRPr="00B66E62" w:rsidRDefault="00621FB7" w:rsidP="00621FB7">
      <w:pPr>
        <w:spacing w:line="480" w:lineRule="auto"/>
        <w:rPr>
          <w:rFonts w:ascii="Times New Roman" w:hAnsi="Times New Roman" w:cs="Times New Roman"/>
          <w:b/>
          <w:sz w:val="24"/>
          <w:szCs w:val="24"/>
        </w:rPr>
      </w:pPr>
      <w:r w:rsidRPr="00B66E62">
        <w:rPr>
          <w:rFonts w:ascii="Times New Roman" w:hAnsi="Times New Roman" w:cs="Times New Roman"/>
          <w:sz w:val="24"/>
          <w:szCs w:val="24"/>
        </w:rPr>
        <w:t>A total of 131</w:t>
      </w:r>
      <w:r w:rsidR="009C64E6" w:rsidRPr="00B66E62">
        <w:rPr>
          <w:rFonts w:ascii="Times New Roman" w:hAnsi="Times New Roman" w:cs="Times New Roman"/>
          <w:sz w:val="24"/>
          <w:szCs w:val="24"/>
        </w:rPr>
        <w:t>9</w:t>
      </w:r>
      <w:r w:rsidRPr="00B66E62">
        <w:rPr>
          <w:rFonts w:ascii="Times New Roman" w:hAnsi="Times New Roman" w:cs="Times New Roman"/>
          <w:sz w:val="24"/>
          <w:szCs w:val="24"/>
        </w:rPr>
        <w:t xml:space="preserve"> Australian </w:t>
      </w:r>
      <w:r w:rsidR="00F84087" w:rsidRPr="00B66E62">
        <w:rPr>
          <w:rFonts w:ascii="Times New Roman" w:hAnsi="Times New Roman" w:cs="Times New Roman"/>
          <w:sz w:val="24"/>
          <w:szCs w:val="24"/>
        </w:rPr>
        <w:t xml:space="preserve">undergraduate </w:t>
      </w:r>
      <w:r w:rsidRPr="00B66E62">
        <w:rPr>
          <w:rFonts w:ascii="Times New Roman" w:hAnsi="Times New Roman" w:cs="Times New Roman"/>
          <w:sz w:val="24"/>
          <w:szCs w:val="24"/>
        </w:rPr>
        <w:t>nursing students</w:t>
      </w:r>
      <w:r w:rsidR="00F84087" w:rsidRPr="00B66E62">
        <w:rPr>
          <w:rFonts w:ascii="Times New Roman" w:hAnsi="Times New Roman" w:cs="Times New Roman"/>
          <w:sz w:val="24"/>
          <w:szCs w:val="24"/>
        </w:rPr>
        <w:t>.</w:t>
      </w:r>
    </w:p>
    <w:p w14:paraId="52EAF730" w14:textId="77777777" w:rsidR="001E321A" w:rsidRPr="00B66E62" w:rsidRDefault="001E321A" w:rsidP="00A55745">
      <w:pPr>
        <w:spacing w:line="480" w:lineRule="auto"/>
        <w:rPr>
          <w:rFonts w:ascii="Times New Roman" w:hAnsi="Times New Roman" w:cs="Times New Roman"/>
          <w:i/>
          <w:sz w:val="24"/>
          <w:szCs w:val="24"/>
        </w:rPr>
      </w:pPr>
      <w:r w:rsidRPr="00B66E62">
        <w:rPr>
          <w:rFonts w:ascii="Times New Roman" w:hAnsi="Times New Roman" w:cs="Times New Roman"/>
          <w:i/>
          <w:sz w:val="24"/>
          <w:szCs w:val="24"/>
        </w:rPr>
        <w:t>Methods</w:t>
      </w:r>
    </w:p>
    <w:p w14:paraId="1B19BEDC" w14:textId="198A8098" w:rsidR="006666B0" w:rsidRPr="00B66E62" w:rsidRDefault="00A677A8"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Participants were surveyed using </w:t>
      </w:r>
      <w:r w:rsidR="00466B44" w:rsidRPr="00B66E62">
        <w:rPr>
          <w:rFonts w:ascii="Times New Roman" w:hAnsi="Times New Roman" w:cs="Times New Roman"/>
          <w:sz w:val="24"/>
          <w:szCs w:val="24"/>
        </w:rPr>
        <w:t xml:space="preserve">the </w:t>
      </w:r>
      <w:r w:rsidR="00CD49EE" w:rsidRPr="00B66E62">
        <w:rPr>
          <w:rFonts w:ascii="Times New Roman" w:hAnsi="Times New Roman" w:cs="Times New Roman"/>
          <w:sz w:val="24"/>
          <w:szCs w:val="24"/>
        </w:rPr>
        <w:t>3</w:t>
      </w:r>
      <w:r w:rsidR="00C500DA" w:rsidRPr="00B66E62">
        <w:rPr>
          <w:rFonts w:ascii="Times New Roman" w:hAnsi="Times New Roman" w:cs="Times New Roman"/>
          <w:sz w:val="24"/>
          <w:szCs w:val="24"/>
        </w:rPr>
        <w:t>1</w:t>
      </w:r>
      <w:r w:rsidR="00D444C4" w:rsidRPr="00B66E62">
        <w:rPr>
          <w:rFonts w:ascii="Times New Roman" w:hAnsi="Times New Roman" w:cs="Times New Roman"/>
          <w:sz w:val="24"/>
          <w:szCs w:val="24"/>
        </w:rPr>
        <w:t>-</w:t>
      </w:r>
      <w:r w:rsidR="00C500DA" w:rsidRPr="00B66E62">
        <w:rPr>
          <w:rFonts w:ascii="Times New Roman" w:hAnsi="Times New Roman" w:cs="Times New Roman"/>
          <w:sz w:val="24"/>
          <w:szCs w:val="24"/>
        </w:rPr>
        <w:t xml:space="preserve">item </w:t>
      </w:r>
      <w:r w:rsidR="001E321A" w:rsidRPr="00B66E62">
        <w:rPr>
          <w:rFonts w:ascii="Times New Roman" w:hAnsi="Times New Roman" w:cs="Times New Roman"/>
          <w:sz w:val="24"/>
          <w:szCs w:val="24"/>
        </w:rPr>
        <w:t xml:space="preserve">Health Professional Education in Patient Safety Survey </w:t>
      </w:r>
      <w:r w:rsidR="0078182C" w:rsidRPr="00B66E62">
        <w:rPr>
          <w:rFonts w:ascii="Times New Roman" w:hAnsi="Times New Roman" w:cs="Times New Roman"/>
          <w:sz w:val="24"/>
          <w:szCs w:val="24"/>
        </w:rPr>
        <w:t>(H-PEPSS)</w:t>
      </w:r>
      <w:r w:rsidRPr="00B66E62">
        <w:rPr>
          <w:rFonts w:ascii="Times New Roman" w:hAnsi="Times New Roman" w:cs="Times New Roman"/>
          <w:sz w:val="24"/>
          <w:szCs w:val="24"/>
        </w:rPr>
        <w:t>.</w:t>
      </w:r>
      <w:r w:rsidR="0078182C" w:rsidRPr="00B66E62">
        <w:rPr>
          <w:rFonts w:ascii="Times New Roman" w:hAnsi="Times New Roman" w:cs="Times New Roman"/>
          <w:sz w:val="24"/>
          <w:szCs w:val="24"/>
        </w:rPr>
        <w:t xml:space="preserve"> </w:t>
      </w:r>
      <w:r w:rsidR="00D431AC" w:rsidRPr="00B66E62">
        <w:rPr>
          <w:rFonts w:ascii="Times New Roman" w:hAnsi="Times New Roman" w:cs="Times New Roman"/>
          <w:sz w:val="24"/>
          <w:szCs w:val="24"/>
        </w:rPr>
        <w:t xml:space="preserve">Descriptive statistics summarised the sample and survey responses. </w:t>
      </w:r>
      <w:r w:rsidR="0023763E" w:rsidRPr="00B66E62">
        <w:rPr>
          <w:rFonts w:ascii="Times New Roman" w:hAnsi="Times New Roman" w:cs="Times New Roman"/>
          <w:sz w:val="24"/>
          <w:szCs w:val="24"/>
        </w:rPr>
        <w:lastRenderedPageBreak/>
        <w:t>P</w:t>
      </w:r>
      <w:r w:rsidR="007A228C" w:rsidRPr="00B66E62">
        <w:rPr>
          <w:rFonts w:ascii="Times New Roman" w:hAnsi="Times New Roman" w:cs="Times New Roman"/>
          <w:sz w:val="24"/>
          <w:szCs w:val="24"/>
        </w:rPr>
        <w:t>aired t-tests,</w:t>
      </w:r>
      <w:r w:rsidR="00D431AC" w:rsidRPr="00B66E62">
        <w:rPr>
          <w:rFonts w:ascii="Times New Roman" w:hAnsi="Times New Roman" w:cs="Times New Roman"/>
          <w:sz w:val="24"/>
          <w:szCs w:val="24"/>
        </w:rPr>
        <w:t xml:space="preserve"> ANOVA </w:t>
      </w:r>
      <w:r w:rsidR="007A228C" w:rsidRPr="00B66E62">
        <w:rPr>
          <w:rFonts w:ascii="Times New Roman" w:hAnsi="Times New Roman" w:cs="Times New Roman"/>
          <w:sz w:val="24"/>
          <w:szCs w:val="24"/>
        </w:rPr>
        <w:t xml:space="preserve">and generalized-estimating-equations models </w:t>
      </w:r>
      <w:r w:rsidR="00D431AC" w:rsidRPr="00B66E62">
        <w:rPr>
          <w:rFonts w:ascii="Times New Roman" w:hAnsi="Times New Roman" w:cs="Times New Roman"/>
          <w:sz w:val="24"/>
          <w:szCs w:val="24"/>
        </w:rPr>
        <w:t xml:space="preserve">were used to </w:t>
      </w:r>
      <w:r w:rsidR="001E321A" w:rsidRPr="00B66E62">
        <w:rPr>
          <w:rFonts w:ascii="Times New Roman" w:hAnsi="Times New Roman" w:cs="Times New Roman"/>
          <w:sz w:val="24"/>
          <w:szCs w:val="24"/>
        </w:rPr>
        <w:t>compare</w:t>
      </w:r>
      <w:r w:rsidR="00D431AC" w:rsidRPr="00B66E62">
        <w:rPr>
          <w:rFonts w:ascii="Times New Roman" w:hAnsi="Times New Roman" w:cs="Times New Roman"/>
          <w:sz w:val="24"/>
          <w:szCs w:val="24"/>
        </w:rPr>
        <w:t xml:space="preserve"> responses</w:t>
      </w:r>
      <w:r w:rsidR="001E321A" w:rsidRPr="00B66E62">
        <w:rPr>
          <w:rFonts w:ascii="Times New Roman" w:hAnsi="Times New Roman" w:cs="Times New Roman"/>
          <w:sz w:val="24"/>
          <w:szCs w:val="24"/>
        </w:rPr>
        <w:t xml:space="preserve"> across learning settings (classroom and clinical)</w:t>
      </w:r>
      <w:r w:rsidR="00D13D7E" w:rsidRPr="00B66E62">
        <w:rPr>
          <w:rFonts w:ascii="Times New Roman" w:hAnsi="Times New Roman" w:cs="Times New Roman"/>
          <w:sz w:val="24"/>
          <w:szCs w:val="24"/>
        </w:rPr>
        <w:t xml:space="preserve">, </w:t>
      </w:r>
      <w:r w:rsidR="00D431AC" w:rsidRPr="00B66E62">
        <w:rPr>
          <w:rFonts w:ascii="Times New Roman" w:hAnsi="Times New Roman" w:cs="Times New Roman"/>
          <w:sz w:val="24"/>
          <w:szCs w:val="24"/>
        </w:rPr>
        <w:t xml:space="preserve">and </w:t>
      </w:r>
      <w:r w:rsidR="001E321A" w:rsidRPr="00B66E62">
        <w:rPr>
          <w:rFonts w:ascii="Times New Roman" w:hAnsi="Times New Roman" w:cs="Times New Roman"/>
          <w:sz w:val="24"/>
          <w:szCs w:val="24"/>
        </w:rPr>
        <w:t>year of nursing course</w:t>
      </w:r>
      <w:r w:rsidR="00D431AC" w:rsidRPr="00B66E62">
        <w:rPr>
          <w:rFonts w:ascii="Times New Roman" w:hAnsi="Times New Roman" w:cs="Times New Roman"/>
          <w:sz w:val="24"/>
          <w:szCs w:val="24"/>
        </w:rPr>
        <w:t>.</w:t>
      </w:r>
      <w:r w:rsidR="001069F9" w:rsidRPr="00B66E62">
        <w:rPr>
          <w:rFonts w:ascii="Times New Roman" w:hAnsi="Times New Roman" w:cs="Times New Roman"/>
          <w:sz w:val="24"/>
          <w:szCs w:val="24"/>
        </w:rPr>
        <w:t xml:space="preserve"> </w:t>
      </w:r>
    </w:p>
    <w:p w14:paraId="45BBD045" w14:textId="77777777" w:rsidR="001E321A" w:rsidRPr="00B66E62" w:rsidRDefault="001E321A" w:rsidP="00A55745">
      <w:pPr>
        <w:spacing w:line="480" w:lineRule="auto"/>
        <w:rPr>
          <w:rFonts w:ascii="Times New Roman" w:hAnsi="Times New Roman" w:cs="Times New Roman"/>
          <w:i/>
          <w:sz w:val="24"/>
          <w:szCs w:val="24"/>
        </w:rPr>
      </w:pPr>
      <w:r w:rsidRPr="00B66E62">
        <w:rPr>
          <w:rFonts w:ascii="Times New Roman" w:hAnsi="Times New Roman" w:cs="Times New Roman"/>
          <w:i/>
          <w:sz w:val="24"/>
          <w:szCs w:val="24"/>
        </w:rPr>
        <w:t>Results</w:t>
      </w:r>
    </w:p>
    <w:p w14:paraId="5131B272" w14:textId="5D33CC5B" w:rsidR="001E321A" w:rsidRPr="00B66E62" w:rsidRDefault="00D431AC" w:rsidP="00B848B3">
      <w:pPr>
        <w:spacing w:line="480" w:lineRule="auto"/>
        <w:rPr>
          <w:rFonts w:ascii="Times New Roman" w:hAnsi="Times New Roman" w:cs="Times New Roman"/>
          <w:sz w:val="24"/>
          <w:szCs w:val="24"/>
        </w:rPr>
      </w:pPr>
      <w:r w:rsidRPr="00B66E62">
        <w:rPr>
          <w:rFonts w:ascii="Times New Roman" w:hAnsi="Times New Roman" w:cs="Times New Roman"/>
          <w:sz w:val="24"/>
          <w:szCs w:val="24"/>
        </w:rPr>
        <w:t>Participants</w:t>
      </w:r>
      <w:r w:rsidR="00C500DA" w:rsidRPr="00B66E62">
        <w:rPr>
          <w:rFonts w:ascii="Times New Roman" w:hAnsi="Times New Roman" w:cs="Times New Roman"/>
          <w:sz w:val="24"/>
          <w:szCs w:val="24"/>
        </w:rPr>
        <w:t xml:space="preserve"> </w:t>
      </w:r>
      <w:r w:rsidR="000B1FE5" w:rsidRPr="00B66E62">
        <w:rPr>
          <w:rFonts w:ascii="Times New Roman" w:hAnsi="Times New Roman" w:cs="Times New Roman"/>
          <w:sz w:val="24"/>
          <w:szCs w:val="24"/>
        </w:rPr>
        <w:t>were most confident in their learning of clinical safety skills and least confident in learning about the sociocultural dimensions of working in teams with other health professionals, managing safety risks and understanding human and environmental factors</w:t>
      </w:r>
      <w:r w:rsidR="004110E2" w:rsidRPr="00B66E62">
        <w:rPr>
          <w:rFonts w:ascii="Times New Roman" w:hAnsi="Times New Roman" w:cs="Times New Roman"/>
          <w:sz w:val="24"/>
          <w:szCs w:val="24"/>
        </w:rPr>
        <w:t xml:space="preserve">. Only </w:t>
      </w:r>
      <w:r w:rsidR="00A4571A" w:rsidRPr="00B66E62">
        <w:rPr>
          <w:rFonts w:ascii="Times New Roman" w:hAnsi="Times New Roman" w:cs="Times New Roman"/>
          <w:sz w:val="24"/>
          <w:szCs w:val="24"/>
        </w:rPr>
        <w:t>59%</w:t>
      </w:r>
      <w:r w:rsidR="004110E2" w:rsidRPr="00B66E62">
        <w:rPr>
          <w:rFonts w:ascii="Times New Roman" w:hAnsi="Times New Roman" w:cs="Times New Roman"/>
          <w:sz w:val="24"/>
          <w:szCs w:val="24"/>
        </w:rPr>
        <w:t xml:space="preserve"> of students felt confident they could approach someone engaging in unsafe practice, 75% of students agreed it </w:t>
      </w:r>
      <w:r w:rsidR="00466B44" w:rsidRPr="00B66E62">
        <w:rPr>
          <w:rFonts w:ascii="Times New Roman" w:hAnsi="Times New Roman" w:cs="Times New Roman"/>
          <w:sz w:val="24"/>
          <w:szCs w:val="24"/>
        </w:rPr>
        <w:t xml:space="preserve">was </w:t>
      </w:r>
      <w:r w:rsidR="004110E2" w:rsidRPr="00B66E62">
        <w:rPr>
          <w:rFonts w:ascii="Times New Roman" w:hAnsi="Times New Roman" w:cs="Times New Roman"/>
          <w:sz w:val="24"/>
          <w:szCs w:val="24"/>
        </w:rPr>
        <w:t xml:space="preserve">difficult to question the decisions or actions of those with more authority, and 78% </w:t>
      </w:r>
      <w:r w:rsidR="007E0F9D" w:rsidRPr="00B66E62">
        <w:rPr>
          <w:rFonts w:ascii="Times New Roman" w:hAnsi="Times New Roman" w:cs="Times New Roman"/>
          <w:sz w:val="24"/>
          <w:szCs w:val="24"/>
        </w:rPr>
        <w:t xml:space="preserve">were concerned </w:t>
      </w:r>
      <w:r w:rsidR="004110E2" w:rsidRPr="00B66E62">
        <w:rPr>
          <w:rFonts w:ascii="Times New Roman" w:hAnsi="Times New Roman" w:cs="Times New Roman"/>
          <w:sz w:val="24"/>
          <w:szCs w:val="24"/>
        </w:rPr>
        <w:t xml:space="preserve">they </w:t>
      </w:r>
      <w:r w:rsidR="007E0F9D" w:rsidRPr="00B66E62">
        <w:rPr>
          <w:rFonts w:ascii="Times New Roman" w:hAnsi="Times New Roman" w:cs="Times New Roman"/>
          <w:sz w:val="24"/>
          <w:szCs w:val="24"/>
        </w:rPr>
        <w:t xml:space="preserve">would </w:t>
      </w:r>
      <w:r w:rsidR="004110E2" w:rsidRPr="00B66E62">
        <w:rPr>
          <w:rFonts w:ascii="Times New Roman" w:hAnsi="Times New Roman" w:cs="Times New Roman"/>
          <w:sz w:val="24"/>
          <w:szCs w:val="24"/>
        </w:rPr>
        <w:t xml:space="preserve">face disciplinary action if they </w:t>
      </w:r>
      <w:r w:rsidR="007E0F9D" w:rsidRPr="00B66E62">
        <w:rPr>
          <w:rFonts w:ascii="Times New Roman" w:hAnsi="Times New Roman" w:cs="Times New Roman"/>
          <w:sz w:val="24"/>
          <w:szCs w:val="24"/>
        </w:rPr>
        <w:t xml:space="preserve">made </w:t>
      </w:r>
      <w:r w:rsidR="004110E2" w:rsidRPr="00B66E62">
        <w:rPr>
          <w:rFonts w:ascii="Times New Roman" w:hAnsi="Times New Roman" w:cs="Times New Roman"/>
          <w:sz w:val="24"/>
          <w:szCs w:val="24"/>
        </w:rPr>
        <w:t>a serious error.</w:t>
      </w:r>
      <w:r w:rsidR="00A04ED2" w:rsidRPr="00B66E62">
        <w:rPr>
          <w:rFonts w:ascii="Times New Roman" w:hAnsi="Times New Roman" w:cs="Times New Roman"/>
          <w:sz w:val="24"/>
          <w:szCs w:val="24"/>
        </w:rPr>
        <w:t xml:space="preserve"> </w:t>
      </w:r>
      <w:r w:rsidR="003D1DB2" w:rsidRPr="00B66E62">
        <w:rPr>
          <w:rFonts w:ascii="Times New Roman" w:hAnsi="Times New Roman" w:cs="Times New Roman"/>
          <w:sz w:val="24"/>
          <w:szCs w:val="24"/>
        </w:rPr>
        <w:t xml:space="preserve">One patient safety subscale, </w:t>
      </w:r>
      <w:r w:rsidR="00B848B3" w:rsidRPr="00B66E62">
        <w:rPr>
          <w:rFonts w:ascii="Times New Roman" w:hAnsi="Times New Roman" w:cs="Times New Roman"/>
          <w:i/>
          <w:sz w:val="24"/>
          <w:szCs w:val="24"/>
        </w:rPr>
        <w:t>R</w:t>
      </w:r>
      <w:r w:rsidR="003D1DB2" w:rsidRPr="00B66E62">
        <w:rPr>
          <w:rFonts w:ascii="Times New Roman" w:hAnsi="Times New Roman" w:cs="Times New Roman"/>
          <w:i/>
          <w:sz w:val="24"/>
          <w:szCs w:val="24"/>
        </w:rPr>
        <w:t>ecognising and responding to remove immediate safety risks</w:t>
      </w:r>
      <w:r w:rsidR="00B848B3" w:rsidRPr="00B66E62">
        <w:rPr>
          <w:rFonts w:ascii="Times New Roman" w:hAnsi="Times New Roman" w:cs="Times New Roman"/>
          <w:sz w:val="24"/>
          <w:szCs w:val="24"/>
        </w:rPr>
        <w:t>,</w:t>
      </w:r>
      <w:r w:rsidR="003D1DB2" w:rsidRPr="00B66E62">
        <w:rPr>
          <w:rFonts w:ascii="Times New Roman" w:hAnsi="Times New Roman" w:cs="Times New Roman"/>
          <w:sz w:val="24"/>
          <w:szCs w:val="24"/>
        </w:rPr>
        <w:t xml:space="preserve"> was rated significantly higher by third year nursing students than by first and second year students. Two broader aspects of patient safety scales, </w:t>
      </w:r>
      <w:r w:rsidR="00B848B3" w:rsidRPr="00B66E62">
        <w:rPr>
          <w:rFonts w:ascii="Times New Roman" w:hAnsi="Times New Roman" w:cs="Times New Roman"/>
          <w:i/>
          <w:sz w:val="24"/>
          <w:szCs w:val="24"/>
        </w:rPr>
        <w:t>C</w:t>
      </w:r>
      <w:r w:rsidR="003D1DB2" w:rsidRPr="00B66E62">
        <w:rPr>
          <w:rFonts w:ascii="Times New Roman" w:hAnsi="Times New Roman" w:cs="Times New Roman"/>
          <w:i/>
          <w:sz w:val="24"/>
          <w:szCs w:val="24"/>
        </w:rPr>
        <w:t>onsistency in how patient safety issues are dealt with by different preceptors</w:t>
      </w:r>
      <w:r w:rsidR="003D1DB2" w:rsidRPr="00B66E62">
        <w:rPr>
          <w:rFonts w:ascii="Times New Roman" w:hAnsi="Times New Roman" w:cs="Times New Roman"/>
          <w:sz w:val="24"/>
          <w:szCs w:val="24"/>
        </w:rPr>
        <w:t xml:space="preserve">, and </w:t>
      </w:r>
      <w:r w:rsidR="007E11EC" w:rsidRPr="00B66E62">
        <w:rPr>
          <w:rFonts w:ascii="Times New Roman" w:hAnsi="Times New Roman" w:cs="Times New Roman"/>
          <w:i/>
          <w:sz w:val="24"/>
          <w:szCs w:val="24"/>
        </w:rPr>
        <w:t>S</w:t>
      </w:r>
      <w:r w:rsidR="003D1DB2" w:rsidRPr="00B66E62">
        <w:rPr>
          <w:rFonts w:ascii="Times New Roman" w:hAnsi="Times New Roman" w:cs="Times New Roman"/>
          <w:i/>
          <w:sz w:val="24"/>
          <w:szCs w:val="24"/>
        </w:rPr>
        <w:t>ystem aspects of patient safety are well covered in our program</w:t>
      </w:r>
      <w:r w:rsidR="003D1DB2" w:rsidRPr="00B66E62">
        <w:rPr>
          <w:rFonts w:ascii="Times New Roman" w:hAnsi="Times New Roman" w:cs="Times New Roman"/>
          <w:sz w:val="24"/>
          <w:szCs w:val="24"/>
        </w:rPr>
        <w:t>, were rated significantly higher by first year nursing students than by second and third year students</w:t>
      </w:r>
      <w:r w:rsidR="007E11EC" w:rsidRPr="00B66E62">
        <w:rPr>
          <w:rFonts w:ascii="Times New Roman" w:hAnsi="Times New Roman" w:cs="Times New Roman"/>
          <w:sz w:val="24"/>
          <w:szCs w:val="24"/>
        </w:rPr>
        <w:t>. O</w:t>
      </w:r>
      <w:r w:rsidR="003D1DB2" w:rsidRPr="00B66E62">
        <w:rPr>
          <w:rFonts w:ascii="Times New Roman" w:hAnsi="Times New Roman" w:cs="Times New Roman"/>
          <w:sz w:val="24"/>
          <w:szCs w:val="24"/>
        </w:rPr>
        <w:t xml:space="preserve">ne scale, </w:t>
      </w:r>
      <w:r w:rsidR="007E11EC" w:rsidRPr="00B66E62">
        <w:rPr>
          <w:rFonts w:ascii="Times New Roman" w:hAnsi="Times New Roman" w:cs="Times New Roman"/>
          <w:i/>
          <w:sz w:val="24"/>
          <w:szCs w:val="24"/>
        </w:rPr>
        <w:t>U</w:t>
      </w:r>
      <w:r w:rsidR="003D1DB2" w:rsidRPr="00B66E62">
        <w:rPr>
          <w:rFonts w:ascii="Times New Roman" w:hAnsi="Times New Roman" w:cs="Times New Roman"/>
          <w:i/>
          <w:sz w:val="24"/>
          <w:szCs w:val="24"/>
        </w:rPr>
        <w:t>nderstanding that reporting adverse events and close calls can lead to change and can reduce recurrence of events</w:t>
      </w:r>
      <w:r w:rsidR="003D1DB2" w:rsidRPr="00B66E62">
        <w:rPr>
          <w:rFonts w:ascii="Times New Roman" w:hAnsi="Times New Roman" w:cs="Times New Roman"/>
          <w:sz w:val="24"/>
          <w:szCs w:val="24"/>
        </w:rPr>
        <w:t xml:space="preserve">, was rated significantly higher by third year students than first and second year students. </w:t>
      </w:r>
    </w:p>
    <w:p w14:paraId="7A978EE9" w14:textId="36ACB9FF" w:rsidR="004110E2" w:rsidRPr="00B66E62" w:rsidRDefault="003C71E2" w:rsidP="00A55745">
      <w:pPr>
        <w:spacing w:line="480" w:lineRule="auto"/>
        <w:rPr>
          <w:rFonts w:ascii="Times New Roman" w:hAnsi="Times New Roman" w:cs="Times New Roman"/>
          <w:i/>
          <w:sz w:val="24"/>
          <w:szCs w:val="24"/>
        </w:rPr>
      </w:pPr>
      <w:r w:rsidRPr="00B66E62">
        <w:rPr>
          <w:rFonts w:ascii="Times New Roman" w:hAnsi="Times New Roman" w:cs="Times New Roman"/>
          <w:i/>
          <w:sz w:val="24"/>
          <w:szCs w:val="24"/>
        </w:rPr>
        <w:t xml:space="preserve">Conclusions </w:t>
      </w:r>
    </w:p>
    <w:p w14:paraId="23527622" w14:textId="309C47B0" w:rsidR="001E321A" w:rsidRPr="00B66E62" w:rsidRDefault="00354B67"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In order</w:t>
      </w:r>
      <w:r w:rsidR="0078182C" w:rsidRPr="00B66E62">
        <w:rPr>
          <w:rFonts w:ascii="Times New Roman" w:hAnsi="Times New Roman" w:cs="Times New Roman"/>
          <w:sz w:val="24"/>
          <w:szCs w:val="24"/>
        </w:rPr>
        <w:t xml:space="preserve"> are to </w:t>
      </w:r>
      <w:r w:rsidR="007338A3" w:rsidRPr="00B66E62">
        <w:rPr>
          <w:rFonts w:ascii="Times New Roman" w:hAnsi="Times New Roman" w:cs="Times New Roman"/>
          <w:sz w:val="24"/>
          <w:szCs w:val="24"/>
        </w:rPr>
        <w:t>achieve</w:t>
      </w:r>
      <w:r w:rsidR="0078182C" w:rsidRPr="00B66E62">
        <w:rPr>
          <w:rFonts w:ascii="Times New Roman" w:hAnsi="Times New Roman" w:cs="Times New Roman"/>
          <w:sz w:val="24"/>
          <w:szCs w:val="24"/>
        </w:rPr>
        <w:t xml:space="preserve"> meaningful improvements in patient safety, and create </w:t>
      </w:r>
      <w:r w:rsidR="007338A3" w:rsidRPr="00B66E62">
        <w:rPr>
          <w:rFonts w:ascii="Times New Roman" w:hAnsi="Times New Roman" w:cs="Times New Roman"/>
          <w:sz w:val="24"/>
          <w:szCs w:val="24"/>
        </w:rPr>
        <w:t>harm free</w:t>
      </w:r>
      <w:r w:rsidR="0078182C" w:rsidRPr="00B66E62">
        <w:rPr>
          <w:rFonts w:ascii="Times New Roman" w:hAnsi="Times New Roman" w:cs="Times New Roman"/>
          <w:sz w:val="24"/>
          <w:szCs w:val="24"/>
        </w:rPr>
        <w:t xml:space="preserve"> environments for patients, it is crucial that nursing students develop confidence </w:t>
      </w:r>
      <w:r w:rsidR="004F50CB" w:rsidRPr="00B66E62">
        <w:rPr>
          <w:rFonts w:ascii="Times New Roman" w:hAnsi="Times New Roman" w:cs="Times New Roman"/>
          <w:sz w:val="24"/>
          <w:szCs w:val="24"/>
        </w:rPr>
        <w:t>communicating with others to improve patient safety</w:t>
      </w:r>
      <w:r w:rsidR="00E929FC" w:rsidRPr="00B66E62">
        <w:rPr>
          <w:rFonts w:ascii="Times New Roman" w:hAnsi="Times New Roman" w:cs="Times New Roman"/>
          <w:sz w:val="24"/>
          <w:szCs w:val="24"/>
        </w:rPr>
        <w:t>, p</w:t>
      </w:r>
      <w:r w:rsidR="004F50CB" w:rsidRPr="00B66E62">
        <w:rPr>
          <w:rFonts w:ascii="Times New Roman" w:hAnsi="Times New Roman" w:cs="Times New Roman"/>
          <w:sz w:val="24"/>
          <w:szCs w:val="24"/>
        </w:rPr>
        <w:t xml:space="preserve">articularly </w:t>
      </w:r>
      <w:r w:rsidR="0078182C" w:rsidRPr="00B66E62">
        <w:rPr>
          <w:rFonts w:ascii="Times New Roman" w:hAnsi="Times New Roman" w:cs="Times New Roman"/>
          <w:sz w:val="24"/>
          <w:szCs w:val="24"/>
        </w:rPr>
        <w:t>in the area</w:t>
      </w:r>
      <w:r w:rsidR="004F50CB" w:rsidRPr="00B66E62">
        <w:rPr>
          <w:rFonts w:ascii="Times New Roman" w:hAnsi="Times New Roman" w:cs="Times New Roman"/>
          <w:sz w:val="24"/>
          <w:szCs w:val="24"/>
        </w:rPr>
        <w:t>s</w:t>
      </w:r>
      <w:r w:rsidR="0078182C" w:rsidRPr="00B66E62">
        <w:rPr>
          <w:rFonts w:ascii="Times New Roman" w:hAnsi="Times New Roman" w:cs="Times New Roman"/>
          <w:sz w:val="24"/>
          <w:szCs w:val="24"/>
        </w:rPr>
        <w:t xml:space="preserve"> of </w:t>
      </w:r>
      <w:r w:rsidR="004F50CB" w:rsidRPr="00B66E62">
        <w:rPr>
          <w:rFonts w:ascii="Times New Roman" w:hAnsi="Times New Roman" w:cs="Times New Roman"/>
          <w:sz w:val="24"/>
          <w:szCs w:val="24"/>
        </w:rPr>
        <w:t xml:space="preserve">challenging poor practice, and recognising, responding to and disclosing adverse events, including </w:t>
      </w:r>
      <w:r w:rsidR="0078182C" w:rsidRPr="00B66E62">
        <w:rPr>
          <w:rFonts w:ascii="Times New Roman" w:hAnsi="Times New Roman" w:cs="Times New Roman"/>
          <w:sz w:val="24"/>
          <w:szCs w:val="24"/>
        </w:rPr>
        <w:t>errors and near misses.</w:t>
      </w:r>
      <w:r w:rsidR="00C244D3" w:rsidRPr="00B66E62">
        <w:rPr>
          <w:rFonts w:ascii="Times New Roman" w:hAnsi="Times New Roman" w:cs="Times New Roman"/>
          <w:sz w:val="24"/>
          <w:szCs w:val="24"/>
        </w:rPr>
        <w:t xml:space="preserve"> </w:t>
      </w:r>
    </w:p>
    <w:p w14:paraId="721D78E3" w14:textId="2422F517" w:rsidR="00C424CE" w:rsidRPr="00B66E62" w:rsidRDefault="00404FE3" w:rsidP="00A55745">
      <w:pPr>
        <w:spacing w:line="480" w:lineRule="auto"/>
        <w:rPr>
          <w:rFonts w:ascii="Times New Roman" w:hAnsi="Times New Roman" w:cs="Times New Roman"/>
          <w:sz w:val="24"/>
          <w:szCs w:val="24"/>
        </w:rPr>
      </w:pPr>
      <w:r w:rsidRPr="00B66E62">
        <w:rPr>
          <w:rFonts w:ascii="Times New Roman" w:hAnsi="Times New Roman" w:cs="Times New Roman"/>
          <w:b/>
          <w:sz w:val="24"/>
          <w:szCs w:val="24"/>
        </w:rPr>
        <w:lastRenderedPageBreak/>
        <w:t xml:space="preserve">Keywords: </w:t>
      </w:r>
      <w:r w:rsidRPr="00B66E62">
        <w:rPr>
          <w:rFonts w:ascii="Times New Roman" w:hAnsi="Times New Roman" w:cs="Times New Roman"/>
          <w:sz w:val="24"/>
          <w:szCs w:val="24"/>
        </w:rPr>
        <w:t>Adverse events; Clinical learning; Close calls; Nursing education; Pati</w:t>
      </w:r>
      <w:r w:rsidR="00995BA3" w:rsidRPr="00B66E62">
        <w:rPr>
          <w:rFonts w:ascii="Times New Roman" w:hAnsi="Times New Roman" w:cs="Times New Roman"/>
          <w:sz w:val="24"/>
          <w:szCs w:val="24"/>
        </w:rPr>
        <w:t>ent safety; Student perceptions</w:t>
      </w:r>
    </w:p>
    <w:p w14:paraId="622A0EA5" w14:textId="77777777" w:rsidR="00F84087" w:rsidRPr="00B66E62" w:rsidRDefault="00F84087" w:rsidP="00A55745">
      <w:pPr>
        <w:spacing w:line="480" w:lineRule="auto"/>
        <w:rPr>
          <w:rFonts w:ascii="Times New Roman" w:hAnsi="Times New Roman" w:cs="Times New Roman"/>
          <w:sz w:val="24"/>
          <w:szCs w:val="24"/>
        </w:rPr>
      </w:pPr>
    </w:p>
    <w:p w14:paraId="0280C4E9" w14:textId="54198987" w:rsidR="00F84087" w:rsidRPr="00B66E62" w:rsidRDefault="005877DD"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This research did not receive any specific grant from funding agencies in the public, commercial, or not-for-profit sectors.</w:t>
      </w:r>
    </w:p>
    <w:p w14:paraId="210EC084" w14:textId="77777777" w:rsidR="00F84087" w:rsidRPr="00B66E62" w:rsidRDefault="00F84087" w:rsidP="00A55745">
      <w:pPr>
        <w:spacing w:line="480" w:lineRule="auto"/>
        <w:rPr>
          <w:rFonts w:ascii="Times New Roman" w:hAnsi="Times New Roman" w:cs="Times New Roman"/>
          <w:sz w:val="24"/>
          <w:szCs w:val="24"/>
        </w:rPr>
      </w:pPr>
    </w:p>
    <w:p w14:paraId="4DFC3F54" w14:textId="77777777" w:rsidR="00F84087" w:rsidRPr="00B66E62" w:rsidRDefault="00F84087" w:rsidP="00A55745">
      <w:pPr>
        <w:spacing w:line="480" w:lineRule="auto"/>
        <w:rPr>
          <w:rFonts w:ascii="Times New Roman" w:hAnsi="Times New Roman" w:cs="Times New Roman"/>
          <w:sz w:val="24"/>
          <w:szCs w:val="24"/>
        </w:rPr>
      </w:pPr>
    </w:p>
    <w:p w14:paraId="61164CE9" w14:textId="77777777" w:rsidR="00F84087" w:rsidRPr="00B66E62" w:rsidRDefault="00F84087" w:rsidP="00A55745">
      <w:pPr>
        <w:spacing w:line="480" w:lineRule="auto"/>
        <w:rPr>
          <w:rFonts w:ascii="Times New Roman" w:hAnsi="Times New Roman" w:cs="Times New Roman"/>
          <w:sz w:val="24"/>
          <w:szCs w:val="24"/>
        </w:rPr>
      </w:pPr>
    </w:p>
    <w:p w14:paraId="2F9166DB" w14:textId="77777777" w:rsidR="00F84087" w:rsidRPr="00B66E62" w:rsidRDefault="00F84087" w:rsidP="00A55745">
      <w:pPr>
        <w:spacing w:line="480" w:lineRule="auto"/>
        <w:rPr>
          <w:rFonts w:ascii="Times New Roman" w:hAnsi="Times New Roman" w:cs="Times New Roman"/>
          <w:sz w:val="24"/>
          <w:szCs w:val="24"/>
        </w:rPr>
      </w:pPr>
    </w:p>
    <w:p w14:paraId="78239BB9" w14:textId="77777777" w:rsidR="00F84087" w:rsidRPr="00B66E62" w:rsidRDefault="00F84087" w:rsidP="00A55745">
      <w:pPr>
        <w:spacing w:line="480" w:lineRule="auto"/>
        <w:rPr>
          <w:rFonts w:ascii="Times New Roman" w:hAnsi="Times New Roman" w:cs="Times New Roman"/>
          <w:sz w:val="24"/>
          <w:szCs w:val="24"/>
        </w:rPr>
      </w:pPr>
    </w:p>
    <w:p w14:paraId="091A02F1" w14:textId="77777777" w:rsidR="00F84087" w:rsidRPr="00B66E62" w:rsidRDefault="00F84087" w:rsidP="00A55745">
      <w:pPr>
        <w:spacing w:line="480" w:lineRule="auto"/>
        <w:rPr>
          <w:rFonts w:ascii="Times New Roman" w:hAnsi="Times New Roman" w:cs="Times New Roman"/>
          <w:sz w:val="24"/>
          <w:szCs w:val="24"/>
        </w:rPr>
      </w:pPr>
    </w:p>
    <w:p w14:paraId="45EF9F68" w14:textId="77777777" w:rsidR="00F84087" w:rsidRPr="00B66E62" w:rsidRDefault="00F84087" w:rsidP="00A55745">
      <w:pPr>
        <w:spacing w:line="480" w:lineRule="auto"/>
        <w:rPr>
          <w:rFonts w:ascii="Times New Roman" w:hAnsi="Times New Roman" w:cs="Times New Roman"/>
          <w:sz w:val="24"/>
          <w:szCs w:val="24"/>
        </w:rPr>
      </w:pPr>
    </w:p>
    <w:p w14:paraId="14C33A0B" w14:textId="77777777" w:rsidR="00F84087" w:rsidRPr="00B66E62" w:rsidRDefault="00F84087" w:rsidP="00A55745">
      <w:pPr>
        <w:spacing w:line="480" w:lineRule="auto"/>
        <w:rPr>
          <w:rFonts w:ascii="Times New Roman" w:hAnsi="Times New Roman" w:cs="Times New Roman"/>
          <w:sz w:val="24"/>
          <w:szCs w:val="24"/>
        </w:rPr>
      </w:pPr>
    </w:p>
    <w:p w14:paraId="209662A2" w14:textId="77777777" w:rsidR="00F84087" w:rsidRPr="00B66E62" w:rsidRDefault="00F84087" w:rsidP="00A55745">
      <w:pPr>
        <w:spacing w:line="480" w:lineRule="auto"/>
        <w:rPr>
          <w:rFonts w:ascii="Times New Roman" w:hAnsi="Times New Roman" w:cs="Times New Roman"/>
          <w:sz w:val="24"/>
          <w:szCs w:val="24"/>
        </w:rPr>
      </w:pPr>
    </w:p>
    <w:p w14:paraId="4452A1E4" w14:textId="77777777" w:rsidR="00F84087" w:rsidRPr="00B66E62" w:rsidRDefault="00F84087" w:rsidP="00A55745">
      <w:pPr>
        <w:spacing w:line="480" w:lineRule="auto"/>
        <w:rPr>
          <w:rFonts w:ascii="Times New Roman" w:hAnsi="Times New Roman" w:cs="Times New Roman"/>
          <w:sz w:val="24"/>
          <w:szCs w:val="24"/>
        </w:rPr>
      </w:pPr>
    </w:p>
    <w:p w14:paraId="311974C8" w14:textId="77777777" w:rsidR="00F84087" w:rsidRPr="00B66E62" w:rsidRDefault="00F84087" w:rsidP="00A55745">
      <w:pPr>
        <w:spacing w:line="480" w:lineRule="auto"/>
        <w:rPr>
          <w:rFonts w:ascii="Times New Roman" w:hAnsi="Times New Roman" w:cs="Times New Roman"/>
          <w:sz w:val="24"/>
          <w:szCs w:val="24"/>
        </w:rPr>
      </w:pPr>
    </w:p>
    <w:p w14:paraId="38A1E50A" w14:textId="77777777" w:rsidR="00F84087" w:rsidRPr="00B66E62" w:rsidRDefault="00F84087" w:rsidP="00A55745">
      <w:pPr>
        <w:spacing w:line="480" w:lineRule="auto"/>
        <w:rPr>
          <w:rFonts w:ascii="Times New Roman" w:hAnsi="Times New Roman" w:cs="Times New Roman"/>
          <w:sz w:val="24"/>
          <w:szCs w:val="24"/>
        </w:rPr>
      </w:pPr>
    </w:p>
    <w:p w14:paraId="35DC75F1" w14:textId="77777777" w:rsidR="00F84087" w:rsidRPr="00B66E62" w:rsidRDefault="00F84087" w:rsidP="00A55745">
      <w:pPr>
        <w:spacing w:line="480" w:lineRule="auto"/>
        <w:rPr>
          <w:rFonts w:ascii="Times New Roman" w:hAnsi="Times New Roman" w:cs="Times New Roman"/>
          <w:sz w:val="24"/>
          <w:szCs w:val="24"/>
        </w:rPr>
      </w:pPr>
    </w:p>
    <w:p w14:paraId="65A57910" w14:textId="77777777" w:rsidR="00F84087" w:rsidRPr="00B66E62" w:rsidRDefault="00F84087" w:rsidP="00A55745">
      <w:pPr>
        <w:spacing w:line="480" w:lineRule="auto"/>
        <w:rPr>
          <w:rFonts w:ascii="Times New Roman" w:hAnsi="Times New Roman" w:cs="Times New Roman"/>
          <w:sz w:val="24"/>
          <w:szCs w:val="24"/>
        </w:rPr>
      </w:pPr>
    </w:p>
    <w:p w14:paraId="54B1765F" w14:textId="77777777" w:rsidR="005716CC" w:rsidRPr="00B66E62" w:rsidRDefault="005716CC" w:rsidP="00A55745">
      <w:pPr>
        <w:spacing w:line="480" w:lineRule="auto"/>
        <w:rPr>
          <w:rFonts w:ascii="Times New Roman" w:hAnsi="Times New Roman" w:cs="Times New Roman"/>
          <w:b/>
          <w:sz w:val="24"/>
          <w:szCs w:val="24"/>
        </w:rPr>
      </w:pPr>
    </w:p>
    <w:p w14:paraId="025D9F19" w14:textId="77777777" w:rsidR="00583D99" w:rsidRPr="00B66E62" w:rsidRDefault="00583D99" w:rsidP="00A55745">
      <w:pPr>
        <w:spacing w:line="480" w:lineRule="auto"/>
        <w:rPr>
          <w:rFonts w:ascii="Times New Roman" w:hAnsi="Times New Roman" w:cs="Times New Roman"/>
          <w:sz w:val="24"/>
          <w:szCs w:val="24"/>
        </w:rPr>
      </w:pPr>
      <w:r w:rsidRPr="00B66E62">
        <w:rPr>
          <w:rFonts w:ascii="Times New Roman" w:hAnsi="Times New Roman" w:cs="Times New Roman"/>
          <w:b/>
          <w:sz w:val="24"/>
          <w:szCs w:val="24"/>
        </w:rPr>
        <w:lastRenderedPageBreak/>
        <w:t>Introduction</w:t>
      </w:r>
      <w:r w:rsidRPr="00B66E62">
        <w:rPr>
          <w:rFonts w:ascii="Times New Roman" w:hAnsi="Times New Roman" w:cs="Times New Roman"/>
          <w:sz w:val="24"/>
          <w:szCs w:val="24"/>
        </w:rPr>
        <w:t xml:space="preserve"> </w:t>
      </w:r>
    </w:p>
    <w:p w14:paraId="6862A1B2" w14:textId="77777777" w:rsidR="005716CC" w:rsidRPr="00B66E62" w:rsidRDefault="005716CC" w:rsidP="00A55745">
      <w:pPr>
        <w:spacing w:line="480" w:lineRule="auto"/>
        <w:rPr>
          <w:rFonts w:ascii="Times New Roman" w:hAnsi="Times New Roman" w:cs="Times New Roman"/>
          <w:sz w:val="24"/>
          <w:szCs w:val="24"/>
        </w:rPr>
      </w:pPr>
    </w:p>
    <w:p w14:paraId="2CF3F027" w14:textId="3492B905" w:rsidR="005716CC" w:rsidRPr="00B66E62" w:rsidRDefault="00044A17" w:rsidP="005716CC">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Patient safety </w:t>
      </w:r>
      <w:r w:rsidR="00CD2F46" w:rsidRPr="00B66E62">
        <w:rPr>
          <w:rFonts w:ascii="Times New Roman" w:hAnsi="Times New Roman" w:cs="Times New Roman"/>
          <w:sz w:val="24"/>
          <w:szCs w:val="24"/>
        </w:rPr>
        <w:t>continues to be</w:t>
      </w:r>
      <w:r w:rsidRPr="00B66E62">
        <w:rPr>
          <w:rFonts w:ascii="Times New Roman" w:hAnsi="Times New Roman" w:cs="Times New Roman"/>
          <w:sz w:val="24"/>
          <w:szCs w:val="24"/>
        </w:rPr>
        <w:t xml:space="preserve"> a serious and significant </w:t>
      </w:r>
      <w:r w:rsidR="007C1228" w:rsidRPr="00B66E62">
        <w:rPr>
          <w:rFonts w:ascii="Times New Roman" w:hAnsi="Times New Roman" w:cs="Times New Roman"/>
          <w:sz w:val="24"/>
          <w:szCs w:val="24"/>
        </w:rPr>
        <w:t xml:space="preserve">international </w:t>
      </w:r>
      <w:r w:rsidRPr="00B66E62">
        <w:rPr>
          <w:rFonts w:ascii="Times New Roman" w:hAnsi="Times New Roman" w:cs="Times New Roman"/>
          <w:sz w:val="24"/>
          <w:szCs w:val="24"/>
        </w:rPr>
        <w:t>public health issue</w:t>
      </w:r>
      <w:r w:rsidR="00684B2C" w:rsidRPr="00B66E62">
        <w:rPr>
          <w:rFonts w:ascii="Times New Roman" w:hAnsi="Times New Roman" w:cs="Times New Roman"/>
          <w:sz w:val="24"/>
          <w:szCs w:val="24"/>
        </w:rPr>
        <w:t xml:space="preserve"> (Waterson 2014)</w:t>
      </w:r>
      <w:r w:rsidRPr="00B66E62">
        <w:rPr>
          <w:rFonts w:ascii="Times New Roman" w:hAnsi="Times New Roman" w:cs="Times New Roman"/>
          <w:sz w:val="24"/>
          <w:szCs w:val="24"/>
        </w:rPr>
        <w:t>.</w:t>
      </w:r>
      <w:r w:rsidR="007C1228" w:rsidRPr="00B66E62">
        <w:rPr>
          <w:rFonts w:ascii="Times New Roman" w:hAnsi="Times New Roman" w:cs="Times New Roman"/>
          <w:sz w:val="24"/>
          <w:szCs w:val="24"/>
        </w:rPr>
        <w:t xml:space="preserve"> </w:t>
      </w:r>
      <w:r w:rsidR="005716CC" w:rsidRPr="00B66E62">
        <w:rPr>
          <w:rFonts w:ascii="Times New Roman" w:hAnsi="Times New Roman" w:cs="Times New Roman"/>
          <w:sz w:val="24"/>
          <w:szCs w:val="24"/>
        </w:rPr>
        <w:t xml:space="preserve">Increasing awareness of the complexity associated with reducing adverse events and harm to patients has resulted in a focus of concern and attention on patient safety among health care providers and </w:t>
      </w:r>
      <w:r w:rsidR="005F604D" w:rsidRPr="00B66E62">
        <w:rPr>
          <w:rFonts w:ascii="Times New Roman" w:hAnsi="Times New Roman" w:cs="Times New Roman"/>
          <w:sz w:val="24"/>
          <w:szCs w:val="24"/>
        </w:rPr>
        <w:t xml:space="preserve">health profession </w:t>
      </w:r>
      <w:r w:rsidR="005716CC" w:rsidRPr="00B66E62">
        <w:rPr>
          <w:rFonts w:ascii="Times New Roman" w:hAnsi="Times New Roman" w:cs="Times New Roman"/>
          <w:sz w:val="24"/>
          <w:szCs w:val="24"/>
        </w:rPr>
        <w:t xml:space="preserve">educators globally (World Health Organisation [WHO] 2009a). Adverse events are defined as unintentional injury or complication resulting from an episode of health care, and include medication errors, falls resulting in injuries, pressure injuries, problems with medical devices and infections (WHO 2009b). Estimates of current prevalence vary, but it is widely considered that up to 10% of hospitalised patients suffer some form of unintentional harm or an adverse event; with most deemed preventable (WHO 2009b, D’Armour </w:t>
      </w:r>
      <w:r w:rsidR="005716CC" w:rsidRPr="00B66E62">
        <w:rPr>
          <w:rFonts w:ascii="Times New Roman" w:hAnsi="Times New Roman" w:cs="Times New Roman"/>
          <w:i/>
          <w:sz w:val="24"/>
          <w:szCs w:val="24"/>
        </w:rPr>
        <w:t>et al</w:t>
      </w:r>
      <w:r w:rsidR="005716CC" w:rsidRPr="00B66E62">
        <w:rPr>
          <w:rFonts w:ascii="Times New Roman" w:hAnsi="Times New Roman" w:cs="Times New Roman"/>
          <w:sz w:val="24"/>
          <w:szCs w:val="24"/>
        </w:rPr>
        <w:t xml:space="preserve">. 2014, NHS Scotland 2016, AIHW, 2016). </w:t>
      </w:r>
    </w:p>
    <w:p w14:paraId="5829E2C3" w14:textId="56CCB652" w:rsidR="005716CC" w:rsidRPr="00B66E62" w:rsidRDefault="005716CC" w:rsidP="005716CC">
      <w:pPr>
        <w:spacing w:line="480" w:lineRule="auto"/>
        <w:rPr>
          <w:rFonts w:ascii="Times New Roman" w:hAnsi="Times New Roman" w:cs="Times New Roman"/>
          <w:sz w:val="24"/>
          <w:szCs w:val="24"/>
        </w:rPr>
      </w:pPr>
      <w:r w:rsidRPr="00B66E62">
        <w:rPr>
          <w:rFonts w:ascii="Times New Roman" w:hAnsi="Times New Roman" w:cs="Times New Roman"/>
          <w:sz w:val="24"/>
          <w:szCs w:val="24"/>
        </w:rPr>
        <w:t>Recognition of health care environments as being potentially harmful to patients has been acknowledged as a problem for many years. Writing in 1859, Florence Nightingale noted that “It may seem a strange principle to enunciate as the very first requirement in a hospital – that it should do the sick no harm” (Nightingale 1859).</w:t>
      </w:r>
      <w:r w:rsidR="005F604D" w:rsidRPr="00B66E62">
        <w:rPr>
          <w:rFonts w:ascii="Times New Roman" w:hAnsi="Times New Roman" w:cs="Times New Roman"/>
          <w:sz w:val="24"/>
          <w:szCs w:val="24"/>
        </w:rPr>
        <w:t xml:space="preserve"> </w:t>
      </w:r>
      <w:r w:rsidRPr="00B66E62">
        <w:rPr>
          <w:rFonts w:ascii="Times New Roman" w:hAnsi="Times New Roman" w:cs="Times New Roman"/>
          <w:sz w:val="24"/>
          <w:szCs w:val="24"/>
        </w:rPr>
        <w:t xml:space="preserve">In the United States (US), preventable hospital errors have been identified as the third leading cause of death (Makary &amp; Daniel 2016). The US National Patient Safety Foundation (NPSF 2015) recently noted that ‘the health care system continues to operate with a low degree of reliability, meaning that patients frequently experience harms that could have been prevented or mitigated’. In the Australian context, a study of Victorian hospitals in 2003-04 reported a rate of 7% of episodes of care had a least one adverse event, increasing the length of hospital stay and risk of death, and costing over $430 million annually, representing nearly 16% of expenditure on direct hospital </w:t>
      </w:r>
      <w:r w:rsidRPr="00B66E62">
        <w:rPr>
          <w:rFonts w:ascii="Times New Roman" w:hAnsi="Times New Roman" w:cs="Times New Roman"/>
          <w:sz w:val="24"/>
          <w:szCs w:val="24"/>
        </w:rPr>
        <w:lastRenderedPageBreak/>
        <w:t xml:space="preserve">costs (Ehsani </w:t>
      </w:r>
      <w:r w:rsidRPr="00B66E62">
        <w:rPr>
          <w:rFonts w:ascii="Times New Roman" w:hAnsi="Times New Roman" w:cs="Times New Roman"/>
          <w:i/>
          <w:sz w:val="24"/>
          <w:szCs w:val="24"/>
        </w:rPr>
        <w:t xml:space="preserve">et al </w:t>
      </w:r>
      <w:r w:rsidRPr="00B66E62">
        <w:rPr>
          <w:rFonts w:ascii="Times New Roman" w:hAnsi="Times New Roman" w:cs="Times New Roman"/>
          <w:sz w:val="24"/>
          <w:szCs w:val="24"/>
        </w:rPr>
        <w:t xml:space="preserve">2006).  </w:t>
      </w:r>
      <w:r w:rsidR="005F604D" w:rsidRPr="00B66E62">
        <w:rPr>
          <w:rFonts w:ascii="Times New Roman" w:hAnsi="Times New Roman" w:cs="Times New Roman"/>
          <w:sz w:val="24"/>
          <w:szCs w:val="24"/>
        </w:rPr>
        <w:t>Healthcare providers have a responsibility to ensure that the care provided to patients is safe and aligns with best practice and established clinical standards (Australian Commission on Safety and Quality in Healthcare, 2010).</w:t>
      </w:r>
    </w:p>
    <w:p w14:paraId="55CA7E53" w14:textId="69C591B3" w:rsidR="005F604D" w:rsidRPr="00B66E62" w:rsidRDefault="005F604D" w:rsidP="005F604D">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Many adverse events experienced by patients are associated with nursing care, defined as the services provided by nurses for the benefit of the patient (Dubois </w:t>
      </w:r>
      <w:r w:rsidRPr="00B66E62">
        <w:rPr>
          <w:rFonts w:ascii="Times New Roman" w:hAnsi="Times New Roman" w:cs="Times New Roman"/>
          <w:i/>
          <w:sz w:val="24"/>
          <w:szCs w:val="24"/>
        </w:rPr>
        <w:t>et al</w:t>
      </w:r>
      <w:r w:rsidRPr="00B66E62">
        <w:rPr>
          <w:rFonts w:ascii="Times New Roman" w:hAnsi="Times New Roman" w:cs="Times New Roman"/>
          <w:sz w:val="24"/>
          <w:szCs w:val="24"/>
        </w:rPr>
        <w:t>. 2013). G</w:t>
      </w:r>
      <w:r w:rsidRPr="00B66E62">
        <w:rPr>
          <w:rFonts w:ascii="Times New Roman" w:hAnsi="Times New Roman" w:cs="Times New Roman"/>
          <w:sz w:val="24"/>
          <w:szCs w:val="24"/>
          <w:lang w:val="en-US"/>
        </w:rPr>
        <w:t>iven their proximity to patients and centrality to patient care, nurses fulfil a vital safety role and have the potential to detect errors, omissions and risk before harm eventuates.</w:t>
      </w:r>
      <w:r w:rsidRPr="00B66E62">
        <w:rPr>
          <w:rFonts w:ascii="Times New Roman" w:hAnsi="Times New Roman" w:cs="Times New Roman"/>
          <w:sz w:val="24"/>
          <w:szCs w:val="24"/>
        </w:rPr>
        <w:t xml:space="preserve"> </w:t>
      </w:r>
    </w:p>
    <w:p w14:paraId="545D07C0" w14:textId="77777777" w:rsidR="005F604D" w:rsidRPr="00B66E62" w:rsidRDefault="005F604D" w:rsidP="005F604D">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Organisational conditions such as staffing, organisation of work and the work environment can affect how nursing care is provided and is a critical factor in determining patient outcomes (Dubois </w:t>
      </w:r>
      <w:r w:rsidRPr="00B66E62">
        <w:rPr>
          <w:rFonts w:ascii="Times New Roman" w:hAnsi="Times New Roman" w:cs="Times New Roman"/>
          <w:i/>
          <w:sz w:val="24"/>
          <w:szCs w:val="24"/>
        </w:rPr>
        <w:t xml:space="preserve">et al </w:t>
      </w:r>
      <w:r w:rsidRPr="00B66E62">
        <w:rPr>
          <w:rFonts w:ascii="Times New Roman" w:hAnsi="Times New Roman" w:cs="Times New Roman"/>
          <w:sz w:val="24"/>
          <w:szCs w:val="24"/>
        </w:rPr>
        <w:t xml:space="preserve">2013). Care provision in terms of nursing inputs and interventions are linked to safety-related outcomes including falls, medication administration errors and pressure injuries (Dubois </w:t>
      </w:r>
      <w:r w:rsidRPr="00B66E62">
        <w:rPr>
          <w:rFonts w:ascii="Times New Roman" w:hAnsi="Times New Roman" w:cs="Times New Roman"/>
          <w:i/>
          <w:sz w:val="24"/>
          <w:szCs w:val="24"/>
        </w:rPr>
        <w:t xml:space="preserve">et al </w:t>
      </w:r>
      <w:r w:rsidRPr="00B66E62">
        <w:rPr>
          <w:rFonts w:ascii="Times New Roman" w:hAnsi="Times New Roman" w:cs="Times New Roman"/>
          <w:sz w:val="24"/>
          <w:szCs w:val="24"/>
        </w:rPr>
        <w:t xml:space="preserve">2013). Patient safety strategies are continuously designed, tested and implemented in clinical settings, and in this process, the role of nurses is considered a key factor and their patient safety education has become fundamental (Alfredsdottir &amp; Bjorndottir 2008, Slater </w:t>
      </w:r>
      <w:r w:rsidRPr="00B66E62">
        <w:rPr>
          <w:rFonts w:ascii="Times New Roman" w:hAnsi="Times New Roman" w:cs="Times New Roman"/>
          <w:i/>
          <w:sz w:val="24"/>
          <w:szCs w:val="24"/>
        </w:rPr>
        <w:t xml:space="preserve">et al </w:t>
      </w:r>
      <w:r w:rsidRPr="00B66E62">
        <w:rPr>
          <w:rFonts w:ascii="Times New Roman" w:hAnsi="Times New Roman" w:cs="Times New Roman"/>
          <w:sz w:val="24"/>
          <w:szCs w:val="24"/>
        </w:rPr>
        <w:t xml:space="preserve">2012, Mansour 2014). </w:t>
      </w:r>
      <w:r w:rsidRPr="00B66E62">
        <w:rPr>
          <w:rFonts w:ascii="Times New Roman" w:hAnsi="Times New Roman" w:cs="Times New Roman"/>
          <w:sz w:val="24"/>
          <w:szCs w:val="24"/>
          <w:lang w:val="en-US"/>
        </w:rPr>
        <w:t>The capacity to give voice to concerns is a fundamental component of this patient safety function (Fagan, Parker &amp; Jackson 2016).</w:t>
      </w:r>
    </w:p>
    <w:p w14:paraId="03678965" w14:textId="4878CD0A" w:rsidR="008E5CB2" w:rsidRPr="00B66E62" w:rsidRDefault="008E5CB2" w:rsidP="008E5CB2">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It is important that graduate nurses hold sufficient knowledge to recognise potential safety risks and the confidence to protect patients from potential harms or errors and avoidable injuries. Thus, nurse education providers have a critical role in the development of the skills, knowledge and attitudes required of graduates to ensure they are well prepared to provide a safe environment for the patients in their care (Mansour 2013, Francis 2013). Nursing curricula need to be designed to ensure that graduates are prepared to contribute to safe, harm free clinical environments (Ginsburg </w:t>
      </w:r>
      <w:r w:rsidR="00360687" w:rsidRPr="00B66E62">
        <w:rPr>
          <w:rFonts w:ascii="Times New Roman" w:hAnsi="Times New Roman" w:cs="Times New Roman"/>
          <w:i/>
          <w:sz w:val="24"/>
          <w:szCs w:val="24"/>
        </w:rPr>
        <w:t>et al</w:t>
      </w:r>
      <w:r w:rsidR="00360687" w:rsidRPr="00B66E62">
        <w:rPr>
          <w:rFonts w:ascii="Times New Roman" w:hAnsi="Times New Roman" w:cs="Times New Roman"/>
          <w:sz w:val="24"/>
          <w:szCs w:val="24"/>
        </w:rPr>
        <w:t xml:space="preserve">., </w:t>
      </w:r>
      <w:r w:rsidRPr="00B66E62">
        <w:rPr>
          <w:rFonts w:ascii="Times New Roman" w:hAnsi="Times New Roman" w:cs="Times New Roman"/>
          <w:sz w:val="24"/>
          <w:szCs w:val="24"/>
        </w:rPr>
        <w:t xml:space="preserve">2012, Cooper 2013). However, it has been </w:t>
      </w:r>
      <w:r w:rsidRPr="00B66E62">
        <w:rPr>
          <w:rFonts w:ascii="Times New Roman" w:hAnsi="Times New Roman" w:cs="Times New Roman"/>
          <w:sz w:val="24"/>
          <w:szCs w:val="24"/>
        </w:rPr>
        <w:lastRenderedPageBreak/>
        <w:t xml:space="preserve">reported that nursing students may lack the required knowledge and skills to enhance patient safety and to effectively manage errors should they occur (Ardizzone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2009); and that nursing curricula lacks sufficient emphasis on patient safety (Attree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2008). </w:t>
      </w:r>
    </w:p>
    <w:p w14:paraId="2F1A2E61" w14:textId="28E2930F" w:rsidR="008E5CB2" w:rsidRPr="00B66E62" w:rsidRDefault="008E5CB2" w:rsidP="008E5CB2">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A number of investigations have explored patient safety knowledge and skills of undergraduate nursing, medical and pharmacy students and the practice of beginning level health professionals (Duhn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2012, Ginsburg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2013, Doyle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2015, Stevanin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2015). These studies have found students commonly encounter adverse events while undertaking clinical experience and that many believe the clinical environment to be unsafe (Stevanin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2015). Deficits in the socio-cultural aspects of patient safety education and in communication and teamwork in particular have </w:t>
      </w:r>
      <w:r w:rsidR="00360687" w:rsidRPr="00B66E62">
        <w:rPr>
          <w:rFonts w:ascii="Times New Roman" w:hAnsi="Times New Roman" w:cs="Times New Roman"/>
          <w:sz w:val="24"/>
          <w:szCs w:val="24"/>
        </w:rPr>
        <w:t xml:space="preserve">also </w:t>
      </w:r>
      <w:r w:rsidRPr="00B66E62">
        <w:rPr>
          <w:rFonts w:ascii="Times New Roman" w:hAnsi="Times New Roman" w:cs="Times New Roman"/>
          <w:sz w:val="24"/>
          <w:szCs w:val="24"/>
        </w:rPr>
        <w:t xml:space="preserve">been described (Duhn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2012, Ginsburg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2013, Doyle </w:t>
      </w:r>
      <w:r w:rsidRPr="00B66E62">
        <w:rPr>
          <w:rFonts w:ascii="Times New Roman" w:hAnsi="Times New Roman" w:cs="Times New Roman"/>
          <w:i/>
          <w:sz w:val="24"/>
          <w:szCs w:val="24"/>
        </w:rPr>
        <w:t>et al</w:t>
      </w:r>
      <w:r w:rsidRPr="00B66E62">
        <w:rPr>
          <w:rFonts w:ascii="Times New Roman" w:hAnsi="Times New Roman" w:cs="Times New Roman"/>
          <w:sz w:val="24"/>
          <w:szCs w:val="24"/>
        </w:rPr>
        <w:t>. 2015). Socio-cultural aspects of patient safety relate to working in teams with other health professionals for patient safety, effective communication for patient safety, managing safety risks, recognising, responding to and disclosing adverse events, and contributing to a wider organisational culture of patient safety.</w:t>
      </w:r>
    </w:p>
    <w:p w14:paraId="3D286694" w14:textId="77777777" w:rsidR="00A33401" w:rsidRPr="00B66E62" w:rsidRDefault="00A33401" w:rsidP="00A33401">
      <w:pPr>
        <w:widowControl w:val="0"/>
        <w:autoSpaceDE w:val="0"/>
        <w:autoSpaceDN w:val="0"/>
        <w:adjustRightInd w:val="0"/>
        <w:spacing w:after="120" w:line="480" w:lineRule="auto"/>
        <w:rPr>
          <w:rFonts w:ascii="Times New Roman" w:hAnsi="Times New Roman" w:cs="Times New Roman"/>
          <w:sz w:val="24"/>
          <w:szCs w:val="24"/>
        </w:rPr>
      </w:pPr>
      <w:r w:rsidRPr="00B66E62">
        <w:rPr>
          <w:rFonts w:ascii="Times New Roman" w:hAnsi="Times New Roman" w:cs="Times New Roman"/>
          <w:sz w:val="24"/>
          <w:szCs w:val="24"/>
        </w:rPr>
        <w:t xml:space="preserve">A disconnect between classroom learning and clinical practice exists. </w:t>
      </w:r>
      <w:r w:rsidRPr="00B66E62">
        <w:rPr>
          <w:rFonts w:ascii="Times New Roman" w:hAnsi="Times New Roman" w:cs="Times New Roman"/>
          <w:sz w:val="24"/>
          <w:szCs w:val="24"/>
          <w:lang w:val="en-US"/>
        </w:rPr>
        <w:t xml:space="preserve">Ginsburg </w:t>
      </w:r>
      <w:r w:rsidRPr="00B66E62">
        <w:rPr>
          <w:rFonts w:ascii="Times New Roman" w:hAnsi="Times New Roman" w:cs="Times New Roman"/>
          <w:i/>
          <w:sz w:val="24"/>
          <w:szCs w:val="24"/>
          <w:lang w:val="en-US"/>
        </w:rPr>
        <w:t>et al</w:t>
      </w:r>
      <w:r w:rsidRPr="00B66E62">
        <w:rPr>
          <w:rFonts w:ascii="Times New Roman" w:hAnsi="Times New Roman" w:cs="Times New Roman"/>
          <w:sz w:val="24"/>
          <w:szCs w:val="24"/>
          <w:lang w:val="en-US"/>
        </w:rPr>
        <w:t xml:space="preserve">. (2012) investigated the patient safety competence of newly graduated Canadian nurses, pharmacists and physicians. Using the </w:t>
      </w:r>
      <w:r w:rsidRPr="00B66E62">
        <w:rPr>
          <w:rFonts w:ascii="Times New Roman" w:hAnsi="Times New Roman" w:cs="Times New Roman"/>
          <w:sz w:val="24"/>
          <w:szCs w:val="24"/>
        </w:rPr>
        <w:t xml:space="preserve">Health Professional Education in Patient Safety Survey (H-PEPSS), they found that while all groups reported confidence in their communication skills, greater confidence was reported within the clinical as opposed to the classroom setting (Ginsburg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2012). Nurses were the exception. They reported a decrease in confidence in their teamwork skills when moving from the classroom to the clinical setting (Ginsburg </w:t>
      </w:r>
      <w:r w:rsidRPr="00B66E62">
        <w:rPr>
          <w:rFonts w:ascii="Times New Roman" w:hAnsi="Times New Roman" w:cs="Times New Roman"/>
          <w:i/>
          <w:sz w:val="24"/>
          <w:szCs w:val="24"/>
        </w:rPr>
        <w:t xml:space="preserve">et al. </w:t>
      </w:r>
      <w:r w:rsidRPr="00B66E62">
        <w:rPr>
          <w:rFonts w:ascii="Times New Roman" w:hAnsi="Times New Roman" w:cs="Times New Roman"/>
          <w:sz w:val="24"/>
          <w:szCs w:val="24"/>
        </w:rPr>
        <w:t xml:space="preserve">2012). These researchers concluded education on patient safety should be strengthened in undergraduate curricula in the Canadian setting, but little is known about the development of nursing students’ patient safety knowledge and confidence in the Australian setting (Ginsburg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2012).  </w:t>
      </w:r>
    </w:p>
    <w:p w14:paraId="11F866E6" w14:textId="41A99037" w:rsidR="00E105A2" w:rsidRPr="00B66E62" w:rsidRDefault="00360687" w:rsidP="00E105A2">
      <w:pPr>
        <w:autoSpaceDE w:val="0"/>
        <w:autoSpaceDN w:val="0"/>
        <w:adjustRightInd w:val="0"/>
        <w:spacing w:line="480" w:lineRule="auto"/>
        <w:rPr>
          <w:rFonts w:ascii="Times New Roman" w:hAnsi="Times New Roman" w:cs="Times New Roman"/>
          <w:sz w:val="24"/>
          <w:szCs w:val="24"/>
        </w:rPr>
      </w:pPr>
      <w:r w:rsidRPr="00B66E62">
        <w:rPr>
          <w:rFonts w:ascii="Times New Roman" w:hAnsi="Times New Roman" w:cs="Times New Roman"/>
          <w:sz w:val="24"/>
          <w:szCs w:val="24"/>
        </w:rPr>
        <w:lastRenderedPageBreak/>
        <w:t xml:space="preserve">It is important to understand the extent of patient safety knowledge among undergraduate nursing students in order to assess the effectiveness of nurse education and to assess the extent to which we are teaching student nurses to provide safe patient care (Ginsburg </w:t>
      </w:r>
      <w:r w:rsidRPr="00B66E62">
        <w:rPr>
          <w:rFonts w:ascii="Times New Roman" w:hAnsi="Times New Roman" w:cs="Times New Roman"/>
          <w:i/>
          <w:sz w:val="24"/>
          <w:szCs w:val="24"/>
        </w:rPr>
        <w:t>et al</w:t>
      </w:r>
      <w:r w:rsidRPr="00B66E62">
        <w:rPr>
          <w:rFonts w:ascii="Times New Roman" w:hAnsi="Times New Roman" w:cs="Times New Roman"/>
          <w:sz w:val="24"/>
          <w:szCs w:val="24"/>
        </w:rPr>
        <w:t xml:space="preserve">., 2012). </w:t>
      </w:r>
      <w:r w:rsidR="004655DF" w:rsidRPr="00B66E62">
        <w:rPr>
          <w:rFonts w:ascii="Times New Roman" w:hAnsi="Times New Roman" w:cs="Times New Roman"/>
          <w:sz w:val="24"/>
          <w:szCs w:val="24"/>
        </w:rPr>
        <w:t>We were unable to locate any studies that link nurses’ perceptions of low patient safety knowledge and confidence to increased adverse events, or high patient safety knowledge and confidence to lower adverse events, thus this is an area requiring further study.</w:t>
      </w:r>
    </w:p>
    <w:p w14:paraId="053AF95D" w14:textId="7BDBFDEE" w:rsidR="008E5CB2" w:rsidRPr="00B66E62" w:rsidRDefault="00B96976" w:rsidP="00684B2C">
      <w:pPr>
        <w:spacing w:line="480" w:lineRule="auto"/>
        <w:rPr>
          <w:rFonts w:ascii="Times New Roman" w:hAnsi="Times New Roman" w:cs="Times New Roman"/>
          <w:sz w:val="24"/>
          <w:szCs w:val="24"/>
        </w:rPr>
      </w:pPr>
      <w:r w:rsidRPr="00B66E62">
        <w:rPr>
          <w:rFonts w:ascii="Times New Roman" w:hAnsi="Times New Roman" w:cs="Times New Roman"/>
          <w:sz w:val="24"/>
          <w:szCs w:val="24"/>
        </w:rPr>
        <w:t>Building on Bandura’s (19</w:t>
      </w:r>
      <w:r w:rsidR="002E7896" w:rsidRPr="00B66E62">
        <w:rPr>
          <w:rFonts w:ascii="Times New Roman" w:hAnsi="Times New Roman" w:cs="Times New Roman"/>
          <w:sz w:val="24"/>
          <w:szCs w:val="24"/>
        </w:rPr>
        <w:t>88</w:t>
      </w:r>
      <w:r w:rsidRPr="00B66E62">
        <w:rPr>
          <w:rFonts w:ascii="Times New Roman" w:hAnsi="Times New Roman" w:cs="Times New Roman"/>
          <w:sz w:val="24"/>
          <w:szCs w:val="24"/>
        </w:rPr>
        <w:t xml:space="preserve">) theory of self-efficacy, high confidence in </w:t>
      </w:r>
      <w:r w:rsidR="009A644C" w:rsidRPr="00B66E62">
        <w:rPr>
          <w:rFonts w:ascii="Times New Roman" w:hAnsi="Times New Roman" w:cs="Times New Roman"/>
          <w:sz w:val="24"/>
          <w:szCs w:val="24"/>
        </w:rPr>
        <w:t xml:space="preserve">knowledge and </w:t>
      </w:r>
      <w:r w:rsidRPr="00B66E62">
        <w:rPr>
          <w:rFonts w:ascii="Times New Roman" w:hAnsi="Times New Roman" w:cs="Times New Roman"/>
          <w:sz w:val="24"/>
          <w:szCs w:val="24"/>
        </w:rPr>
        <w:t xml:space="preserve">skills can motivate nurses to greater efforts to persist with and complete challenging tasks, and take a wider view of a task such as patient safety. Confident individuals, or those with high self-efficacy, believe that their actions and decisions shape events. Thus, high </w:t>
      </w:r>
      <w:r w:rsidR="00AC504B" w:rsidRPr="00B66E62">
        <w:rPr>
          <w:rFonts w:ascii="Times New Roman" w:hAnsi="Times New Roman" w:cs="Times New Roman"/>
          <w:sz w:val="24"/>
          <w:szCs w:val="24"/>
        </w:rPr>
        <w:t xml:space="preserve">patient safety confidence should lead to greater effort in patient safety and greater persistence in the face of challenges and obstacles to safe patient care. </w:t>
      </w:r>
      <w:r w:rsidRPr="00B66E62">
        <w:rPr>
          <w:rFonts w:ascii="Times New Roman" w:hAnsi="Times New Roman" w:cs="Times New Roman"/>
          <w:sz w:val="24"/>
          <w:szCs w:val="24"/>
        </w:rPr>
        <w:t xml:space="preserve"> </w:t>
      </w:r>
    </w:p>
    <w:p w14:paraId="53B80CF9" w14:textId="77777777" w:rsidR="00EA1AD0" w:rsidRPr="00B66E62" w:rsidRDefault="00EA1AD0" w:rsidP="00A55745">
      <w:pPr>
        <w:autoSpaceDE w:val="0"/>
        <w:autoSpaceDN w:val="0"/>
        <w:adjustRightInd w:val="0"/>
        <w:spacing w:line="480" w:lineRule="auto"/>
        <w:rPr>
          <w:rFonts w:ascii="Times New Roman" w:hAnsi="Times New Roman" w:cs="Times New Roman"/>
          <w:b/>
          <w:sz w:val="24"/>
          <w:szCs w:val="24"/>
        </w:rPr>
      </w:pPr>
      <w:r w:rsidRPr="00B66E62">
        <w:rPr>
          <w:rFonts w:ascii="Times New Roman" w:hAnsi="Times New Roman" w:cs="Times New Roman"/>
          <w:b/>
          <w:sz w:val="24"/>
          <w:szCs w:val="24"/>
        </w:rPr>
        <w:t>Aim</w:t>
      </w:r>
    </w:p>
    <w:p w14:paraId="56D68D30" w14:textId="5E832998" w:rsidR="00EA1AD0" w:rsidRPr="00B66E62" w:rsidRDefault="00685243" w:rsidP="00A55745">
      <w:pPr>
        <w:autoSpaceDE w:val="0"/>
        <w:autoSpaceDN w:val="0"/>
        <w:adjustRightInd w:val="0"/>
        <w:spacing w:line="480" w:lineRule="auto"/>
        <w:rPr>
          <w:rFonts w:ascii="Times New Roman" w:hAnsi="Times New Roman" w:cs="Times New Roman"/>
          <w:sz w:val="24"/>
          <w:szCs w:val="24"/>
        </w:rPr>
      </w:pPr>
      <w:r w:rsidRPr="00B66E62">
        <w:rPr>
          <w:rFonts w:ascii="Times New Roman" w:hAnsi="Times New Roman" w:cs="Times New Roman"/>
          <w:sz w:val="24"/>
          <w:szCs w:val="24"/>
        </w:rPr>
        <w:t>The aim</w:t>
      </w:r>
      <w:r w:rsidR="00AE1644" w:rsidRPr="00B66E62">
        <w:rPr>
          <w:rFonts w:ascii="Times New Roman" w:hAnsi="Times New Roman" w:cs="Times New Roman"/>
          <w:sz w:val="24"/>
          <w:szCs w:val="24"/>
        </w:rPr>
        <w:t xml:space="preserve"> of the </w:t>
      </w:r>
      <w:r w:rsidR="009D468C" w:rsidRPr="00B66E62">
        <w:rPr>
          <w:rFonts w:ascii="Times New Roman" w:hAnsi="Times New Roman" w:cs="Times New Roman"/>
          <w:sz w:val="24"/>
          <w:szCs w:val="24"/>
        </w:rPr>
        <w:t xml:space="preserve">study </w:t>
      </w:r>
      <w:r w:rsidR="007E5D80" w:rsidRPr="00B66E62">
        <w:rPr>
          <w:rFonts w:ascii="Times New Roman" w:hAnsi="Times New Roman" w:cs="Times New Roman"/>
          <w:sz w:val="24"/>
          <w:szCs w:val="24"/>
        </w:rPr>
        <w:t>was</w:t>
      </w:r>
      <w:r w:rsidR="009D468C" w:rsidRPr="00B66E62">
        <w:rPr>
          <w:rFonts w:ascii="Times New Roman" w:hAnsi="Times New Roman" w:cs="Times New Roman"/>
          <w:sz w:val="24"/>
          <w:szCs w:val="24"/>
        </w:rPr>
        <w:t xml:space="preserve"> to </w:t>
      </w:r>
      <w:r w:rsidR="007B5BA6" w:rsidRPr="00B66E62">
        <w:rPr>
          <w:rFonts w:ascii="Times New Roman" w:hAnsi="Times New Roman" w:cs="Times New Roman"/>
          <w:sz w:val="24"/>
          <w:szCs w:val="24"/>
        </w:rPr>
        <w:t xml:space="preserve">describe the perceptions of </w:t>
      </w:r>
      <w:r w:rsidR="001E5DC5" w:rsidRPr="00B66E62">
        <w:rPr>
          <w:rFonts w:ascii="Times New Roman" w:hAnsi="Times New Roman" w:cs="Times New Roman"/>
          <w:sz w:val="24"/>
          <w:szCs w:val="24"/>
        </w:rPr>
        <w:t xml:space="preserve">first, second and third year </w:t>
      </w:r>
      <w:r w:rsidR="00883735" w:rsidRPr="00B66E62">
        <w:rPr>
          <w:rFonts w:ascii="Times New Roman" w:hAnsi="Times New Roman" w:cs="Times New Roman"/>
          <w:sz w:val="24"/>
          <w:szCs w:val="24"/>
        </w:rPr>
        <w:t xml:space="preserve">Australian </w:t>
      </w:r>
      <w:r w:rsidR="007B5BA6" w:rsidRPr="00B66E62">
        <w:rPr>
          <w:rFonts w:ascii="Times New Roman" w:hAnsi="Times New Roman" w:cs="Times New Roman"/>
          <w:sz w:val="24"/>
          <w:szCs w:val="24"/>
        </w:rPr>
        <w:t>undergraduate nursing students</w:t>
      </w:r>
      <w:r w:rsidR="0035624C" w:rsidRPr="00B66E62">
        <w:rPr>
          <w:rFonts w:ascii="Times New Roman" w:hAnsi="Times New Roman" w:cs="Times New Roman"/>
          <w:sz w:val="24"/>
          <w:szCs w:val="24"/>
        </w:rPr>
        <w:t xml:space="preserve"> </w:t>
      </w:r>
      <w:r w:rsidR="007B5BA6" w:rsidRPr="00B66E62">
        <w:rPr>
          <w:rFonts w:ascii="Times New Roman" w:hAnsi="Times New Roman" w:cs="Times New Roman"/>
          <w:sz w:val="24"/>
          <w:szCs w:val="24"/>
        </w:rPr>
        <w:t xml:space="preserve">regarding their </w:t>
      </w:r>
      <w:r w:rsidR="00E8242B" w:rsidRPr="00B66E62">
        <w:rPr>
          <w:rFonts w:ascii="Times New Roman" w:hAnsi="Times New Roman" w:cs="Times New Roman"/>
          <w:sz w:val="24"/>
          <w:szCs w:val="24"/>
        </w:rPr>
        <w:t>confidence in patient safety knowledge</w:t>
      </w:r>
      <w:r w:rsidR="007B5BA6" w:rsidRPr="00B66E62">
        <w:rPr>
          <w:rFonts w:ascii="Times New Roman" w:hAnsi="Times New Roman" w:cs="Times New Roman"/>
          <w:sz w:val="24"/>
          <w:szCs w:val="24"/>
        </w:rPr>
        <w:t xml:space="preserve">, and the differences, if any, in the patient safety </w:t>
      </w:r>
      <w:r w:rsidR="00E8242B" w:rsidRPr="00B66E62">
        <w:rPr>
          <w:rFonts w:ascii="Times New Roman" w:hAnsi="Times New Roman" w:cs="Times New Roman"/>
          <w:sz w:val="24"/>
          <w:szCs w:val="24"/>
        </w:rPr>
        <w:t>knowledge</w:t>
      </w:r>
      <w:r w:rsidR="007B5BA6" w:rsidRPr="00B66E62">
        <w:rPr>
          <w:rFonts w:ascii="Times New Roman" w:hAnsi="Times New Roman" w:cs="Times New Roman"/>
          <w:sz w:val="24"/>
          <w:szCs w:val="24"/>
        </w:rPr>
        <w:t xml:space="preserve"> acquired in the classroom and clinical setting, and across the first, second and third academic year</w:t>
      </w:r>
      <w:r w:rsidR="009D468C" w:rsidRPr="00B66E62">
        <w:rPr>
          <w:rFonts w:ascii="Times New Roman" w:hAnsi="Times New Roman" w:cs="Times New Roman"/>
          <w:sz w:val="24"/>
          <w:szCs w:val="24"/>
        </w:rPr>
        <w:t xml:space="preserve">. </w:t>
      </w:r>
    </w:p>
    <w:p w14:paraId="7FF35761" w14:textId="7756E745" w:rsidR="009D468C" w:rsidRPr="00B66E62" w:rsidRDefault="009D468C" w:rsidP="00A55745">
      <w:pPr>
        <w:autoSpaceDE w:val="0"/>
        <w:autoSpaceDN w:val="0"/>
        <w:adjustRightInd w:val="0"/>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The objectives </w:t>
      </w:r>
      <w:r w:rsidR="0078182C" w:rsidRPr="00B66E62">
        <w:rPr>
          <w:rFonts w:ascii="Times New Roman" w:hAnsi="Times New Roman" w:cs="Times New Roman"/>
          <w:sz w:val="24"/>
          <w:szCs w:val="24"/>
        </w:rPr>
        <w:t xml:space="preserve">of this study </w:t>
      </w:r>
      <w:r w:rsidR="002C502C" w:rsidRPr="00B66E62">
        <w:rPr>
          <w:rFonts w:ascii="Times New Roman" w:hAnsi="Times New Roman" w:cs="Times New Roman"/>
          <w:sz w:val="24"/>
          <w:szCs w:val="24"/>
        </w:rPr>
        <w:t>were</w:t>
      </w:r>
      <w:r w:rsidR="0078182C" w:rsidRPr="00B66E62">
        <w:rPr>
          <w:rFonts w:ascii="Times New Roman" w:hAnsi="Times New Roman" w:cs="Times New Roman"/>
          <w:sz w:val="24"/>
          <w:szCs w:val="24"/>
        </w:rPr>
        <w:t xml:space="preserve"> to</w:t>
      </w:r>
      <w:r w:rsidRPr="00B66E62">
        <w:rPr>
          <w:rFonts w:ascii="Times New Roman" w:hAnsi="Times New Roman" w:cs="Times New Roman"/>
          <w:sz w:val="24"/>
          <w:szCs w:val="24"/>
        </w:rPr>
        <w:t xml:space="preserve">: </w:t>
      </w:r>
    </w:p>
    <w:p w14:paraId="356C287D" w14:textId="64124901" w:rsidR="00685243" w:rsidRPr="00B66E62" w:rsidRDefault="009D468C" w:rsidP="00A55745">
      <w:pPr>
        <w:numPr>
          <w:ilvl w:val="0"/>
          <w:numId w:val="1"/>
        </w:numPr>
        <w:autoSpaceDE w:val="0"/>
        <w:autoSpaceDN w:val="0"/>
        <w:adjustRightInd w:val="0"/>
        <w:spacing w:after="0" w:line="480" w:lineRule="auto"/>
        <w:rPr>
          <w:rFonts w:ascii="Times New Roman" w:hAnsi="Times New Roman" w:cs="Times New Roman"/>
          <w:sz w:val="24"/>
          <w:szCs w:val="24"/>
        </w:rPr>
      </w:pPr>
      <w:r w:rsidRPr="00B66E62">
        <w:rPr>
          <w:rFonts w:ascii="Times New Roman" w:hAnsi="Times New Roman" w:cs="Times New Roman"/>
          <w:sz w:val="24"/>
          <w:szCs w:val="24"/>
        </w:rPr>
        <w:t xml:space="preserve">describe and compare </w:t>
      </w:r>
      <w:r w:rsidR="00883735" w:rsidRPr="00B66E62">
        <w:rPr>
          <w:rFonts w:ascii="Times New Roman" w:hAnsi="Times New Roman" w:cs="Times New Roman"/>
          <w:sz w:val="24"/>
          <w:szCs w:val="24"/>
        </w:rPr>
        <w:t>Australian</w:t>
      </w:r>
      <w:r w:rsidR="0035624C" w:rsidRPr="00B66E62">
        <w:rPr>
          <w:rFonts w:ascii="Times New Roman" w:hAnsi="Times New Roman" w:cs="Times New Roman"/>
          <w:sz w:val="24"/>
          <w:szCs w:val="24"/>
        </w:rPr>
        <w:t xml:space="preserve"> </w:t>
      </w:r>
      <w:r w:rsidR="001E5DC5" w:rsidRPr="00B66E62">
        <w:rPr>
          <w:rFonts w:ascii="Times New Roman" w:hAnsi="Times New Roman" w:cs="Times New Roman"/>
          <w:sz w:val="24"/>
          <w:szCs w:val="24"/>
        </w:rPr>
        <w:t xml:space="preserve">nursing </w:t>
      </w:r>
      <w:r w:rsidR="007B5BA6" w:rsidRPr="00B66E62">
        <w:rPr>
          <w:rFonts w:ascii="Times New Roman" w:hAnsi="Times New Roman" w:cs="Times New Roman"/>
          <w:sz w:val="24"/>
          <w:szCs w:val="24"/>
        </w:rPr>
        <w:t>students’ perceptions of</w:t>
      </w:r>
      <w:r w:rsidRPr="00B66E62">
        <w:rPr>
          <w:rFonts w:ascii="Times New Roman" w:hAnsi="Times New Roman" w:cs="Times New Roman"/>
          <w:sz w:val="24"/>
          <w:szCs w:val="24"/>
        </w:rPr>
        <w:t xml:space="preserve"> </w:t>
      </w:r>
      <w:r w:rsidR="00E8242B" w:rsidRPr="00B66E62">
        <w:rPr>
          <w:rFonts w:ascii="Times New Roman" w:hAnsi="Times New Roman" w:cs="Times New Roman"/>
          <w:sz w:val="24"/>
          <w:szCs w:val="24"/>
        </w:rPr>
        <w:t xml:space="preserve">confidence in patient safety knowledge </w:t>
      </w:r>
      <w:r w:rsidRPr="00B66E62">
        <w:rPr>
          <w:rFonts w:ascii="Times New Roman" w:hAnsi="Times New Roman" w:cs="Times New Roman"/>
          <w:sz w:val="24"/>
          <w:szCs w:val="24"/>
        </w:rPr>
        <w:t>acquired in the class</w:t>
      </w:r>
      <w:r w:rsidR="00685243" w:rsidRPr="00B66E62">
        <w:rPr>
          <w:rFonts w:ascii="Times New Roman" w:hAnsi="Times New Roman" w:cs="Times New Roman"/>
          <w:sz w:val="24"/>
          <w:szCs w:val="24"/>
        </w:rPr>
        <w:t>room and clinical settings</w:t>
      </w:r>
      <w:r w:rsidR="00053876" w:rsidRPr="00B66E62">
        <w:rPr>
          <w:rFonts w:ascii="Times New Roman" w:hAnsi="Times New Roman" w:cs="Times New Roman"/>
          <w:sz w:val="24"/>
          <w:szCs w:val="24"/>
        </w:rPr>
        <w:t>;</w:t>
      </w:r>
      <w:r w:rsidR="00685243" w:rsidRPr="00B66E62">
        <w:rPr>
          <w:rFonts w:ascii="Times New Roman" w:hAnsi="Times New Roman" w:cs="Times New Roman"/>
          <w:sz w:val="24"/>
          <w:szCs w:val="24"/>
        </w:rPr>
        <w:t xml:space="preserve"> </w:t>
      </w:r>
    </w:p>
    <w:p w14:paraId="18047641" w14:textId="49793ADB" w:rsidR="00821881" w:rsidRPr="00B66E62" w:rsidRDefault="009D468C" w:rsidP="00A55745">
      <w:pPr>
        <w:numPr>
          <w:ilvl w:val="0"/>
          <w:numId w:val="1"/>
        </w:numPr>
        <w:autoSpaceDE w:val="0"/>
        <w:autoSpaceDN w:val="0"/>
        <w:adjustRightInd w:val="0"/>
        <w:spacing w:after="0" w:line="480" w:lineRule="auto"/>
        <w:rPr>
          <w:rFonts w:ascii="Times New Roman" w:hAnsi="Times New Roman" w:cs="Times New Roman"/>
          <w:sz w:val="24"/>
          <w:szCs w:val="24"/>
        </w:rPr>
      </w:pPr>
      <w:r w:rsidRPr="00B66E62">
        <w:rPr>
          <w:rFonts w:ascii="Times New Roman" w:hAnsi="Times New Roman" w:cs="Times New Roman"/>
          <w:sz w:val="24"/>
          <w:szCs w:val="24"/>
        </w:rPr>
        <w:t xml:space="preserve"> </w:t>
      </w:r>
      <w:r w:rsidR="007B5BA6" w:rsidRPr="00B66E62">
        <w:rPr>
          <w:rFonts w:ascii="Times New Roman" w:hAnsi="Times New Roman" w:cs="Times New Roman"/>
          <w:sz w:val="24"/>
          <w:szCs w:val="24"/>
        </w:rPr>
        <w:t xml:space="preserve">describe and </w:t>
      </w:r>
      <w:r w:rsidRPr="00B66E62">
        <w:rPr>
          <w:rFonts w:ascii="Times New Roman" w:hAnsi="Times New Roman" w:cs="Times New Roman"/>
          <w:sz w:val="24"/>
          <w:szCs w:val="24"/>
        </w:rPr>
        <w:t xml:space="preserve">compare </w:t>
      </w:r>
      <w:r w:rsidR="00AD2C60" w:rsidRPr="00B66E62">
        <w:rPr>
          <w:rFonts w:ascii="Times New Roman" w:hAnsi="Times New Roman" w:cs="Times New Roman"/>
          <w:sz w:val="24"/>
          <w:szCs w:val="24"/>
        </w:rPr>
        <w:t xml:space="preserve">the development of </w:t>
      </w:r>
      <w:r w:rsidR="00883735" w:rsidRPr="00B66E62">
        <w:rPr>
          <w:rFonts w:ascii="Times New Roman" w:hAnsi="Times New Roman" w:cs="Times New Roman"/>
          <w:sz w:val="24"/>
          <w:szCs w:val="24"/>
        </w:rPr>
        <w:t>Australian</w:t>
      </w:r>
      <w:r w:rsidR="001E5DC5" w:rsidRPr="00B66E62">
        <w:rPr>
          <w:rFonts w:ascii="Times New Roman" w:hAnsi="Times New Roman" w:cs="Times New Roman"/>
          <w:sz w:val="24"/>
          <w:szCs w:val="24"/>
        </w:rPr>
        <w:t xml:space="preserve"> nursing </w:t>
      </w:r>
      <w:r w:rsidR="007B5BA6" w:rsidRPr="00B66E62">
        <w:rPr>
          <w:rFonts w:ascii="Times New Roman" w:hAnsi="Times New Roman" w:cs="Times New Roman"/>
          <w:sz w:val="24"/>
          <w:szCs w:val="24"/>
        </w:rPr>
        <w:t xml:space="preserve">students’ perceptions of </w:t>
      </w:r>
      <w:r w:rsidR="00E8242B" w:rsidRPr="00B66E62">
        <w:rPr>
          <w:rFonts w:ascii="Times New Roman" w:hAnsi="Times New Roman" w:cs="Times New Roman"/>
          <w:sz w:val="24"/>
          <w:szCs w:val="24"/>
        </w:rPr>
        <w:t xml:space="preserve">confidence in patient safety knowledge </w:t>
      </w:r>
      <w:r w:rsidRPr="00B66E62">
        <w:rPr>
          <w:rFonts w:ascii="Times New Roman" w:hAnsi="Times New Roman" w:cs="Times New Roman"/>
          <w:sz w:val="24"/>
          <w:szCs w:val="24"/>
        </w:rPr>
        <w:t xml:space="preserve">across the </w:t>
      </w:r>
      <w:r w:rsidR="002C502C" w:rsidRPr="00B66E62">
        <w:rPr>
          <w:rFonts w:ascii="Times New Roman" w:hAnsi="Times New Roman" w:cs="Times New Roman"/>
          <w:sz w:val="24"/>
          <w:szCs w:val="24"/>
        </w:rPr>
        <w:t xml:space="preserve">three </w:t>
      </w:r>
      <w:r w:rsidR="0078182C" w:rsidRPr="00B66E62">
        <w:rPr>
          <w:rFonts w:ascii="Times New Roman" w:hAnsi="Times New Roman" w:cs="Times New Roman"/>
          <w:sz w:val="24"/>
          <w:szCs w:val="24"/>
        </w:rPr>
        <w:t xml:space="preserve">years of the </w:t>
      </w:r>
      <w:r w:rsidRPr="00B66E62">
        <w:rPr>
          <w:rFonts w:ascii="Times New Roman" w:hAnsi="Times New Roman" w:cs="Times New Roman"/>
          <w:sz w:val="24"/>
          <w:szCs w:val="24"/>
        </w:rPr>
        <w:t>nursing program</w:t>
      </w:r>
      <w:r w:rsidR="00821881" w:rsidRPr="00B66E62">
        <w:rPr>
          <w:rFonts w:ascii="Times New Roman" w:hAnsi="Times New Roman" w:cs="Times New Roman"/>
          <w:sz w:val="24"/>
          <w:szCs w:val="24"/>
        </w:rPr>
        <w:t xml:space="preserve">; and, </w:t>
      </w:r>
    </w:p>
    <w:p w14:paraId="115A0DD1" w14:textId="19497152" w:rsidR="009D468C" w:rsidRPr="00B66E62" w:rsidRDefault="009D468C" w:rsidP="00A55745">
      <w:pPr>
        <w:numPr>
          <w:ilvl w:val="0"/>
          <w:numId w:val="1"/>
        </w:numPr>
        <w:autoSpaceDE w:val="0"/>
        <w:autoSpaceDN w:val="0"/>
        <w:adjustRightInd w:val="0"/>
        <w:spacing w:after="0" w:line="480" w:lineRule="auto"/>
        <w:rPr>
          <w:rFonts w:ascii="Times New Roman" w:hAnsi="Times New Roman" w:cs="Times New Roman"/>
          <w:sz w:val="24"/>
          <w:szCs w:val="24"/>
        </w:rPr>
      </w:pPr>
      <w:r w:rsidRPr="00B66E62">
        <w:rPr>
          <w:rFonts w:ascii="Times New Roman" w:hAnsi="Times New Roman" w:cs="Times New Roman"/>
          <w:sz w:val="24"/>
          <w:szCs w:val="24"/>
        </w:rPr>
        <w:lastRenderedPageBreak/>
        <w:t xml:space="preserve"> </w:t>
      </w:r>
      <w:r w:rsidR="00ED6BD3" w:rsidRPr="00B66E62">
        <w:rPr>
          <w:rFonts w:ascii="Times New Roman" w:hAnsi="Times New Roman" w:cs="Times New Roman"/>
          <w:sz w:val="24"/>
          <w:szCs w:val="24"/>
        </w:rPr>
        <w:t>d</w:t>
      </w:r>
      <w:r w:rsidR="00821881" w:rsidRPr="00B66E62">
        <w:rPr>
          <w:rFonts w:ascii="Times New Roman" w:hAnsi="Times New Roman" w:cs="Times New Roman"/>
          <w:sz w:val="24"/>
          <w:szCs w:val="24"/>
        </w:rPr>
        <w:t xml:space="preserve">escribe and compare </w:t>
      </w:r>
      <w:r w:rsidR="00883735" w:rsidRPr="00B66E62">
        <w:rPr>
          <w:rFonts w:ascii="Times New Roman" w:hAnsi="Times New Roman" w:cs="Times New Roman"/>
          <w:sz w:val="24"/>
          <w:szCs w:val="24"/>
        </w:rPr>
        <w:t>Australian</w:t>
      </w:r>
      <w:r w:rsidR="00821881" w:rsidRPr="00B66E62">
        <w:rPr>
          <w:rFonts w:ascii="Times New Roman" w:hAnsi="Times New Roman" w:cs="Times New Roman"/>
          <w:sz w:val="24"/>
          <w:szCs w:val="24"/>
        </w:rPr>
        <w:t xml:space="preserve"> nursing students’ confidence in speaking up about patient safety.</w:t>
      </w:r>
    </w:p>
    <w:p w14:paraId="46D0CC90" w14:textId="77777777" w:rsidR="009D468C" w:rsidRPr="00B66E62" w:rsidRDefault="009D468C" w:rsidP="00A55745">
      <w:pPr>
        <w:autoSpaceDE w:val="0"/>
        <w:autoSpaceDN w:val="0"/>
        <w:adjustRightInd w:val="0"/>
        <w:spacing w:line="480" w:lineRule="auto"/>
        <w:ind w:left="426"/>
        <w:rPr>
          <w:rFonts w:ascii="Times New Roman" w:hAnsi="Times New Roman" w:cs="Times New Roman"/>
          <w:sz w:val="24"/>
          <w:szCs w:val="24"/>
        </w:rPr>
      </w:pPr>
    </w:p>
    <w:p w14:paraId="7F3DA1EE" w14:textId="77777777" w:rsidR="006666B0" w:rsidRPr="00B66E62" w:rsidRDefault="006666B0"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Methods</w:t>
      </w:r>
    </w:p>
    <w:p w14:paraId="4276E721" w14:textId="63950CBD" w:rsidR="00193317" w:rsidRPr="00B66E62" w:rsidRDefault="00193317"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Design</w:t>
      </w:r>
    </w:p>
    <w:p w14:paraId="031508DD" w14:textId="03DD7198" w:rsidR="004F4DD7" w:rsidRPr="00B66E62" w:rsidRDefault="00193317" w:rsidP="00A55745">
      <w:pPr>
        <w:spacing w:line="480" w:lineRule="auto"/>
        <w:rPr>
          <w:rFonts w:ascii="Times New Roman" w:hAnsi="Times New Roman" w:cs="Times New Roman"/>
          <w:b/>
          <w:sz w:val="24"/>
          <w:szCs w:val="24"/>
        </w:rPr>
      </w:pPr>
      <w:r w:rsidRPr="00B66E62">
        <w:rPr>
          <w:rFonts w:ascii="Times New Roman" w:hAnsi="Times New Roman" w:cs="Times New Roman"/>
          <w:sz w:val="24"/>
          <w:szCs w:val="24"/>
        </w:rPr>
        <w:t xml:space="preserve">This </w:t>
      </w:r>
      <w:r w:rsidR="002B2631" w:rsidRPr="00B66E62">
        <w:rPr>
          <w:rFonts w:ascii="Times New Roman" w:hAnsi="Times New Roman" w:cs="Times New Roman"/>
          <w:sz w:val="24"/>
          <w:szCs w:val="24"/>
        </w:rPr>
        <w:t>multi-site</w:t>
      </w:r>
      <w:r w:rsidR="00883735" w:rsidRPr="00B66E62">
        <w:rPr>
          <w:rFonts w:ascii="Times New Roman" w:hAnsi="Times New Roman" w:cs="Times New Roman"/>
          <w:sz w:val="24"/>
          <w:szCs w:val="24"/>
        </w:rPr>
        <w:t>,</w:t>
      </w:r>
      <w:r w:rsidR="002B2631" w:rsidRPr="00B66E62">
        <w:rPr>
          <w:rFonts w:ascii="Times New Roman" w:hAnsi="Times New Roman" w:cs="Times New Roman"/>
          <w:sz w:val="24"/>
          <w:szCs w:val="24"/>
        </w:rPr>
        <w:t xml:space="preserve"> </w:t>
      </w:r>
      <w:r w:rsidRPr="00B66E62">
        <w:rPr>
          <w:rFonts w:ascii="Times New Roman" w:hAnsi="Times New Roman" w:cs="Times New Roman"/>
          <w:sz w:val="24"/>
          <w:szCs w:val="24"/>
        </w:rPr>
        <w:t xml:space="preserve">cross-sectional study used a web-based survey with </w:t>
      </w:r>
      <w:r w:rsidR="006816C5" w:rsidRPr="00B66E62">
        <w:rPr>
          <w:rFonts w:ascii="Times New Roman" w:hAnsi="Times New Roman" w:cs="Times New Roman"/>
          <w:sz w:val="24"/>
          <w:szCs w:val="24"/>
        </w:rPr>
        <w:t xml:space="preserve">a sample of first, second and third year </w:t>
      </w:r>
      <w:r w:rsidRPr="00B66E62">
        <w:rPr>
          <w:rFonts w:ascii="Times New Roman" w:hAnsi="Times New Roman" w:cs="Times New Roman"/>
          <w:sz w:val="24"/>
          <w:szCs w:val="24"/>
        </w:rPr>
        <w:t>undergraduate nursing students enrolled in seven universities with campuses across three Australian states (Queensland, New South Wales, South Australia).</w:t>
      </w:r>
    </w:p>
    <w:p w14:paraId="7A7A3286" w14:textId="4E09FB4A" w:rsidR="00603F3B" w:rsidRPr="00B66E62" w:rsidRDefault="00603F3B"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Participants</w:t>
      </w:r>
    </w:p>
    <w:p w14:paraId="4A3C48A4" w14:textId="412ED835" w:rsidR="006816C5" w:rsidRPr="00B66E62" w:rsidRDefault="006816C5"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Fourteen Australian university Schools of Nursing (or equivalent) were invited to participate in this multi-site study as research partners; seven agreed to participate</w:t>
      </w:r>
      <w:r w:rsidR="007100A7" w:rsidRPr="00B66E62">
        <w:rPr>
          <w:rFonts w:ascii="Times New Roman" w:hAnsi="Times New Roman" w:cs="Times New Roman"/>
          <w:sz w:val="24"/>
          <w:szCs w:val="24"/>
        </w:rPr>
        <w:t xml:space="preserve">; three regional and </w:t>
      </w:r>
      <w:r w:rsidR="00E80F7A" w:rsidRPr="00B66E62">
        <w:rPr>
          <w:rFonts w:ascii="Times New Roman" w:hAnsi="Times New Roman" w:cs="Times New Roman"/>
          <w:sz w:val="24"/>
          <w:szCs w:val="24"/>
        </w:rPr>
        <w:t xml:space="preserve">four urban </w:t>
      </w:r>
      <w:r w:rsidR="007100A7" w:rsidRPr="00B66E62">
        <w:rPr>
          <w:rFonts w:ascii="Times New Roman" w:hAnsi="Times New Roman" w:cs="Times New Roman"/>
          <w:sz w:val="24"/>
          <w:szCs w:val="24"/>
        </w:rPr>
        <w:t>universities</w:t>
      </w:r>
      <w:r w:rsidR="00E80F7A" w:rsidRPr="00B66E62">
        <w:rPr>
          <w:rFonts w:ascii="Times New Roman" w:hAnsi="Times New Roman" w:cs="Times New Roman"/>
          <w:sz w:val="24"/>
          <w:szCs w:val="24"/>
        </w:rPr>
        <w:t>. One to two School of Nursing staff members at each university</w:t>
      </w:r>
      <w:r w:rsidR="003951CE" w:rsidRPr="00B66E62">
        <w:rPr>
          <w:rFonts w:ascii="Times New Roman" w:hAnsi="Times New Roman" w:cs="Times New Roman"/>
          <w:sz w:val="24"/>
          <w:szCs w:val="24"/>
        </w:rPr>
        <w:t xml:space="preserve"> volunteered to be a research partner and a point-of-contact at their university. </w:t>
      </w:r>
    </w:p>
    <w:p w14:paraId="2DB2DC4C" w14:textId="5E87C079" w:rsidR="006816C5" w:rsidRPr="00B66E62" w:rsidRDefault="00515A21"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All students enrolled in the undergraduate nursing program </w:t>
      </w:r>
      <w:r w:rsidR="004E3B7A" w:rsidRPr="00B66E62">
        <w:rPr>
          <w:rFonts w:ascii="Times New Roman" w:hAnsi="Times New Roman" w:cs="Times New Roman"/>
          <w:sz w:val="24"/>
          <w:szCs w:val="24"/>
        </w:rPr>
        <w:t xml:space="preserve">at each </w:t>
      </w:r>
      <w:r w:rsidR="004E01F2" w:rsidRPr="00B66E62">
        <w:rPr>
          <w:rFonts w:ascii="Times New Roman" w:hAnsi="Times New Roman" w:cs="Times New Roman"/>
          <w:sz w:val="24"/>
          <w:szCs w:val="24"/>
        </w:rPr>
        <w:t xml:space="preserve">of the seven participating </w:t>
      </w:r>
      <w:r w:rsidR="004E3B7A" w:rsidRPr="00B66E62">
        <w:rPr>
          <w:rFonts w:ascii="Times New Roman" w:hAnsi="Times New Roman" w:cs="Times New Roman"/>
          <w:sz w:val="24"/>
          <w:szCs w:val="24"/>
        </w:rPr>
        <w:t>universit</w:t>
      </w:r>
      <w:r w:rsidR="004E01F2" w:rsidRPr="00B66E62">
        <w:rPr>
          <w:rFonts w:ascii="Times New Roman" w:hAnsi="Times New Roman" w:cs="Times New Roman"/>
          <w:sz w:val="24"/>
          <w:szCs w:val="24"/>
        </w:rPr>
        <w:t>ies</w:t>
      </w:r>
      <w:r w:rsidR="004E3B7A" w:rsidRPr="00B66E62">
        <w:rPr>
          <w:rFonts w:ascii="Times New Roman" w:hAnsi="Times New Roman" w:cs="Times New Roman"/>
          <w:sz w:val="24"/>
          <w:szCs w:val="24"/>
        </w:rPr>
        <w:t xml:space="preserve"> </w:t>
      </w:r>
      <w:r w:rsidRPr="00B66E62">
        <w:rPr>
          <w:rFonts w:ascii="Times New Roman" w:hAnsi="Times New Roman" w:cs="Times New Roman"/>
          <w:sz w:val="24"/>
          <w:szCs w:val="24"/>
        </w:rPr>
        <w:t xml:space="preserve">were eligible to participate. </w:t>
      </w:r>
      <w:r w:rsidR="00204B0C" w:rsidRPr="00B66E62">
        <w:rPr>
          <w:rFonts w:ascii="Times New Roman" w:hAnsi="Times New Roman" w:cs="Times New Roman"/>
          <w:sz w:val="24"/>
          <w:szCs w:val="24"/>
        </w:rPr>
        <w:t>F</w:t>
      </w:r>
      <w:r w:rsidR="006816C5" w:rsidRPr="00B66E62">
        <w:rPr>
          <w:rFonts w:ascii="Times New Roman" w:hAnsi="Times New Roman" w:cs="Times New Roman"/>
          <w:sz w:val="24"/>
          <w:szCs w:val="24"/>
        </w:rPr>
        <w:t xml:space="preserve">irst, second and third year </w:t>
      </w:r>
      <w:r w:rsidR="00193317" w:rsidRPr="00B66E62">
        <w:rPr>
          <w:rFonts w:ascii="Times New Roman" w:hAnsi="Times New Roman" w:cs="Times New Roman"/>
          <w:sz w:val="24"/>
          <w:szCs w:val="24"/>
        </w:rPr>
        <w:t>undergraduate nursing students w</w:t>
      </w:r>
      <w:r w:rsidR="00204B0C" w:rsidRPr="00B66E62">
        <w:rPr>
          <w:rFonts w:ascii="Times New Roman" w:hAnsi="Times New Roman" w:cs="Times New Roman"/>
          <w:sz w:val="24"/>
          <w:szCs w:val="24"/>
        </w:rPr>
        <w:t>ere</w:t>
      </w:r>
      <w:r w:rsidR="00193317" w:rsidRPr="00B66E62">
        <w:rPr>
          <w:rFonts w:ascii="Times New Roman" w:hAnsi="Times New Roman" w:cs="Times New Roman"/>
          <w:sz w:val="24"/>
          <w:szCs w:val="24"/>
        </w:rPr>
        <w:t xml:space="preserve"> recruited. The inclusion criteria were students enrolled in the undergraduate nursing program at each of the seven universities. </w:t>
      </w:r>
    </w:p>
    <w:p w14:paraId="18D8ABDF" w14:textId="0E824E7A" w:rsidR="006816C5" w:rsidRPr="00B66E62" w:rsidRDefault="006816C5"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Recruitment</w:t>
      </w:r>
      <w:r w:rsidR="002126DE" w:rsidRPr="00B66E62">
        <w:rPr>
          <w:rFonts w:ascii="Times New Roman" w:hAnsi="Times New Roman" w:cs="Times New Roman"/>
          <w:b/>
          <w:sz w:val="24"/>
          <w:szCs w:val="24"/>
        </w:rPr>
        <w:t xml:space="preserve"> and data collection</w:t>
      </w:r>
    </w:p>
    <w:p w14:paraId="4AB37A5C" w14:textId="55C3EE16" w:rsidR="007A70EE" w:rsidRPr="00B66E62" w:rsidRDefault="003951CE" w:rsidP="00A55745">
      <w:pPr>
        <w:spacing w:line="480" w:lineRule="auto"/>
        <w:rPr>
          <w:rFonts w:ascii="Times New Roman" w:hAnsi="Times New Roman" w:cs="Times New Roman"/>
          <w:sz w:val="24"/>
          <w:szCs w:val="24"/>
        </w:rPr>
      </w:pPr>
      <w:r w:rsidRPr="00B66E62">
        <w:rPr>
          <w:rFonts w:ascii="Times New Roman" w:hAnsi="Times New Roman" w:cs="Times New Roman"/>
          <w:color w:val="000000"/>
          <w:sz w:val="24"/>
          <w:szCs w:val="24"/>
        </w:rPr>
        <w:t xml:space="preserve">An email invitation </w:t>
      </w:r>
      <w:r w:rsidR="00847200" w:rsidRPr="00B66E62">
        <w:rPr>
          <w:rFonts w:ascii="Times New Roman" w:hAnsi="Times New Roman" w:cs="Times New Roman"/>
          <w:color w:val="000000"/>
          <w:sz w:val="24"/>
          <w:szCs w:val="24"/>
        </w:rPr>
        <w:t xml:space="preserve">to participate in the survey </w:t>
      </w:r>
      <w:r w:rsidRPr="00B66E62">
        <w:rPr>
          <w:rFonts w:ascii="Times New Roman" w:hAnsi="Times New Roman" w:cs="Times New Roman"/>
          <w:color w:val="000000"/>
          <w:sz w:val="24"/>
          <w:szCs w:val="24"/>
        </w:rPr>
        <w:t xml:space="preserve">was sent by an independent third party at each university (who was not a nursing lecturer or tutor) to </w:t>
      </w:r>
      <w:r w:rsidR="00CF2608" w:rsidRPr="00B66E62">
        <w:rPr>
          <w:rFonts w:ascii="Times New Roman" w:hAnsi="Times New Roman" w:cs="Times New Roman"/>
          <w:color w:val="000000"/>
          <w:sz w:val="24"/>
          <w:szCs w:val="24"/>
        </w:rPr>
        <w:t xml:space="preserve">all undergraduate </w:t>
      </w:r>
      <w:r w:rsidRPr="00B66E62">
        <w:rPr>
          <w:rFonts w:ascii="Times New Roman" w:hAnsi="Times New Roman" w:cs="Times New Roman"/>
          <w:color w:val="000000"/>
          <w:sz w:val="24"/>
          <w:szCs w:val="24"/>
        </w:rPr>
        <w:t xml:space="preserve">nursing students. The </w:t>
      </w:r>
      <w:r w:rsidR="00BB1817" w:rsidRPr="00B66E62">
        <w:rPr>
          <w:rFonts w:ascii="Times New Roman" w:hAnsi="Times New Roman" w:cs="Times New Roman"/>
          <w:color w:val="000000"/>
          <w:sz w:val="24"/>
          <w:szCs w:val="24"/>
        </w:rPr>
        <w:t xml:space="preserve">invitation </w:t>
      </w:r>
      <w:r w:rsidRPr="00B66E62">
        <w:rPr>
          <w:rFonts w:ascii="Times New Roman" w:hAnsi="Times New Roman" w:cs="Times New Roman"/>
          <w:color w:val="000000"/>
          <w:sz w:val="24"/>
          <w:szCs w:val="24"/>
        </w:rPr>
        <w:t xml:space="preserve">email described the study, </w:t>
      </w:r>
      <w:r w:rsidR="007100A7" w:rsidRPr="00B66E62">
        <w:rPr>
          <w:rFonts w:ascii="Times New Roman" w:hAnsi="Times New Roman" w:cs="Times New Roman"/>
          <w:color w:val="000000"/>
          <w:sz w:val="24"/>
          <w:szCs w:val="24"/>
        </w:rPr>
        <w:t xml:space="preserve">described </w:t>
      </w:r>
      <w:r w:rsidRPr="00B66E62">
        <w:rPr>
          <w:rFonts w:ascii="Times New Roman" w:hAnsi="Times New Roman" w:cs="Times New Roman"/>
          <w:color w:val="000000"/>
          <w:sz w:val="24"/>
          <w:szCs w:val="24"/>
        </w:rPr>
        <w:t>what participation involved for the student, and clearly state</w:t>
      </w:r>
      <w:r w:rsidR="00CF2608" w:rsidRPr="00B66E62">
        <w:rPr>
          <w:rFonts w:ascii="Times New Roman" w:hAnsi="Times New Roman" w:cs="Times New Roman"/>
          <w:color w:val="000000"/>
          <w:sz w:val="24"/>
          <w:szCs w:val="24"/>
        </w:rPr>
        <w:t>d</w:t>
      </w:r>
      <w:r w:rsidRPr="00B66E62">
        <w:rPr>
          <w:rFonts w:ascii="Times New Roman" w:hAnsi="Times New Roman" w:cs="Times New Roman"/>
          <w:color w:val="000000"/>
          <w:sz w:val="24"/>
          <w:szCs w:val="24"/>
        </w:rPr>
        <w:t xml:space="preserve"> that participating in the study and completing the </w:t>
      </w:r>
      <w:r w:rsidR="00CF2608" w:rsidRPr="00B66E62">
        <w:rPr>
          <w:rFonts w:ascii="Times New Roman" w:hAnsi="Times New Roman" w:cs="Times New Roman"/>
          <w:color w:val="000000"/>
          <w:sz w:val="24"/>
          <w:szCs w:val="24"/>
        </w:rPr>
        <w:t>questionnaire</w:t>
      </w:r>
      <w:r w:rsidRPr="00B66E62">
        <w:rPr>
          <w:rFonts w:ascii="Times New Roman" w:hAnsi="Times New Roman" w:cs="Times New Roman"/>
          <w:color w:val="000000"/>
          <w:sz w:val="24"/>
          <w:szCs w:val="24"/>
        </w:rPr>
        <w:t xml:space="preserve"> </w:t>
      </w:r>
      <w:r w:rsidR="000911B1" w:rsidRPr="00B66E62">
        <w:rPr>
          <w:rFonts w:ascii="Times New Roman" w:hAnsi="Times New Roman" w:cs="Times New Roman"/>
          <w:color w:val="000000"/>
          <w:sz w:val="24"/>
          <w:szCs w:val="24"/>
        </w:rPr>
        <w:t xml:space="preserve">was </w:t>
      </w:r>
      <w:r w:rsidRPr="00B66E62">
        <w:rPr>
          <w:rFonts w:ascii="Times New Roman" w:hAnsi="Times New Roman" w:cs="Times New Roman"/>
          <w:color w:val="000000"/>
          <w:sz w:val="24"/>
          <w:szCs w:val="24"/>
        </w:rPr>
        <w:t>voluntary.</w:t>
      </w:r>
      <w:r w:rsidR="00CF2608" w:rsidRPr="00B66E62">
        <w:rPr>
          <w:rFonts w:ascii="Times New Roman" w:hAnsi="Times New Roman" w:cs="Times New Roman"/>
          <w:color w:val="000000"/>
          <w:sz w:val="24"/>
          <w:szCs w:val="24"/>
        </w:rPr>
        <w:t xml:space="preserve"> A link to the online questionnaire was included in the email. </w:t>
      </w:r>
      <w:r w:rsidR="007A70EE" w:rsidRPr="00B66E62">
        <w:rPr>
          <w:rFonts w:ascii="Times New Roman" w:hAnsi="Times New Roman" w:cs="Times New Roman"/>
          <w:sz w:val="24"/>
          <w:szCs w:val="24"/>
        </w:rPr>
        <w:t xml:space="preserve">The online </w:t>
      </w:r>
      <w:r w:rsidR="007A70EE" w:rsidRPr="00B66E62">
        <w:rPr>
          <w:rFonts w:ascii="Times New Roman" w:hAnsi="Times New Roman" w:cs="Times New Roman"/>
          <w:sz w:val="24"/>
          <w:szCs w:val="24"/>
        </w:rPr>
        <w:lastRenderedPageBreak/>
        <w:t xml:space="preserve">questionnaire (hosted by Survey Monkey) was made available to all nursing students of each of the participating universities between September and December 2015. </w:t>
      </w:r>
      <w:r w:rsidR="00CF2608" w:rsidRPr="00B66E62">
        <w:rPr>
          <w:rFonts w:ascii="Times New Roman" w:hAnsi="Times New Roman" w:cs="Times New Roman"/>
          <w:color w:val="000000"/>
          <w:sz w:val="24"/>
          <w:szCs w:val="24"/>
        </w:rPr>
        <w:t xml:space="preserve">The first page of the online questionnaire was a participant information sheet that </w:t>
      </w:r>
      <w:r w:rsidR="001535C5" w:rsidRPr="00B66E62">
        <w:rPr>
          <w:rFonts w:ascii="Times New Roman" w:hAnsi="Times New Roman" w:cs="Times New Roman"/>
          <w:color w:val="000000"/>
          <w:sz w:val="24"/>
          <w:szCs w:val="24"/>
        </w:rPr>
        <w:t xml:space="preserve">gave more information about </w:t>
      </w:r>
      <w:r w:rsidR="00CF2608" w:rsidRPr="00B66E62">
        <w:rPr>
          <w:rFonts w:ascii="Times New Roman" w:hAnsi="Times New Roman" w:cs="Times New Roman"/>
          <w:color w:val="000000"/>
          <w:sz w:val="24"/>
          <w:szCs w:val="24"/>
        </w:rPr>
        <w:t xml:space="preserve">the study, and named all research partner universities. </w:t>
      </w:r>
      <w:r w:rsidR="00686390" w:rsidRPr="00B66E62">
        <w:rPr>
          <w:rFonts w:ascii="Times New Roman" w:hAnsi="Times New Roman" w:cs="Times New Roman"/>
          <w:color w:val="000000"/>
          <w:sz w:val="24"/>
          <w:szCs w:val="24"/>
        </w:rPr>
        <w:t>At this time,</w:t>
      </w:r>
      <w:r w:rsidR="00847200" w:rsidRPr="00B66E62">
        <w:rPr>
          <w:rFonts w:ascii="Times New Roman" w:hAnsi="Times New Roman" w:cs="Times New Roman"/>
          <w:color w:val="000000"/>
          <w:sz w:val="24"/>
          <w:szCs w:val="24"/>
        </w:rPr>
        <w:t xml:space="preserve"> </w:t>
      </w:r>
      <w:r w:rsidR="00847200" w:rsidRPr="00B66E62">
        <w:rPr>
          <w:rFonts w:ascii="Times New Roman" w:hAnsi="Times New Roman" w:cs="Times New Roman"/>
          <w:sz w:val="24"/>
          <w:szCs w:val="24"/>
        </w:rPr>
        <w:t xml:space="preserve">to encourage participation in the study, participants were told that they would be entered into a draw to win a gift card if they supplied a telephone number or email address. They were also informed that this contact information would be stored separately from the questionnaire data so as to ensure anonymity and confidentiality of the responses. </w:t>
      </w:r>
    </w:p>
    <w:p w14:paraId="09644FFA" w14:textId="41206ADA" w:rsidR="004E01F2" w:rsidRPr="00B66E62" w:rsidRDefault="00D444C4" w:rsidP="00A55745">
      <w:pPr>
        <w:spacing w:line="480" w:lineRule="auto"/>
        <w:rPr>
          <w:rFonts w:ascii="Times New Roman" w:eastAsia="Times New Roman" w:hAnsi="Times New Roman" w:cs="Times New Roman"/>
          <w:b/>
          <w:sz w:val="24"/>
          <w:szCs w:val="24"/>
        </w:rPr>
      </w:pPr>
      <w:r w:rsidRPr="00B66E62">
        <w:rPr>
          <w:rFonts w:ascii="Times New Roman" w:eastAsia="Times New Roman" w:hAnsi="Times New Roman" w:cs="Times New Roman"/>
          <w:b/>
          <w:sz w:val="24"/>
          <w:szCs w:val="24"/>
        </w:rPr>
        <w:t>Data collection</w:t>
      </w:r>
      <w:r w:rsidR="0052761E" w:rsidRPr="00B66E62">
        <w:rPr>
          <w:rFonts w:ascii="Times New Roman" w:eastAsia="Times New Roman" w:hAnsi="Times New Roman" w:cs="Times New Roman"/>
          <w:b/>
          <w:sz w:val="24"/>
          <w:szCs w:val="24"/>
        </w:rPr>
        <w:t xml:space="preserve"> </w:t>
      </w:r>
      <w:r w:rsidR="004E01F2" w:rsidRPr="00B66E62">
        <w:rPr>
          <w:rFonts w:ascii="Times New Roman" w:eastAsia="Times New Roman" w:hAnsi="Times New Roman" w:cs="Times New Roman"/>
          <w:b/>
          <w:sz w:val="24"/>
          <w:szCs w:val="24"/>
        </w:rPr>
        <w:t>instrument</w:t>
      </w:r>
    </w:p>
    <w:p w14:paraId="30E71F32" w14:textId="2435F6FC" w:rsidR="006D10A0" w:rsidRPr="00B66E62" w:rsidRDefault="00D444C4" w:rsidP="00A55745">
      <w:pPr>
        <w:spacing w:line="480" w:lineRule="auto"/>
        <w:rPr>
          <w:rFonts w:ascii="Times New Roman" w:hAnsi="Times New Roman" w:cs="Times New Roman"/>
          <w:sz w:val="24"/>
          <w:szCs w:val="24"/>
          <w:lang w:val="en-US"/>
        </w:rPr>
      </w:pPr>
      <w:r w:rsidRPr="00B66E62">
        <w:rPr>
          <w:rFonts w:ascii="Times New Roman" w:hAnsi="Times New Roman" w:cs="Times New Roman"/>
          <w:sz w:val="24"/>
          <w:szCs w:val="24"/>
        </w:rPr>
        <w:t>T</w:t>
      </w:r>
      <w:r w:rsidR="00045D2F" w:rsidRPr="00B66E62">
        <w:rPr>
          <w:rFonts w:ascii="Times New Roman" w:hAnsi="Times New Roman" w:cs="Times New Roman"/>
          <w:sz w:val="24"/>
          <w:szCs w:val="24"/>
        </w:rPr>
        <w:t xml:space="preserve">he Health Professional Education in Patient Safety Survey (H-PEPSS) </w:t>
      </w:r>
      <w:r w:rsidRPr="00B66E62">
        <w:rPr>
          <w:rFonts w:ascii="Times New Roman" w:hAnsi="Times New Roman" w:cs="Times New Roman"/>
          <w:sz w:val="24"/>
          <w:szCs w:val="24"/>
        </w:rPr>
        <w:t>tool</w:t>
      </w:r>
      <w:r w:rsidR="006F0D8A" w:rsidRPr="00B66E62">
        <w:rPr>
          <w:rFonts w:ascii="Times New Roman" w:hAnsi="Times New Roman" w:cs="Times New Roman"/>
          <w:sz w:val="24"/>
          <w:szCs w:val="24"/>
        </w:rPr>
        <w:t>,</w:t>
      </w:r>
      <w:r w:rsidRPr="00B66E62">
        <w:rPr>
          <w:rFonts w:ascii="Times New Roman" w:hAnsi="Times New Roman" w:cs="Times New Roman"/>
          <w:sz w:val="24"/>
          <w:szCs w:val="24"/>
        </w:rPr>
        <w:t xml:space="preserve"> </w:t>
      </w:r>
      <w:r w:rsidR="006F0D8A" w:rsidRPr="00B66E62">
        <w:rPr>
          <w:rFonts w:ascii="Times New Roman" w:hAnsi="Times New Roman" w:cs="Times New Roman"/>
          <w:sz w:val="24"/>
          <w:szCs w:val="24"/>
        </w:rPr>
        <w:t xml:space="preserve">originally developed and validated by Ginsburg </w:t>
      </w:r>
      <w:r w:rsidR="006F0D8A" w:rsidRPr="00B66E62">
        <w:rPr>
          <w:rFonts w:ascii="Times New Roman" w:hAnsi="Times New Roman" w:cs="Times New Roman"/>
          <w:i/>
          <w:sz w:val="24"/>
          <w:szCs w:val="24"/>
        </w:rPr>
        <w:t xml:space="preserve">et al. </w:t>
      </w:r>
      <w:r w:rsidR="006F0D8A" w:rsidRPr="00B66E62">
        <w:rPr>
          <w:rFonts w:ascii="Times New Roman" w:hAnsi="Times New Roman" w:cs="Times New Roman"/>
          <w:sz w:val="24"/>
          <w:szCs w:val="24"/>
        </w:rPr>
        <w:t xml:space="preserve">(2012, 2013), was </w:t>
      </w:r>
      <w:r w:rsidRPr="00B66E62">
        <w:rPr>
          <w:rFonts w:ascii="Times New Roman" w:hAnsi="Times New Roman" w:cs="Times New Roman"/>
          <w:sz w:val="24"/>
          <w:szCs w:val="24"/>
        </w:rPr>
        <w:t>used for data collection</w:t>
      </w:r>
      <w:r w:rsidR="00045D2F" w:rsidRPr="00B66E62">
        <w:rPr>
          <w:rFonts w:ascii="Times New Roman" w:hAnsi="Times New Roman" w:cs="Times New Roman"/>
          <w:sz w:val="24"/>
          <w:szCs w:val="24"/>
        </w:rPr>
        <w:t xml:space="preserve">. </w:t>
      </w:r>
      <w:r w:rsidRPr="00B66E62">
        <w:rPr>
          <w:rFonts w:ascii="Times New Roman" w:hAnsi="Times New Roman" w:cs="Times New Roman"/>
          <w:sz w:val="24"/>
          <w:szCs w:val="24"/>
        </w:rPr>
        <w:t xml:space="preserve">The instrument </w:t>
      </w:r>
      <w:r w:rsidR="00D95192" w:rsidRPr="00B66E62">
        <w:rPr>
          <w:rFonts w:ascii="Times New Roman" w:hAnsi="Times New Roman" w:cs="Times New Roman"/>
          <w:sz w:val="24"/>
          <w:szCs w:val="24"/>
        </w:rPr>
        <w:t xml:space="preserve">was designed to </w:t>
      </w:r>
      <w:r w:rsidR="00B669C8" w:rsidRPr="00B66E62">
        <w:rPr>
          <w:rFonts w:ascii="Times New Roman" w:hAnsi="Times New Roman" w:cs="Times New Roman"/>
          <w:sz w:val="24"/>
          <w:szCs w:val="24"/>
        </w:rPr>
        <w:t>measure</w:t>
      </w:r>
      <w:r w:rsidR="00D95192" w:rsidRPr="00B66E62">
        <w:rPr>
          <w:rFonts w:ascii="Times New Roman" w:hAnsi="Times New Roman" w:cs="Times New Roman"/>
          <w:sz w:val="24"/>
          <w:szCs w:val="24"/>
        </w:rPr>
        <w:t xml:space="preserve"> health professionals’ </w:t>
      </w:r>
      <w:r w:rsidRPr="00B66E62">
        <w:rPr>
          <w:rFonts w:ascii="Times New Roman" w:hAnsi="Times New Roman" w:cs="Times New Roman"/>
          <w:sz w:val="24"/>
          <w:szCs w:val="24"/>
        </w:rPr>
        <w:t xml:space="preserve">and students’ </w:t>
      </w:r>
      <w:r w:rsidR="00BB1817" w:rsidRPr="00B66E62">
        <w:rPr>
          <w:rFonts w:ascii="Times New Roman" w:hAnsi="Times New Roman" w:cs="Times New Roman"/>
          <w:sz w:val="24"/>
          <w:szCs w:val="24"/>
        </w:rPr>
        <w:t xml:space="preserve">knowledge and </w:t>
      </w:r>
      <w:r w:rsidR="008E1C95" w:rsidRPr="00B66E62">
        <w:rPr>
          <w:rFonts w:ascii="Times New Roman" w:hAnsi="Times New Roman" w:cs="Times New Roman"/>
          <w:sz w:val="24"/>
          <w:szCs w:val="24"/>
        </w:rPr>
        <w:t>confidence</w:t>
      </w:r>
      <w:r w:rsidRPr="00B66E62">
        <w:rPr>
          <w:rFonts w:ascii="Times New Roman" w:hAnsi="Times New Roman" w:cs="Times New Roman"/>
          <w:sz w:val="24"/>
          <w:szCs w:val="24"/>
        </w:rPr>
        <w:t xml:space="preserve"> in </w:t>
      </w:r>
      <w:r w:rsidR="00D95192" w:rsidRPr="00B66E62">
        <w:rPr>
          <w:rFonts w:ascii="Times New Roman" w:hAnsi="Times New Roman" w:cs="Times New Roman"/>
          <w:sz w:val="24"/>
          <w:szCs w:val="24"/>
        </w:rPr>
        <w:t xml:space="preserve">six </w:t>
      </w:r>
      <w:r w:rsidR="00CD49EE" w:rsidRPr="00B66E62">
        <w:rPr>
          <w:rFonts w:ascii="Times New Roman" w:hAnsi="Times New Roman" w:cs="Times New Roman"/>
          <w:sz w:val="24"/>
          <w:szCs w:val="24"/>
        </w:rPr>
        <w:t xml:space="preserve">key areas </w:t>
      </w:r>
      <w:r w:rsidR="00D95192" w:rsidRPr="00B66E62">
        <w:rPr>
          <w:rFonts w:ascii="Times New Roman" w:hAnsi="Times New Roman" w:cs="Times New Roman"/>
          <w:sz w:val="24"/>
          <w:szCs w:val="24"/>
        </w:rPr>
        <w:t>of patient safety</w:t>
      </w:r>
      <w:r w:rsidR="00F2328F" w:rsidRPr="00B66E62">
        <w:rPr>
          <w:rFonts w:ascii="Times New Roman" w:hAnsi="Times New Roman" w:cs="Times New Roman"/>
          <w:sz w:val="24"/>
          <w:szCs w:val="24"/>
        </w:rPr>
        <w:t xml:space="preserve"> (16 items)</w:t>
      </w:r>
      <w:r w:rsidR="00CD49EE" w:rsidRPr="00B66E62">
        <w:rPr>
          <w:rFonts w:ascii="Times New Roman" w:hAnsi="Times New Roman" w:cs="Times New Roman"/>
          <w:sz w:val="24"/>
          <w:szCs w:val="24"/>
        </w:rPr>
        <w:t>:</w:t>
      </w:r>
      <w:r w:rsidR="00D95192" w:rsidRPr="00B66E62">
        <w:rPr>
          <w:rFonts w:ascii="Times New Roman" w:hAnsi="Times New Roman" w:cs="Times New Roman"/>
          <w:sz w:val="24"/>
          <w:szCs w:val="24"/>
        </w:rPr>
        <w:t xml:space="preserve"> </w:t>
      </w:r>
      <w:r w:rsidR="00DB2795" w:rsidRPr="00B66E62">
        <w:rPr>
          <w:rFonts w:ascii="Times New Roman" w:hAnsi="Times New Roman" w:cs="Times New Roman"/>
          <w:i/>
          <w:sz w:val="24"/>
          <w:szCs w:val="24"/>
        </w:rPr>
        <w:t xml:space="preserve">Culture </w:t>
      </w:r>
      <w:r w:rsidR="00D95192" w:rsidRPr="00B66E62">
        <w:rPr>
          <w:rFonts w:ascii="Times New Roman" w:hAnsi="Times New Roman" w:cs="Times New Roman"/>
          <w:i/>
          <w:sz w:val="24"/>
          <w:szCs w:val="24"/>
        </w:rPr>
        <w:t>of safety</w:t>
      </w:r>
      <w:r w:rsidR="00D95192" w:rsidRPr="00B66E62">
        <w:rPr>
          <w:rFonts w:ascii="Times New Roman" w:hAnsi="Times New Roman" w:cs="Times New Roman"/>
          <w:sz w:val="24"/>
          <w:szCs w:val="24"/>
        </w:rPr>
        <w:t xml:space="preserve"> (3 items), </w:t>
      </w:r>
      <w:r w:rsidR="00DB2795" w:rsidRPr="00B66E62">
        <w:rPr>
          <w:rFonts w:ascii="Times New Roman" w:hAnsi="Times New Roman" w:cs="Times New Roman"/>
          <w:i/>
          <w:sz w:val="24"/>
          <w:szCs w:val="24"/>
        </w:rPr>
        <w:t xml:space="preserve">Working </w:t>
      </w:r>
      <w:r w:rsidR="00D95192" w:rsidRPr="00B66E62">
        <w:rPr>
          <w:rFonts w:ascii="Times New Roman" w:hAnsi="Times New Roman" w:cs="Times New Roman"/>
          <w:i/>
          <w:sz w:val="24"/>
          <w:szCs w:val="24"/>
        </w:rPr>
        <w:t xml:space="preserve">in </w:t>
      </w:r>
      <w:r w:rsidR="00CD49EE" w:rsidRPr="00B66E62">
        <w:rPr>
          <w:rFonts w:ascii="Times New Roman" w:hAnsi="Times New Roman" w:cs="Times New Roman"/>
          <w:i/>
          <w:sz w:val="24"/>
          <w:szCs w:val="24"/>
        </w:rPr>
        <w:t xml:space="preserve">a </w:t>
      </w:r>
      <w:r w:rsidR="00D95192" w:rsidRPr="00B66E62">
        <w:rPr>
          <w:rFonts w:ascii="Times New Roman" w:hAnsi="Times New Roman" w:cs="Times New Roman"/>
          <w:i/>
          <w:sz w:val="24"/>
          <w:szCs w:val="24"/>
        </w:rPr>
        <w:t>team</w:t>
      </w:r>
      <w:r w:rsidR="00CD49EE" w:rsidRPr="00B66E62">
        <w:rPr>
          <w:rFonts w:ascii="Times New Roman" w:hAnsi="Times New Roman" w:cs="Times New Roman"/>
          <w:i/>
          <w:sz w:val="24"/>
          <w:szCs w:val="24"/>
        </w:rPr>
        <w:t xml:space="preserve"> with other health professionals</w:t>
      </w:r>
      <w:r w:rsidR="00D95192" w:rsidRPr="00B66E62">
        <w:rPr>
          <w:rFonts w:ascii="Times New Roman" w:hAnsi="Times New Roman" w:cs="Times New Roman"/>
          <w:sz w:val="24"/>
          <w:szCs w:val="24"/>
        </w:rPr>
        <w:t xml:space="preserve"> (3 items), </w:t>
      </w:r>
      <w:r w:rsidR="00DB2795" w:rsidRPr="00B66E62">
        <w:rPr>
          <w:rFonts w:ascii="Times New Roman" w:hAnsi="Times New Roman" w:cs="Times New Roman"/>
          <w:i/>
          <w:sz w:val="24"/>
          <w:szCs w:val="24"/>
        </w:rPr>
        <w:t xml:space="preserve">Communicating </w:t>
      </w:r>
      <w:r w:rsidR="00D95192" w:rsidRPr="00B66E62">
        <w:rPr>
          <w:rFonts w:ascii="Times New Roman" w:hAnsi="Times New Roman" w:cs="Times New Roman"/>
          <w:i/>
          <w:sz w:val="24"/>
          <w:szCs w:val="24"/>
        </w:rPr>
        <w:t>effectively</w:t>
      </w:r>
      <w:r w:rsidR="00D95192" w:rsidRPr="00B66E62">
        <w:rPr>
          <w:rFonts w:ascii="Times New Roman" w:hAnsi="Times New Roman" w:cs="Times New Roman"/>
          <w:sz w:val="24"/>
          <w:szCs w:val="24"/>
        </w:rPr>
        <w:t xml:space="preserve"> (3 items), </w:t>
      </w:r>
      <w:r w:rsidR="00DB2795" w:rsidRPr="00B66E62">
        <w:rPr>
          <w:rFonts w:ascii="Times New Roman" w:hAnsi="Times New Roman" w:cs="Times New Roman"/>
          <w:i/>
          <w:sz w:val="24"/>
          <w:szCs w:val="24"/>
        </w:rPr>
        <w:t xml:space="preserve">Managing </w:t>
      </w:r>
      <w:r w:rsidR="00D95192" w:rsidRPr="00B66E62">
        <w:rPr>
          <w:rFonts w:ascii="Times New Roman" w:hAnsi="Times New Roman" w:cs="Times New Roman"/>
          <w:i/>
          <w:sz w:val="24"/>
          <w:szCs w:val="24"/>
        </w:rPr>
        <w:t>safety risks</w:t>
      </w:r>
      <w:r w:rsidR="00D95192" w:rsidRPr="00B66E62">
        <w:rPr>
          <w:rFonts w:ascii="Times New Roman" w:hAnsi="Times New Roman" w:cs="Times New Roman"/>
          <w:sz w:val="24"/>
          <w:szCs w:val="24"/>
        </w:rPr>
        <w:t xml:space="preserve"> (3 items), </w:t>
      </w:r>
      <w:r w:rsidR="00DB2795" w:rsidRPr="00B66E62">
        <w:rPr>
          <w:rFonts w:ascii="Times New Roman" w:hAnsi="Times New Roman" w:cs="Times New Roman"/>
          <w:i/>
          <w:sz w:val="24"/>
          <w:szCs w:val="24"/>
        </w:rPr>
        <w:t xml:space="preserve">Understanding </w:t>
      </w:r>
      <w:r w:rsidR="00D95192" w:rsidRPr="00B66E62">
        <w:rPr>
          <w:rFonts w:ascii="Times New Roman" w:hAnsi="Times New Roman" w:cs="Times New Roman"/>
          <w:i/>
          <w:sz w:val="24"/>
          <w:szCs w:val="24"/>
        </w:rPr>
        <w:t>human and environmental factors</w:t>
      </w:r>
      <w:r w:rsidR="00D95192" w:rsidRPr="00B66E62">
        <w:rPr>
          <w:rFonts w:ascii="Times New Roman" w:hAnsi="Times New Roman" w:cs="Times New Roman"/>
          <w:sz w:val="24"/>
          <w:szCs w:val="24"/>
        </w:rPr>
        <w:t xml:space="preserve"> (2 items), and </w:t>
      </w:r>
      <w:r w:rsidR="00DB2795" w:rsidRPr="00B66E62">
        <w:rPr>
          <w:rFonts w:ascii="Times New Roman" w:hAnsi="Times New Roman" w:cs="Times New Roman"/>
          <w:i/>
          <w:sz w:val="24"/>
          <w:szCs w:val="24"/>
        </w:rPr>
        <w:t>Recognising</w:t>
      </w:r>
      <w:r w:rsidR="00CD49EE" w:rsidRPr="00B66E62">
        <w:rPr>
          <w:rFonts w:ascii="Times New Roman" w:hAnsi="Times New Roman" w:cs="Times New Roman"/>
          <w:i/>
          <w:sz w:val="24"/>
          <w:szCs w:val="24"/>
        </w:rPr>
        <w:t>,</w:t>
      </w:r>
      <w:r w:rsidR="00D95192" w:rsidRPr="00B66E62">
        <w:rPr>
          <w:rFonts w:ascii="Times New Roman" w:hAnsi="Times New Roman" w:cs="Times New Roman"/>
          <w:i/>
          <w:sz w:val="24"/>
          <w:szCs w:val="24"/>
        </w:rPr>
        <w:t xml:space="preserve"> respond</w:t>
      </w:r>
      <w:r w:rsidR="00CD49EE" w:rsidRPr="00B66E62">
        <w:rPr>
          <w:rFonts w:ascii="Times New Roman" w:hAnsi="Times New Roman" w:cs="Times New Roman"/>
          <w:i/>
          <w:sz w:val="24"/>
          <w:szCs w:val="24"/>
        </w:rPr>
        <w:t>ing</w:t>
      </w:r>
      <w:r w:rsidR="00D95192" w:rsidRPr="00B66E62">
        <w:rPr>
          <w:rFonts w:ascii="Times New Roman" w:hAnsi="Times New Roman" w:cs="Times New Roman"/>
          <w:i/>
          <w:sz w:val="24"/>
          <w:szCs w:val="24"/>
        </w:rPr>
        <w:t xml:space="preserve"> to and disclos</w:t>
      </w:r>
      <w:r w:rsidR="00CD49EE" w:rsidRPr="00B66E62">
        <w:rPr>
          <w:rFonts w:ascii="Times New Roman" w:hAnsi="Times New Roman" w:cs="Times New Roman"/>
          <w:i/>
          <w:sz w:val="24"/>
          <w:szCs w:val="24"/>
        </w:rPr>
        <w:t>ing</w:t>
      </w:r>
      <w:r w:rsidR="00D95192" w:rsidRPr="00B66E62">
        <w:rPr>
          <w:rFonts w:ascii="Times New Roman" w:hAnsi="Times New Roman" w:cs="Times New Roman"/>
          <w:i/>
          <w:sz w:val="24"/>
          <w:szCs w:val="24"/>
        </w:rPr>
        <w:t xml:space="preserve"> adverse events and close calls</w:t>
      </w:r>
      <w:r w:rsidR="00D95192" w:rsidRPr="00B66E62">
        <w:rPr>
          <w:rFonts w:ascii="Times New Roman" w:hAnsi="Times New Roman" w:cs="Times New Roman"/>
          <w:sz w:val="24"/>
          <w:szCs w:val="24"/>
        </w:rPr>
        <w:t xml:space="preserve"> (2 items). </w:t>
      </w:r>
      <w:r w:rsidR="00F2328F" w:rsidRPr="00B66E62">
        <w:rPr>
          <w:rFonts w:ascii="Times New Roman" w:hAnsi="Times New Roman" w:cs="Times New Roman"/>
          <w:sz w:val="24"/>
          <w:szCs w:val="24"/>
        </w:rPr>
        <w:t xml:space="preserve">The H-PEPSS also contains a </w:t>
      </w:r>
      <w:r w:rsidR="00B320E4" w:rsidRPr="00B66E62">
        <w:rPr>
          <w:rFonts w:ascii="Times New Roman" w:hAnsi="Times New Roman" w:cs="Times New Roman"/>
          <w:i/>
          <w:sz w:val="24"/>
          <w:szCs w:val="24"/>
        </w:rPr>
        <w:t xml:space="preserve">Confidence </w:t>
      </w:r>
      <w:r w:rsidR="00F2328F" w:rsidRPr="00B66E62">
        <w:rPr>
          <w:rFonts w:ascii="Times New Roman" w:hAnsi="Times New Roman" w:cs="Times New Roman"/>
          <w:i/>
          <w:sz w:val="24"/>
          <w:szCs w:val="24"/>
        </w:rPr>
        <w:t>on clinical skills dimension</w:t>
      </w:r>
      <w:r w:rsidR="00F2328F" w:rsidRPr="00B66E62">
        <w:rPr>
          <w:rFonts w:ascii="Times New Roman" w:hAnsi="Times New Roman" w:cs="Times New Roman"/>
          <w:sz w:val="24"/>
          <w:szCs w:val="24"/>
        </w:rPr>
        <w:t xml:space="preserve"> </w:t>
      </w:r>
      <w:r w:rsidR="009C09F5" w:rsidRPr="00B66E62">
        <w:rPr>
          <w:rFonts w:ascii="Times New Roman" w:hAnsi="Times New Roman" w:cs="Times New Roman"/>
          <w:sz w:val="24"/>
          <w:szCs w:val="24"/>
        </w:rPr>
        <w:t xml:space="preserve">and </w:t>
      </w:r>
      <w:r w:rsidR="00B320E4" w:rsidRPr="00B66E62">
        <w:rPr>
          <w:rFonts w:ascii="Times New Roman" w:hAnsi="Times New Roman" w:cs="Times New Roman"/>
          <w:i/>
          <w:sz w:val="24"/>
          <w:szCs w:val="24"/>
        </w:rPr>
        <w:t xml:space="preserve">Broader </w:t>
      </w:r>
      <w:r w:rsidR="00F2328F" w:rsidRPr="00B66E62">
        <w:rPr>
          <w:rFonts w:ascii="Times New Roman" w:hAnsi="Times New Roman" w:cs="Times New Roman"/>
          <w:i/>
          <w:sz w:val="24"/>
          <w:szCs w:val="24"/>
        </w:rPr>
        <w:t>aspects of patient safety</w:t>
      </w:r>
      <w:r w:rsidR="00F2328F" w:rsidRPr="00B66E62">
        <w:rPr>
          <w:rFonts w:ascii="Times New Roman" w:hAnsi="Times New Roman" w:cs="Times New Roman"/>
          <w:sz w:val="24"/>
          <w:szCs w:val="24"/>
        </w:rPr>
        <w:t xml:space="preserve"> (7 items), and </w:t>
      </w:r>
      <w:r w:rsidR="00B320E4" w:rsidRPr="00B66E62">
        <w:rPr>
          <w:rFonts w:ascii="Times New Roman" w:hAnsi="Times New Roman" w:cs="Times New Roman"/>
          <w:i/>
          <w:sz w:val="24"/>
          <w:szCs w:val="24"/>
        </w:rPr>
        <w:t xml:space="preserve">Comfort </w:t>
      </w:r>
      <w:r w:rsidR="00F2328F" w:rsidRPr="00B66E62">
        <w:rPr>
          <w:rFonts w:ascii="Times New Roman" w:hAnsi="Times New Roman" w:cs="Times New Roman"/>
          <w:i/>
          <w:sz w:val="24"/>
          <w:szCs w:val="24"/>
        </w:rPr>
        <w:t>in speaking up about patient safety</w:t>
      </w:r>
      <w:r w:rsidR="00F2328F" w:rsidRPr="00B66E62">
        <w:rPr>
          <w:rFonts w:ascii="Times New Roman" w:hAnsi="Times New Roman" w:cs="Times New Roman"/>
          <w:sz w:val="24"/>
          <w:szCs w:val="24"/>
        </w:rPr>
        <w:t xml:space="preserve"> (4 items). Items are scored on a 5-point Likert scale ranging from 1 (strongly disagree) to 5 (strongly agree). </w:t>
      </w:r>
      <w:r w:rsidR="005C4DE9" w:rsidRPr="00B66E62">
        <w:rPr>
          <w:rFonts w:ascii="Times New Roman" w:hAnsi="Times New Roman" w:cs="Times New Roman"/>
          <w:sz w:val="24"/>
          <w:szCs w:val="24"/>
        </w:rPr>
        <w:t>Th</w:t>
      </w:r>
      <w:r w:rsidR="002126DE" w:rsidRPr="00B66E62">
        <w:rPr>
          <w:rFonts w:ascii="Times New Roman" w:hAnsi="Times New Roman" w:cs="Times New Roman"/>
          <w:sz w:val="24"/>
          <w:szCs w:val="24"/>
        </w:rPr>
        <w:t>e</w:t>
      </w:r>
      <w:r w:rsidR="005C4DE9" w:rsidRPr="00B66E62">
        <w:rPr>
          <w:rFonts w:ascii="Times New Roman" w:hAnsi="Times New Roman" w:cs="Times New Roman"/>
          <w:sz w:val="24"/>
          <w:szCs w:val="24"/>
        </w:rPr>
        <w:t xml:space="preserve"> </w:t>
      </w:r>
      <w:r w:rsidR="002126DE" w:rsidRPr="00B66E62">
        <w:rPr>
          <w:rFonts w:ascii="Times New Roman" w:hAnsi="Times New Roman" w:cs="Times New Roman"/>
          <w:sz w:val="24"/>
          <w:szCs w:val="24"/>
        </w:rPr>
        <w:t xml:space="preserve">H-PEPSS </w:t>
      </w:r>
      <w:r w:rsidR="005C4DE9" w:rsidRPr="00B66E62">
        <w:rPr>
          <w:rFonts w:ascii="Times New Roman" w:hAnsi="Times New Roman" w:cs="Times New Roman"/>
          <w:sz w:val="24"/>
          <w:szCs w:val="24"/>
        </w:rPr>
        <w:t>was chosen for th</w:t>
      </w:r>
      <w:r w:rsidR="002126DE" w:rsidRPr="00B66E62">
        <w:rPr>
          <w:rFonts w:ascii="Times New Roman" w:hAnsi="Times New Roman" w:cs="Times New Roman"/>
          <w:sz w:val="24"/>
          <w:szCs w:val="24"/>
        </w:rPr>
        <w:t>e current</w:t>
      </w:r>
      <w:r w:rsidR="005C4DE9" w:rsidRPr="00B66E62">
        <w:rPr>
          <w:rFonts w:ascii="Times New Roman" w:hAnsi="Times New Roman" w:cs="Times New Roman"/>
          <w:sz w:val="24"/>
          <w:szCs w:val="24"/>
        </w:rPr>
        <w:t xml:space="preserve"> study because t</w:t>
      </w:r>
      <w:r w:rsidR="006D10A0" w:rsidRPr="00B66E62">
        <w:rPr>
          <w:rFonts w:ascii="Times New Roman" w:hAnsi="Times New Roman" w:cs="Times New Roman"/>
          <w:sz w:val="24"/>
          <w:szCs w:val="24"/>
          <w:lang w:val="en-US"/>
        </w:rPr>
        <w:t>he</w:t>
      </w:r>
      <w:r w:rsidR="006D10A0" w:rsidRPr="00B66E62">
        <w:rPr>
          <w:rFonts w:ascii="Times New Roman" w:hAnsi="Times New Roman" w:cs="Times New Roman"/>
          <w:sz w:val="24"/>
          <w:szCs w:val="24"/>
        </w:rPr>
        <w:t xml:space="preserve"> </w:t>
      </w:r>
      <w:r w:rsidR="00A30260" w:rsidRPr="00B66E62">
        <w:rPr>
          <w:rFonts w:ascii="Times New Roman" w:hAnsi="Times New Roman" w:cs="Times New Roman"/>
          <w:sz w:val="24"/>
          <w:szCs w:val="24"/>
        </w:rPr>
        <w:t xml:space="preserve">instrument </w:t>
      </w:r>
      <w:r w:rsidR="006D10A0" w:rsidRPr="00B66E62">
        <w:rPr>
          <w:rFonts w:ascii="Times New Roman" w:hAnsi="Times New Roman" w:cs="Times New Roman"/>
          <w:sz w:val="24"/>
          <w:szCs w:val="24"/>
          <w:lang w:val="en-US"/>
        </w:rPr>
        <w:t>is suited for use with a wide range of health professionals</w:t>
      </w:r>
      <w:r w:rsidR="00204B0C" w:rsidRPr="00B66E62">
        <w:rPr>
          <w:rFonts w:ascii="Times New Roman" w:hAnsi="Times New Roman" w:cs="Times New Roman"/>
          <w:sz w:val="24"/>
          <w:szCs w:val="24"/>
          <w:lang w:val="en-US"/>
        </w:rPr>
        <w:t xml:space="preserve">, </w:t>
      </w:r>
      <w:r w:rsidR="006D10A0" w:rsidRPr="00B66E62">
        <w:rPr>
          <w:rFonts w:ascii="Times New Roman" w:hAnsi="Times New Roman" w:cs="Times New Roman"/>
          <w:sz w:val="24"/>
          <w:szCs w:val="24"/>
          <w:lang w:val="en-US"/>
        </w:rPr>
        <w:t xml:space="preserve">for those </w:t>
      </w:r>
      <w:r w:rsidR="00B320E4" w:rsidRPr="00B66E62">
        <w:rPr>
          <w:rFonts w:ascii="Times New Roman" w:hAnsi="Times New Roman" w:cs="Times New Roman"/>
          <w:sz w:val="24"/>
          <w:szCs w:val="24"/>
          <w:lang w:val="en-US"/>
        </w:rPr>
        <w:t xml:space="preserve">- </w:t>
      </w:r>
      <w:r w:rsidR="006D10A0" w:rsidRPr="00B66E62">
        <w:rPr>
          <w:rFonts w:ascii="Times New Roman" w:hAnsi="Times New Roman" w:cs="Times New Roman"/>
          <w:sz w:val="24"/>
          <w:szCs w:val="24"/>
          <w:lang w:val="en-US"/>
        </w:rPr>
        <w:t xml:space="preserve">recently completed or </w:t>
      </w:r>
      <w:r w:rsidR="00B320E4" w:rsidRPr="00B66E62">
        <w:rPr>
          <w:rFonts w:ascii="Times New Roman" w:hAnsi="Times New Roman" w:cs="Times New Roman"/>
          <w:sz w:val="24"/>
          <w:szCs w:val="24"/>
          <w:lang w:val="en-US"/>
        </w:rPr>
        <w:t xml:space="preserve">- </w:t>
      </w:r>
      <w:r w:rsidR="006D10A0" w:rsidRPr="00B66E62">
        <w:rPr>
          <w:rFonts w:ascii="Times New Roman" w:hAnsi="Times New Roman" w:cs="Times New Roman"/>
          <w:sz w:val="24"/>
          <w:szCs w:val="24"/>
          <w:lang w:val="en-US"/>
        </w:rPr>
        <w:t>nearing completion of their training</w:t>
      </w:r>
      <w:r w:rsidR="00A55745" w:rsidRPr="00B66E62">
        <w:rPr>
          <w:rFonts w:ascii="Times New Roman" w:hAnsi="Times New Roman" w:cs="Times New Roman"/>
          <w:sz w:val="24"/>
          <w:szCs w:val="24"/>
          <w:lang w:val="en-US"/>
        </w:rPr>
        <w:t xml:space="preserve"> (Ginsburg </w:t>
      </w:r>
      <w:r w:rsidR="00A55745" w:rsidRPr="00B66E62">
        <w:rPr>
          <w:rFonts w:ascii="Times New Roman" w:hAnsi="Times New Roman" w:cs="Times New Roman"/>
          <w:i/>
          <w:sz w:val="24"/>
          <w:szCs w:val="24"/>
          <w:lang w:val="en-US"/>
        </w:rPr>
        <w:t>et al</w:t>
      </w:r>
      <w:r w:rsidR="00A55745" w:rsidRPr="00B66E62">
        <w:rPr>
          <w:rFonts w:ascii="Times New Roman" w:hAnsi="Times New Roman" w:cs="Times New Roman"/>
          <w:sz w:val="24"/>
          <w:szCs w:val="24"/>
          <w:lang w:val="en-US"/>
        </w:rPr>
        <w:t>. 2012)</w:t>
      </w:r>
      <w:r w:rsidR="00204B0C" w:rsidRPr="00B66E62">
        <w:rPr>
          <w:rFonts w:ascii="Times New Roman" w:hAnsi="Times New Roman" w:cs="Times New Roman"/>
          <w:sz w:val="24"/>
          <w:szCs w:val="24"/>
          <w:lang w:val="en-US"/>
        </w:rPr>
        <w:t xml:space="preserve">, and for undergraduate nursing students (Stevanin </w:t>
      </w:r>
      <w:r w:rsidR="00204B0C" w:rsidRPr="00B66E62">
        <w:rPr>
          <w:rFonts w:ascii="Times New Roman" w:hAnsi="Times New Roman" w:cs="Times New Roman"/>
          <w:i/>
          <w:sz w:val="24"/>
          <w:szCs w:val="24"/>
          <w:lang w:val="en-US"/>
        </w:rPr>
        <w:t xml:space="preserve">et al </w:t>
      </w:r>
      <w:r w:rsidR="00204B0C" w:rsidRPr="00B66E62">
        <w:rPr>
          <w:rFonts w:ascii="Times New Roman" w:hAnsi="Times New Roman" w:cs="Times New Roman"/>
          <w:sz w:val="24"/>
          <w:szCs w:val="24"/>
          <w:lang w:val="en-US"/>
        </w:rPr>
        <w:t>2015)</w:t>
      </w:r>
      <w:r w:rsidR="006D10A0" w:rsidRPr="00B66E62">
        <w:rPr>
          <w:rFonts w:ascii="Times New Roman" w:hAnsi="Times New Roman" w:cs="Times New Roman"/>
          <w:sz w:val="24"/>
          <w:szCs w:val="24"/>
          <w:lang w:val="en-US"/>
        </w:rPr>
        <w:t xml:space="preserve">.  </w:t>
      </w:r>
    </w:p>
    <w:p w14:paraId="16C1E29F" w14:textId="1CC9F35D" w:rsidR="005C4DE9" w:rsidRPr="00B66E62" w:rsidRDefault="00CD49EE" w:rsidP="005C4DE9">
      <w:pPr>
        <w:autoSpaceDE w:val="0"/>
        <w:autoSpaceDN w:val="0"/>
        <w:adjustRightInd w:val="0"/>
        <w:spacing w:after="0" w:line="480" w:lineRule="auto"/>
        <w:rPr>
          <w:rFonts w:ascii="Times New Roman" w:hAnsi="Times New Roman" w:cs="Times New Roman"/>
          <w:color w:val="000000"/>
          <w:sz w:val="24"/>
          <w:szCs w:val="24"/>
          <w:lang w:val="en-US"/>
        </w:rPr>
      </w:pPr>
      <w:r w:rsidRPr="00B66E62">
        <w:rPr>
          <w:rFonts w:ascii="Times New Roman" w:hAnsi="Times New Roman" w:cs="Times New Roman"/>
          <w:sz w:val="24"/>
          <w:szCs w:val="24"/>
          <w:lang w:val="en-US"/>
        </w:rPr>
        <w:lastRenderedPageBreak/>
        <w:t xml:space="preserve">The </w:t>
      </w:r>
      <w:r w:rsidR="00F2328F" w:rsidRPr="00B66E62">
        <w:rPr>
          <w:rFonts w:ascii="Times New Roman" w:hAnsi="Times New Roman" w:cs="Times New Roman"/>
          <w:sz w:val="24"/>
          <w:szCs w:val="24"/>
          <w:lang w:val="en-US"/>
        </w:rPr>
        <w:t xml:space="preserve">patient safety section of the </w:t>
      </w:r>
      <w:r w:rsidRPr="00B66E62">
        <w:rPr>
          <w:rFonts w:ascii="Times New Roman" w:hAnsi="Times New Roman" w:cs="Times New Roman"/>
          <w:sz w:val="24"/>
          <w:szCs w:val="24"/>
          <w:lang w:val="en-US"/>
        </w:rPr>
        <w:t xml:space="preserve">H-PEPSS measures two dimensions of patient safety; knowledge developed in the classroom and </w:t>
      </w:r>
      <w:r w:rsidR="00BB1817" w:rsidRPr="00B66E62">
        <w:rPr>
          <w:rFonts w:ascii="Times New Roman" w:hAnsi="Times New Roman" w:cs="Times New Roman"/>
          <w:sz w:val="24"/>
          <w:szCs w:val="24"/>
          <w:lang w:val="en-US"/>
        </w:rPr>
        <w:t>knowledge</w:t>
      </w:r>
      <w:r w:rsidRPr="00B66E62">
        <w:rPr>
          <w:rFonts w:ascii="Times New Roman" w:hAnsi="Times New Roman" w:cs="Times New Roman"/>
          <w:sz w:val="24"/>
          <w:szCs w:val="24"/>
          <w:lang w:val="en-US"/>
        </w:rPr>
        <w:t xml:space="preserve"> developed in the clinical training experience. </w:t>
      </w:r>
      <w:r w:rsidRPr="00B66E62">
        <w:rPr>
          <w:rFonts w:ascii="Times New Roman" w:hAnsi="Times New Roman" w:cs="Times New Roman"/>
          <w:sz w:val="24"/>
          <w:szCs w:val="24"/>
        </w:rPr>
        <w:t xml:space="preserve">Respondents answer each question separately for the classroom and clinical setting. </w:t>
      </w:r>
      <w:r w:rsidR="005C4DE9" w:rsidRPr="00B66E62">
        <w:rPr>
          <w:rFonts w:ascii="Times New Roman" w:hAnsi="Times New Roman" w:cs="Times New Roman"/>
          <w:sz w:val="24"/>
          <w:szCs w:val="24"/>
          <w:lang w:val="en-US"/>
        </w:rPr>
        <w:t xml:space="preserve">The internal consistency documented for this study (classroom α = 0.885; clinical training α = 0.892) was higher than reported for the original study </w:t>
      </w:r>
      <w:r w:rsidR="005C4DE9" w:rsidRPr="00B66E62">
        <w:rPr>
          <w:rFonts w:ascii="Times New Roman" w:hAnsi="Times New Roman" w:cs="Times New Roman"/>
          <w:color w:val="000000"/>
          <w:sz w:val="24"/>
          <w:szCs w:val="24"/>
          <w:lang w:val="en-US"/>
        </w:rPr>
        <w:t xml:space="preserve">(α 0.81 to 0.85, </w:t>
      </w:r>
      <w:r w:rsidR="005C4DE9" w:rsidRPr="00B66E62">
        <w:rPr>
          <w:rFonts w:ascii="Times New Roman" w:hAnsi="Times New Roman" w:cs="Times New Roman"/>
          <w:sz w:val="24"/>
          <w:szCs w:val="24"/>
          <w:lang w:val="en-US"/>
        </w:rPr>
        <w:t xml:space="preserve">Ginsburg </w:t>
      </w:r>
      <w:r w:rsidR="005C4DE9" w:rsidRPr="00B66E62">
        <w:rPr>
          <w:rFonts w:ascii="Times New Roman" w:hAnsi="Times New Roman" w:cs="Times New Roman"/>
          <w:i/>
          <w:sz w:val="24"/>
          <w:szCs w:val="24"/>
          <w:lang w:val="en-US"/>
        </w:rPr>
        <w:t>et al</w:t>
      </w:r>
      <w:r w:rsidR="005C4DE9" w:rsidRPr="00B66E62">
        <w:rPr>
          <w:rFonts w:ascii="Times New Roman" w:hAnsi="Times New Roman" w:cs="Times New Roman"/>
          <w:sz w:val="24"/>
          <w:szCs w:val="24"/>
          <w:lang w:val="en-US"/>
        </w:rPr>
        <w:t>. 2012</w:t>
      </w:r>
      <w:r w:rsidR="005C4DE9" w:rsidRPr="00B66E62">
        <w:rPr>
          <w:rFonts w:ascii="Times New Roman" w:hAnsi="Times New Roman" w:cs="Times New Roman"/>
          <w:color w:val="000000"/>
          <w:sz w:val="24"/>
          <w:szCs w:val="24"/>
          <w:lang w:val="en-US"/>
        </w:rPr>
        <w:t xml:space="preserve">). </w:t>
      </w:r>
    </w:p>
    <w:p w14:paraId="58E19851" w14:textId="4550EBBA" w:rsidR="00CD49EE" w:rsidRPr="00B66E62" w:rsidRDefault="00CD49EE"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Additional questions </w:t>
      </w:r>
      <w:r w:rsidR="006F0D8A" w:rsidRPr="00B66E62">
        <w:rPr>
          <w:rFonts w:ascii="Times New Roman" w:hAnsi="Times New Roman" w:cs="Times New Roman"/>
          <w:sz w:val="24"/>
          <w:szCs w:val="24"/>
        </w:rPr>
        <w:t xml:space="preserve">were </w:t>
      </w:r>
      <w:r w:rsidRPr="00B66E62">
        <w:rPr>
          <w:rFonts w:ascii="Times New Roman" w:hAnsi="Times New Roman" w:cs="Times New Roman"/>
          <w:sz w:val="24"/>
          <w:szCs w:val="24"/>
        </w:rPr>
        <w:t xml:space="preserve">asked about age, gender, previous healthcare experience, and year of nursing degree. If students were </w:t>
      </w:r>
      <w:r w:rsidR="006F0D8A" w:rsidRPr="00B66E62">
        <w:rPr>
          <w:rFonts w:ascii="Times New Roman" w:hAnsi="Times New Roman" w:cs="Times New Roman"/>
          <w:sz w:val="24"/>
          <w:szCs w:val="24"/>
        </w:rPr>
        <w:t xml:space="preserve">enrolled in </w:t>
      </w:r>
      <w:r w:rsidRPr="00B66E62">
        <w:rPr>
          <w:rFonts w:ascii="Times New Roman" w:hAnsi="Times New Roman" w:cs="Times New Roman"/>
          <w:sz w:val="24"/>
          <w:szCs w:val="24"/>
        </w:rPr>
        <w:t xml:space="preserve">subjects </w:t>
      </w:r>
      <w:r w:rsidR="006F0D8A" w:rsidRPr="00B66E62">
        <w:rPr>
          <w:rFonts w:ascii="Times New Roman" w:hAnsi="Times New Roman" w:cs="Times New Roman"/>
          <w:sz w:val="24"/>
          <w:szCs w:val="24"/>
        </w:rPr>
        <w:t xml:space="preserve">across </w:t>
      </w:r>
      <w:r w:rsidRPr="00B66E62">
        <w:rPr>
          <w:rFonts w:ascii="Times New Roman" w:hAnsi="Times New Roman" w:cs="Times New Roman"/>
          <w:sz w:val="24"/>
          <w:szCs w:val="24"/>
        </w:rPr>
        <w:t>more than one year</w:t>
      </w:r>
      <w:r w:rsidR="006F0D8A" w:rsidRPr="00B66E62">
        <w:rPr>
          <w:rFonts w:ascii="Times New Roman" w:hAnsi="Times New Roman" w:cs="Times New Roman"/>
          <w:sz w:val="24"/>
          <w:szCs w:val="24"/>
        </w:rPr>
        <w:t xml:space="preserve"> of the course</w:t>
      </w:r>
      <w:r w:rsidRPr="00B66E62">
        <w:rPr>
          <w:rFonts w:ascii="Times New Roman" w:hAnsi="Times New Roman" w:cs="Times New Roman"/>
          <w:sz w:val="24"/>
          <w:szCs w:val="24"/>
        </w:rPr>
        <w:t xml:space="preserve">, they were instructed to nominate the highest year in which they were </w:t>
      </w:r>
      <w:r w:rsidR="0072424D" w:rsidRPr="00B66E62">
        <w:rPr>
          <w:rFonts w:ascii="Times New Roman" w:hAnsi="Times New Roman" w:cs="Times New Roman"/>
          <w:sz w:val="24"/>
          <w:szCs w:val="24"/>
        </w:rPr>
        <w:t>studying</w:t>
      </w:r>
      <w:r w:rsidRPr="00B66E62">
        <w:rPr>
          <w:rFonts w:ascii="Times New Roman" w:hAnsi="Times New Roman" w:cs="Times New Roman"/>
          <w:sz w:val="24"/>
          <w:szCs w:val="24"/>
        </w:rPr>
        <w:t>. The questionnaire took approximately 10-15 minutes to complete.</w:t>
      </w:r>
    </w:p>
    <w:p w14:paraId="32AEB59D" w14:textId="4B512625" w:rsidR="009018C8" w:rsidRPr="00B66E62" w:rsidRDefault="00C97023" w:rsidP="00A55745">
      <w:pPr>
        <w:autoSpaceDE w:val="0"/>
        <w:autoSpaceDN w:val="0"/>
        <w:adjustRightInd w:val="0"/>
        <w:spacing w:after="0" w:line="480" w:lineRule="auto"/>
        <w:rPr>
          <w:rFonts w:ascii="Times New Roman" w:hAnsi="Times New Roman" w:cs="Times New Roman"/>
          <w:b/>
          <w:sz w:val="24"/>
          <w:szCs w:val="24"/>
        </w:rPr>
      </w:pPr>
      <w:r w:rsidRPr="00B66E62">
        <w:rPr>
          <w:rFonts w:ascii="Times New Roman" w:hAnsi="Times New Roman" w:cs="Times New Roman"/>
          <w:b/>
          <w:sz w:val="24"/>
          <w:szCs w:val="24"/>
        </w:rPr>
        <w:t>Ethical considerations</w:t>
      </w:r>
    </w:p>
    <w:p w14:paraId="0331299E" w14:textId="1A730228" w:rsidR="00C97023" w:rsidRPr="00B66E62" w:rsidRDefault="003E7FDF" w:rsidP="00DD4052">
      <w:pPr>
        <w:spacing w:line="480" w:lineRule="auto"/>
        <w:rPr>
          <w:rFonts w:ascii="Times New Roman" w:hAnsi="Times New Roman" w:cs="Times New Roman"/>
          <w:b/>
          <w:sz w:val="24"/>
          <w:szCs w:val="24"/>
        </w:rPr>
      </w:pPr>
      <w:r w:rsidRPr="00B66E62">
        <w:rPr>
          <w:rFonts w:ascii="Times New Roman" w:hAnsi="Times New Roman" w:cs="Times New Roman"/>
          <w:sz w:val="24"/>
          <w:szCs w:val="24"/>
        </w:rPr>
        <w:t>The study was approved by the Human Research Ethics Committee at each participating university</w:t>
      </w:r>
      <w:r w:rsidR="00C97023" w:rsidRPr="00B66E62">
        <w:rPr>
          <w:rFonts w:ascii="Times New Roman" w:hAnsi="Times New Roman" w:cs="Times New Roman"/>
          <w:sz w:val="24"/>
          <w:szCs w:val="24"/>
        </w:rPr>
        <w:t xml:space="preserve">. </w:t>
      </w:r>
    </w:p>
    <w:p w14:paraId="737A191B" w14:textId="77777777" w:rsidR="009018C8" w:rsidRPr="00B66E62" w:rsidRDefault="009018C8" w:rsidP="00A55745">
      <w:pPr>
        <w:autoSpaceDE w:val="0"/>
        <w:autoSpaceDN w:val="0"/>
        <w:adjustRightInd w:val="0"/>
        <w:spacing w:after="0" w:line="480" w:lineRule="auto"/>
        <w:rPr>
          <w:rFonts w:ascii="Times New Roman" w:hAnsi="Times New Roman" w:cs="Times New Roman"/>
          <w:b/>
          <w:sz w:val="24"/>
          <w:szCs w:val="24"/>
        </w:rPr>
      </w:pPr>
      <w:r w:rsidRPr="00B66E62">
        <w:rPr>
          <w:rFonts w:ascii="Times New Roman" w:hAnsi="Times New Roman" w:cs="Times New Roman"/>
          <w:b/>
          <w:sz w:val="24"/>
          <w:szCs w:val="24"/>
        </w:rPr>
        <w:t>Data analysis</w:t>
      </w:r>
    </w:p>
    <w:p w14:paraId="2E220F2E" w14:textId="1E945E2C" w:rsidR="00045D2F" w:rsidRPr="00B66E62" w:rsidRDefault="009018C8" w:rsidP="00A55745">
      <w:pPr>
        <w:autoSpaceDE w:val="0"/>
        <w:autoSpaceDN w:val="0"/>
        <w:adjustRightInd w:val="0"/>
        <w:spacing w:after="0" w:line="480" w:lineRule="auto"/>
        <w:rPr>
          <w:rFonts w:ascii="Times New Roman" w:hAnsi="Times New Roman" w:cs="Times New Roman"/>
          <w:sz w:val="24"/>
          <w:szCs w:val="24"/>
        </w:rPr>
      </w:pPr>
      <w:r w:rsidRPr="00B66E62">
        <w:rPr>
          <w:rFonts w:ascii="Times New Roman" w:hAnsi="Times New Roman" w:cs="Times New Roman"/>
          <w:sz w:val="24"/>
          <w:szCs w:val="24"/>
        </w:rPr>
        <w:t xml:space="preserve">Demographic data were </w:t>
      </w:r>
      <w:r w:rsidR="00A03368" w:rsidRPr="00B66E62">
        <w:rPr>
          <w:rFonts w:ascii="Times New Roman" w:hAnsi="Times New Roman" w:cs="Times New Roman"/>
          <w:sz w:val="24"/>
          <w:szCs w:val="24"/>
        </w:rPr>
        <w:t>summarised using descriptive statistics</w:t>
      </w:r>
      <w:r w:rsidRPr="00B66E62">
        <w:rPr>
          <w:rFonts w:ascii="Times New Roman" w:hAnsi="Times New Roman" w:cs="Times New Roman"/>
          <w:sz w:val="24"/>
          <w:szCs w:val="24"/>
        </w:rPr>
        <w:t xml:space="preserve">. Mean (SD) patient safety </w:t>
      </w:r>
      <w:r w:rsidR="00B01DD6" w:rsidRPr="00B66E62">
        <w:rPr>
          <w:rFonts w:ascii="Times New Roman" w:hAnsi="Times New Roman" w:cs="Times New Roman"/>
          <w:sz w:val="24"/>
          <w:szCs w:val="24"/>
        </w:rPr>
        <w:t xml:space="preserve">scores for each </w:t>
      </w:r>
      <w:r w:rsidR="004E01F2" w:rsidRPr="00B66E62">
        <w:rPr>
          <w:rFonts w:ascii="Times New Roman" w:hAnsi="Times New Roman" w:cs="Times New Roman"/>
          <w:sz w:val="24"/>
          <w:szCs w:val="24"/>
        </w:rPr>
        <w:t>patient safety area</w:t>
      </w:r>
      <w:r w:rsidR="00B01DD6" w:rsidRPr="00B66E62">
        <w:rPr>
          <w:rFonts w:ascii="Times New Roman" w:hAnsi="Times New Roman" w:cs="Times New Roman"/>
          <w:sz w:val="24"/>
          <w:szCs w:val="24"/>
        </w:rPr>
        <w:t xml:space="preserve"> were calculated by averaging the items in each </w:t>
      </w:r>
      <w:r w:rsidR="004E01F2" w:rsidRPr="00B66E62">
        <w:rPr>
          <w:rFonts w:ascii="Times New Roman" w:hAnsi="Times New Roman" w:cs="Times New Roman"/>
          <w:sz w:val="24"/>
          <w:szCs w:val="24"/>
        </w:rPr>
        <w:t>area</w:t>
      </w:r>
      <w:r w:rsidR="00B01DD6" w:rsidRPr="00B66E62">
        <w:rPr>
          <w:rFonts w:ascii="Times New Roman" w:hAnsi="Times New Roman" w:cs="Times New Roman"/>
          <w:sz w:val="24"/>
          <w:szCs w:val="24"/>
        </w:rPr>
        <w:t xml:space="preserve">. </w:t>
      </w:r>
      <w:r w:rsidR="00C97023" w:rsidRPr="00B66E62">
        <w:rPr>
          <w:rFonts w:ascii="Times New Roman" w:hAnsi="Times New Roman" w:cs="Times New Roman"/>
          <w:sz w:val="24"/>
          <w:szCs w:val="24"/>
        </w:rPr>
        <w:t xml:space="preserve">Differences were evaluated using parametric tests according to the normally distributed nature of the data. </w:t>
      </w:r>
      <w:r w:rsidR="00611A71" w:rsidRPr="00B66E62">
        <w:rPr>
          <w:rFonts w:ascii="Times New Roman" w:hAnsi="Times New Roman" w:cs="Times New Roman"/>
          <w:sz w:val="24"/>
          <w:szCs w:val="24"/>
        </w:rPr>
        <w:t xml:space="preserve">Paired </w:t>
      </w:r>
      <w:r w:rsidR="00611A71" w:rsidRPr="00B66E62">
        <w:rPr>
          <w:rFonts w:ascii="Times New Roman" w:hAnsi="Times New Roman" w:cs="Times New Roman"/>
          <w:i/>
          <w:sz w:val="24"/>
          <w:szCs w:val="24"/>
        </w:rPr>
        <w:t>t</w:t>
      </w:r>
      <w:r w:rsidR="00B01DD6" w:rsidRPr="00B66E62">
        <w:rPr>
          <w:rFonts w:ascii="Times New Roman" w:hAnsi="Times New Roman" w:cs="Times New Roman"/>
          <w:i/>
          <w:sz w:val="24"/>
          <w:szCs w:val="24"/>
        </w:rPr>
        <w:t>-</w:t>
      </w:r>
      <w:r w:rsidR="00B01DD6" w:rsidRPr="00B66E62">
        <w:rPr>
          <w:rFonts w:ascii="Times New Roman" w:hAnsi="Times New Roman" w:cs="Times New Roman"/>
          <w:sz w:val="24"/>
          <w:szCs w:val="24"/>
        </w:rPr>
        <w:t xml:space="preserve">tests were performed to assess for significant differences between classroom and clinical scores. </w:t>
      </w:r>
      <w:r w:rsidR="00815871" w:rsidRPr="00B66E62">
        <w:rPr>
          <w:rFonts w:ascii="Times New Roman" w:hAnsi="Times New Roman" w:cs="Times New Roman"/>
          <w:sz w:val="24"/>
          <w:szCs w:val="24"/>
        </w:rPr>
        <w:t xml:space="preserve">Cases with missing data were excluded from each analyses. </w:t>
      </w:r>
      <w:r w:rsidR="00611A71" w:rsidRPr="00B66E62">
        <w:rPr>
          <w:rFonts w:ascii="Times New Roman" w:hAnsi="Times New Roman" w:cs="Times New Roman"/>
          <w:sz w:val="24"/>
          <w:szCs w:val="24"/>
        </w:rPr>
        <w:t xml:space="preserve">Cohen’s effect size was calculated for statistically significant pairwise comparisons. </w:t>
      </w:r>
      <w:r w:rsidR="007B7850" w:rsidRPr="00B66E62">
        <w:rPr>
          <w:rFonts w:ascii="Times New Roman" w:hAnsi="Times New Roman" w:cs="Times New Roman"/>
          <w:sz w:val="24"/>
          <w:szCs w:val="24"/>
        </w:rPr>
        <w:t xml:space="preserve">Broader aspects of patient safety and speaking up </w:t>
      </w:r>
      <w:r w:rsidR="00B01DD6" w:rsidRPr="00B66E62">
        <w:rPr>
          <w:rFonts w:ascii="Times New Roman" w:hAnsi="Times New Roman" w:cs="Times New Roman"/>
          <w:sz w:val="24"/>
          <w:szCs w:val="24"/>
        </w:rPr>
        <w:t xml:space="preserve">scores </w:t>
      </w:r>
      <w:r w:rsidR="007B7850" w:rsidRPr="00B66E62">
        <w:rPr>
          <w:rFonts w:ascii="Times New Roman" w:hAnsi="Times New Roman" w:cs="Times New Roman"/>
          <w:sz w:val="24"/>
          <w:szCs w:val="24"/>
        </w:rPr>
        <w:t xml:space="preserve">(range 1-5) </w:t>
      </w:r>
      <w:r w:rsidR="00B01DD6" w:rsidRPr="00B66E62">
        <w:rPr>
          <w:rFonts w:ascii="Times New Roman" w:hAnsi="Times New Roman" w:cs="Times New Roman"/>
          <w:sz w:val="24"/>
          <w:szCs w:val="24"/>
        </w:rPr>
        <w:t>were categorised into agree/strongly agree</w:t>
      </w:r>
      <w:r w:rsidR="00611A71" w:rsidRPr="00B66E62">
        <w:rPr>
          <w:rFonts w:ascii="Times New Roman" w:hAnsi="Times New Roman" w:cs="Times New Roman"/>
          <w:sz w:val="24"/>
          <w:szCs w:val="24"/>
        </w:rPr>
        <w:t xml:space="preserve"> (</w:t>
      </w:r>
      <w:r w:rsidR="0002187F" w:rsidRPr="00B66E62">
        <w:rPr>
          <w:rFonts w:ascii="Times New Roman" w:hAnsi="Times New Roman" w:cs="Times New Roman"/>
          <w:sz w:val="24"/>
          <w:szCs w:val="24"/>
        </w:rPr>
        <w:t>4-5</w:t>
      </w:r>
      <w:r w:rsidR="00611A71" w:rsidRPr="00B66E62">
        <w:rPr>
          <w:rFonts w:ascii="Times New Roman" w:hAnsi="Times New Roman" w:cs="Times New Roman"/>
          <w:sz w:val="24"/>
          <w:szCs w:val="24"/>
        </w:rPr>
        <w:t>)</w:t>
      </w:r>
      <w:r w:rsidR="00B01DD6" w:rsidRPr="00B66E62">
        <w:rPr>
          <w:rFonts w:ascii="Times New Roman" w:hAnsi="Times New Roman" w:cs="Times New Roman"/>
          <w:sz w:val="24"/>
          <w:szCs w:val="24"/>
        </w:rPr>
        <w:t xml:space="preserve">, and neutral/disagree </w:t>
      </w:r>
      <w:r w:rsidR="00611A71" w:rsidRPr="00B66E62">
        <w:rPr>
          <w:rFonts w:ascii="Times New Roman" w:hAnsi="Times New Roman" w:cs="Times New Roman"/>
          <w:sz w:val="24"/>
          <w:szCs w:val="24"/>
        </w:rPr>
        <w:t>(</w:t>
      </w:r>
      <w:r w:rsidR="007B7850" w:rsidRPr="00B66E62">
        <w:rPr>
          <w:rFonts w:ascii="Times New Roman" w:hAnsi="Times New Roman" w:cs="Times New Roman"/>
          <w:sz w:val="24"/>
          <w:szCs w:val="24"/>
        </w:rPr>
        <w:t>1-3</w:t>
      </w:r>
      <w:r w:rsidR="00611A71" w:rsidRPr="00B66E62">
        <w:rPr>
          <w:rFonts w:ascii="Times New Roman" w:hAnsi="Times New Roman" w:cs="Times New Roman"/>
          <w:sz w:val="24"/>
          <w:szCs w:val="24"/>
        </w:rPr>
        <w:t>)</w:t>
      </w:r>
      <w:r w:rsidR="002B4A03" w:rsidRPr="00B66E62">
        <w:rPr>
          <w:rFonts w:ascii="Times New Roman" w:hAnsi="Times New Roman" w:cs="Times New Roman"/>
          <w:sz w:val="24"/>
          <w:szCs w:val="24"/>
        </w:rPr>
        <w:t xml:space="preserve"> and reported descriptively</w:t>
      </w:r>
      <w:r w:rsidR="005810E4" w:rsidRPr="00B66E62">
        <w:rPr>
          <w:rFonts w:ascii="Times New Roman" w:hAnsi="Times New Roman" w:cs="Times New Roman"/>
          <w:sz w:val="24"/>
          <w:szCs w:val="24"/>
        </w:rPr>
        <w:t xml:space="preserve">. </w:t>
      </w:r>
      <w:r w:rsidR="007A228C" w:rsidRPr="00B66E62">
        <w:rPr>
          <w:rFonts w:ascii="Times New Roman" w:hAnsi="Times New Roman" w:cs="Times New Roman"/>
          <w:sz w:val="24"/>
          <w:szCs w:val="24"/>
        </w:rPr>
        <w:t xml:space="preserve">Patient safety scores were compared between year of nursing course groups by using generalized-estimating-equations (GEE) models to account for the clustered nature of the data. GEE was used because it does not assume independence between observations. </w:t>
      </w:r>
      <w:r w:rsidR="00946B5B" w:rsidRPr="00B66E62">
        <w:rPr>
          <w:rFonts w:ascii="Times New Roman" w:hAnsi="Times New Roman" w:cs="Times New Roman"/>
          <w:sz w:val="24"/>
          <w:szCs w:val="24"/>
        </w:rPr>
        <w:t>GEE assumptions are</w:t>
      </w:r>
      <w:r w:rsidR="002B36A2" w:rsidRPr="00B66E62">
        <w:rPr>
          <w:rFonts w:ascii="Times New Roman" w:hAnsi="Times New Roman" w:cs="Times New Roman"/>
          <w:sz w:val="24"/>
          <w:szCs w:val="24"/>
        </w:rPr>
        <w:t>:</w:t>
      </w:r>
      <w:r w:rsidR="00946B5B" w:rsidRPr="00B66E62">
        <w:rPr>
          <w:rFonts w:ascii="Times New Roman" w:hAnsi="Times New Roman" w:cs="Times New Roman"/>
          <w:sz w:val="24"/>
          <w:szCs w:val="24"/>
        </w:rPr>
        <w:t xml:space="preserve"> </w:t>
      </w:r>
      <w:r w:rsidR="00946B5B" w:rsidRPr="00B66E62">
        <w:rPr>
          <w:rFonts w:ascii="Times New Roman" w:hAnsi="Times New Roman" w:cs="Times New Roman"/>
          <w:sz w:val="24"/>
          <w:szCs w:val="24"/>
        </w:rPr>
        <w:lastRenderedPageBreak/>
        <w:t xml:space="preserve">the responses are clustered and cases are not independent, and homogeneity of variance does not need to be satisfied. </w:t>
      </w:r>
      <w:r w:rsidR="00E105A2" w:rsidRPr="00B66E62">
        <w:rPr>
          <w:rFonts w:ascii="Times New Roman" w:eastAsia="GiovanniStd-Book" w:hAnsi="Times New Roman" w:cs="Times New Roman"/>
          <w:color w:val="1A1A1A"/>
          <w:sz w:val="24"/>
          <w:szCs w:val="24"/>
          <w:lang w:val="en-US"/>
        </w:rPr>
        <w:t xml:space="preserve">Because individual responses from one university will not be “independent” of each other, some statistical correlation is expected. </w:t>
      </w:r>
      <w:r w:rsidR="007A228C" w:rsidRPr="00B66E62">
        <w:rPr>
          <w:rFonts w:ascii="Times New Roman" w:hAnsi="Times New Roman" w:cs="Times New Roman"/>
          <w:sz w:val="24"/>
          <w:szCs w:val="24"/>
        </w:rPr>
        <w:t xml:space="preserve">It is important to adjust for clustering effects otherwise the variances of between-cluster comparisons may be underestimated. </w:t>
      </w:r>
      <w:r w:rsidR="00946B5B" w:rsidRPr="00B66E62">
        <w:rPr>
          <w:rFonts w:ascii="Times New Roman" w:hAnsi="Times New Roman" w:cs="Times New Roman"/>
          <w:sz w:val="24"/>
          <w:szCs w:val="24"/>
        </w:rPr>
        <w:t>Model fit is not tested for GEE because it is an estimating procedure</w:t>
      </w:r>
      <w:r w:rsidR="002B36A2" w:rsidRPr="00B66E62">
        <w:rPr>
          <w:rFonts w:ascii="Times New Roman" w:hAnsi="Times New Roman" w:cs="Times New Roman"/>
          <w:sz w:val="24"/>
          <w:szCs w:val="24"/>
        </w:rPr>
        <w:t>;</w:t>
      </w:r>
      <w:r w:rsidR="00946B5B" w:rsidRPr="00B66E62">
        <w:rPr>
          <w:rFonts w:ascii="Times New Roman" w:hAnsi="Times New Roman" w:cs="Times New Roman"/>
          <w:sz w:val="24"/>
          <w:szCs w:val="24"/>
        </w:rPr>
        <w:t xml:space="preserve"> there is no likelihood function.</w:t>
      </w:r>
      <w:r w:rsidR="002B36A2" w:rsidRPr="00B66E62">
        <w:rPr>
          <w:rFonts w:ascii="Times New Roman" w:hAnsi="Times New Roman" w:cs="Times New Roman"/>
          <w:sz w:val="24"/>
          <w:szCs w:val="24"/>
        </w:rPr>
        <w:t xml:space="preserve"> GEE goodness of fit values can be used to compare GEE models for model selection but not to determine model fit (Hardin &amp; Hilbe, 2003)</w:t>
      </w:r>
      <w:r w:rsidR="00AB34CA" w:rsidRPr="00B66E62">
        <w:rPr>
          <w:rFonts w:ascii="Times New Roman" w:hAnsi="Times New Roman" w:cs="Times New Roman"/>
          <w:sz w:val="24"/>
          <w:szCs w:val="24"/>
        </w:rPr>
        <w:t>.</w:t>
      </w:r>
      <w:r w:rsidR="00946B5B" w:rsidRPr="00B66E62">
        <w:rPr>
          <w:rFonts w:ascii="Times New Roman" w:hAnsi="Times New Roman" w:cs="Times New Roman"/>
          <w:sz w:val="24"/>
          <w:szCs w:val="24"/>
        </w:rPr>
        <w:t xml:space="preserve"> </w:t>
      </w:r>
      <w:r w:rsidR="007A228C" w:rsidRPr="00B66E62">
        <w:rPr>
          <w:rFonts w:ascii="Times New Roman" w:hAnsi="Times New Roman" w:cs="Times New Roman"/>
          <w:sz w:val="24"/>
          <w:szCs w:val="24"/>
        </w:rPr>
        <w:t>To calculate the mean scores for each year group, responses were assumed to be normally distributed and an identity link function was specified</w:t>
      </w:r>
      <w:r w:rsidR="00A92B99" w:rsidRPr="00B66E62">
        <w:rPr>
          <w:rFonts w:ascii="Times New Roman" w:hAnsi="Times New Roman" w:cs="Times New Roman"/>
          <w:sz w:val="24"/>
          <w:szCs w:val="24"/>
        </w:rPr>
        <w:t xml:space="preserve">. The GEE models provided adjusted means and standard errors, and </w:t>
      </w:r>
      <w:r w:rsidR="00A92B99" w:rsidRPr="00B66E62">
        <w:rPr>
          <w:rFonts w:ascii="Times New Roman" w:hAnsi="Times New Roman" w:cs="Times New Roman"/>
          <w:i/>
          <w:sz w:val="24"/>
          <w:szCs w:val="24"/>
        </w:rPr>
        <w:t xml:space="preserve">P </w:t>
      </w:r>
      <w:r w:rsidR="00A92B99" w:rsidRPr="00B66E62">
        <w:rPr>
          <w:rFonts w:ascii="Times New Roman" w:hAnsi="Times New Roman" w:cs="Times New Roman"/>
          <w:sz w:val="24"/>
          <w:szCs w:val="24"/>
        </w:rPr>
        <w:t xml:space="preserve">values (obtained using the Wald statistic), which were used to compare differences between groups. The differences between year groups were further evaluated after </w:t>
      </w:r>
      <w:r w:rsidR="002D1357" w:rsidRPr="00B66E62">
        <w:rPr>
          <w:rFonts w:ascii="Times New Roman" w:hAnsi="Times New Roman" w:cs="Times New Roman"/>
          <w:sz w:val="24"/>
          <w:szCs w:val="24"/>
        </w:rPr>
        <w:t>adjustments</w:t>
      </w:r>
      <w:r w:rsidR="00A92B99" w:rsidRPr="00B66E62">
        <w:rPr>
          <w:rFonts w:ascii="Times New Roman" w:hAnsi="Times New Roman" w:cs="Times New Roman"/>
          <w:sz w:val="24"/>
          <w:szCs w:val="24"/>
        </w:rPr>
        <w:t xml:space="preserve"> were made for potential confounders such as age, sex and previous healthcare experience. Alpha of &lt; 0.05 was considered statistically significant. </w:t>
      </w:r>
      <w:r w:rsidR="00B01DD6" w:rsidRPr="00B66E62">
        <w:rPr>
          <w:rFonts w:ascii="Times New Roman" w:hAnsi="Times New Roman" w:cs="Times New Roman"/>
          <w:sz w:val="24"/>
          <w:szCs w:val="24"/>
        </w:rPr>
        <w:t>Data were analysed using SPSS v2</w:t>
      </w:r>
      <w:r w:rsidR="003E44AB" w:rsidRPr="00B66E62">
        <w:rPr>
          <w:rFonts w:ascii="Times New Roman" w:hAnsi="Times New Roman" w:cs="Times New Roman"/>
          <w:sz w:val="24"/>
          <w:szCs w:val="24"/>
        </w:rPr>
        <w:t>3</w:t>
      </w:r>
      <w:r w:rsidR="00B01DD6" w:rsidRPr="00B66E62">
        <w:rPr>
          <w:rFonts w:ascii="Times New Roman" w:hAnsi="Times New Roman" w:cs="Times New Roman"/>
          <w:sz w:val="24"/>
          <w:szCs w:val="24"/>
        </w:rPr>
        <w:t xml:space="preserve"> (IBM SPSS, Armonk, NY</w:t>
      </w:r>
      <w:r w:rsidR="00D443C2" w:rsidRPr="00B66E62">
        <w:rPr>
          <w:rFonts w:ascii="Times New Roman" w:hAnsi="Times New Roman" w:cs="Times New Roman"/>
          <w:sz w:val="24"/>
          <w:szCs w:val="24"/>
        </w:rPr>
        <w:t xml:space="preserve">). </w:t>
      </w:r>
      <w:r w:rsidRPr="00B66E62">
        <w:rPr>
          <w:rFonts w:ascii="Times New Roman" w:hAnsi="Times New Roman" w:cs="Times New Roman"/>
          <w:sz w:val="24"/>
          <w:szCs w:val="24"/>
        </w:rPr>
        <w:t xml:space="preserve"> </w:t>
      </w:r>
      <w:r w:rsidR="00603F3B" w:rsidRPr="00B66E62">
        <w:rPr>
          <w:rFonts w:ascii="Times New Roman" w:hAnsi="Times New Roman" w:cs="Times New Roman"/>
          <w:sz w:val="24"/>
          <w:szCs w:val="24"/>
        </w:rPr>
        <w:t xml:space="preserve"> </w:t>
      </w:r>
    </w:p>
    <w:p w14:paraId="6BAD209D" w14:textId="77777777" w:rsidR="00045D2F" w:rsidRPr="00B66E62" w:rsidRDefault="00045D2F" w:rsidP="00A55745">
      <w:pPr>
        <w:spacing w:line="480" w:lineRule="auto"/>
        <w:rPr>
          <w:rFonts w:ascii="Times New Roman" w:hAnsi="Times New Roman" w:cs="Times New Roman"/>
          <w:sz w:val="24"/>
          <w:szCs w:val="24"/>
        </w:rPr>
      </w:pPr>
    </w:p>
    <w:p w14:paraId="6BC91D1F" w14:textId="77777777" w:rsidR="00045D2F" w:rsidRPr="00B66E62" w:rsidRDefault="00D443C2"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Results</w:t>
      </w:r>
    </w:p>
    <w:p w14:paraId="47B965BF" w14:textId="7DABCA2A" w:rsidR="001974D7" w:rsidRPr="00B66E62" w:rsidRDefault="000B1FE5"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Overall, 1319 valid survey responses were received, giving a</w:t>
      </w:r>
      <w:r w:rsidR="001974D7" w:rsidRPr="00B66E62">
        <w:rPr>
          <w:rFonts w:ascii="Times New Roman" w:hAnsi="Times New Roman" w:cs="Times New Roman"/>
          <w:sz w:val="24"/>
          <w:szCs w:val="24"/>
        </w:rPr>
        <w:t>n</w:t>
      </w:r>
      <w:r w:rsidRPr="00B66E62">
        <w:rPr>
          <w:rFonts w:ascii="Times New Roman" w:hAnsi="Times New Roman" w:cs="Times New Roman"/>
          <w:sz w:val="24"/>
          <w:szCs w:val="24"/>
        </w:rPr>
        <w:t xml:space="preserve"> </w:t>
      </w:r>
      <w:r w:rsidR="00C70242" w:rsidRPr="00B66E62">
        <w:rPr>
          <w:rFonts w:ascii="Times New Roman" w:hAnsi="Times New Roman" w:cs="Times New Roman"/>
          <w:sz w:val="24"/>
          <w:szCs w:val="24"/>
        </w:rPr>
        <w:t>overall response rate</w:t>
      </w:r>
      <w:r w:rsidRPr="00B66E62">
        <w:rPr>
          <w:rFonts w:ascii="Times New Roman" w:hAnsi="Times New Roman" w:cs="Times New Roman"/>
          <w:sz w:val="24"/>
          <w:szCs w:val="24"/>
        </w:rPr>
        <w:t xml:space="preserve"> of </w:t>
      </w:r>
      <w:r w:rsidR="00CD0D54" w:rsidRPr="00B66E62">
        <w:rPr>
          <w:rFonts w:ascii="Times New Roman" w:hAnsi="Times New Roman" w:cs="Times New Roman"/>
          <w:sz w:val="24"/>
          <w:szCs w:val="24"/>
        </w:rPr>
        <w:t>11%</w:t>
      </w:r>
      <w:r w:rsidRPr="00B66E62">
        <w:rPr>
          <w:rFonts w:ascii="Times New Roman" w:hAnsi="Times New Roman" w:cs="Times New Roman"/>
          <w:sz w:val="24"/>
          <w:szCs w:val="24"/>
        </w:rPr>
        <w:t xml:space="preserve"> across all universities</w:t>
      </w:r>
      <w:r w:rsidR="00D443C2" w:rsidRPr="00B66E62">
        <w:rPr>
          <w:rFonts w:ascii="Times New Roman" w:hAnsi="Times New Roman" w:cs="Times New Roman"/>
          <w:sz w:val="24"/>
          <w:szCs w:val="24"/>
        </w:rPr>
        <w:t xml:space="preserve">. </w:t>
      </w:r>
      <w:r w:rsidR="001974D7" w:rsidRPr="00B66E62">
        <w:rPr>
          <w:rFonts w:ascii="Times New Roman" w:hAnsi="Times New Roman" w:cs="Times New Roman"/>
          <w:sz w:val="24"/>
          <w:szCs w:val="24"/>
        </w:rPr>
        <w:t xml:space="preserve">Individual response rates are shown in Table 1. </w:t>
      </w:r>
    </w:p>
    <w:p w14:paraId="70A9A24C" w14:textId="77777777" w:rsidR="00DD4836" w:rsidRPr="00B66E62" w:rsidRDefault="00DD4836" w:rsidP="00DD4836">
      <w:pPr>
        <w:spacing w:line="480" w:lineRule="auto"/>
        <w:rPr>
          <w:rFonts w:ascii="Times New Roman" w:hAnsi="Times New Roman" w:cs="Times New Roman"/>
          <w:sz w:val="24"/>
          <w:szCs w:val="24"/>
        </w:rPr>
      </w:pPr>
      <w:r w:rsidRPr="00B66E62">
        <w:rPr>
          <w:rFonts w:ascii="Times New Roman" w:hAnsi="Times New Roman" w:cs="Times New Roman"/>
          <w:sz w:val="24"/>
          <w:szCs w:val="24"/>
        </w:rPr>
        <w:t>Table 1 Response rates at each university</w:t>
      </w:r>
    </w:p>
    <w:tbl>
      <w:tblPr>
        <w:tblStyle w:val="TableGrid"/>
        <w:tblW w:w="0" w:type="auto"/>
        <w:tblLook w:val="04A0" w:firstRow="1" w:lastRow="0" w:firstColumn="1" w:lastColumn="0" w:noHBand="0" w:noVBand="1"/>
      </w:tblPr>
      <w:tblGrid>
        <w:gridCol w:w="2254"/>
        <w:gridCol w:w="1427"/>
        <w:gridCol w:w="1701"/>
        <w:gridCol w:w="1701"/>
      </w:tblGrid>
      <w:tr w:rsidR="00DD4836" w:rsidRPr="00B66E62" w14:paraId="03D07B73" w14:textId="77777777" w:rsidTr="008503E7">
        <w:tc>
          <w:tcPr>
            <w:tcW w:w="2254" w:type="dxa"/>
          </w:tcPr>
          <w:p w14:paraId="4CADAECA"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University</w:t>
            </w:r>
          </w:p>
        </w:tc>
        <w:tc>
          <w:tcPr>
            <w:tcW w:w="1427" w:type="dxa"/>
          </w:tcPr>
          <w:p w14:paraId="3E17488F"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No. of students</w:t>
            </w:r>
          </w:p>
        </w:tc>
        <w:tc>
          <w:tcPr>
            <w:tcW w:w="1701" w:type="dxa"/>
          </w:tcPr>
          <w:p w14:paraId="1E47733D"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No. of completed questionnaires</w:t>
            </w:r>
          </w:p>
        </w:tc>
        <w:tc>
          <w:tcPr>
            <w:tcW w:w="1701" w:type="dxa"/>
          </w:tcPr>
          <w:p w14:paraId="361CA41B"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Response rate</w:t>
            </w:r>
          </w:p>
        </w:tc>
      </w:tr>
      <w:tr w:rsidR="00DD4836" w:rsidRPr="00B66E62" w14:paraId="0B632B55" w14:textId="77777777" w:rsidTr="008503E7">
        <w:tc>
          <w:tcPr>
            <w:tcW w:w="2254" w:type="dxa"/>
          </w:tcPr>
          <w:p w14:paraId="701CA3DF"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University 1</w:t>
            </w:r>
          </w:p>
        </w:tc>
        <w:tc>
          <w:tcPr>
            <w:tcW w:w="1427" w:type="dxa"/>
          </w:tcPr>
          <w:p w14:paraId="15C78B97"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3746</w:t>
            </w:r>
          </w:p>
        </w:tc>
        <w:tc>
          <w:tcPr>
            <w:tcW w:w="1701" w:type="dxa"/>
          </w:tcPr>
          <w:p w14:paraId="2342D0C9"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417</w:t>
            </w:r>
          </w:p>
        </w:tc>
        <w:tc>
          <w:tcPr>
            <w:tcW w:w="1701" w:type="dxa"/>
          </w:tcPr>
          <w:p w14:paraId="555079F2"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11.1%</w:t>
            </w:r>
          </w:p>
        </w:tc>
      </w:tr>
      <w:tr w:rsidR="00DD4836" w:rsidRPr="00B66E62" w14:paraId="1B5710C2" w14:textId="77777777" w:rsidTr="008503E7">
        <w:tc>
          <w:tcPr>
            <w:tcW w:w="2254" w:type="dxa"/>
          </w:tcPr>
          <w:p w14:paraId="76821D5D"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University 2</w:t>
            </w:r>
          </w:p>
        </w:tc>
        <w:tc>
          <w:tcPr>
            <w:tcW w:w="1427" w:type="dxa"/>
          </w:tcPr>
          <w:p w14:paraId="78AD6F8B"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146</w:t>
            </w:r>
          </w:p>
        </w:tc>
        <w:tc>
          <w:tcPr>
            <w:tcW w:w="1701" w:type="dxa"/>
          </w:tcPr>
          <w:p w14:paraId="309D23F4"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146</w:t>
            </w:r>
          </w:p>
        </w:tc>
        <w:tc>
          <w:tcPr>
            <w:tcW w:w="1701" w:type="dxa"/>
          </w:tcPr>
          <w:p w14:paraId="1779163E"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100%</w:t>
            </w:r>
          </w:p>
        </w:tc>
      </w:tr>
      <w:tr w:rsidR="00DD4836" w:rsidRPr="00B66E62" w14:paraId="092679E0" w14:textId="77777777" w:rsidTr="008503E7">
        <w:tc>
          <w:tcPr>
            <w:tcW w:w="2254" w:type="dxa"/>
          </w:tcPr>
          <w:p w14:paraId="762A99D8"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lastRenderedPageBreak/>
              <w:t>University 3</w:t>
            </w:r>
          </w:p>
        </w:tc>
        <w:tc>
          <w:tcPr>
            <w:tcW w:w="1427" w:type="dxa"/>
          </w:tcPr>
          <w:p w14:paraId="5B5CFC96"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627</w:t>
            </w:r>
          </w:p>
        </w:tc>
        <w:tc>
          <w:tcPr>
            <w:tcW w:w="1701" w:type="dxa"/>
          </w:tcPr>
          <w:p w14:paraId="1952EFEB"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98</w:t>
            </w:r>
          </w:p>
        </w:tc>
        <w:tc>
          <w:tcPr>
            <w:tcW w:w="1701" w:type="dxa"/>
          </w:tcPr>
          <w:p w14:paraId="1DCAD3A7"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15.6%</w:t>
            </w:r>
          </w:p>
        </w:tc>
      </w:tr>
      <w:tr w:rsidR="00DD4836" w:rsidRPr="00B66E62" w14:paraId="45334F62" w14:textId="77777777" w:rsidTr="008503E7">
        <w:tc>
          <w:tcPr>
            <w:tcW w:w="2254" w:type="dxa"/>
          </w:tcPr>
          <w:p w14:paraId="241E2F70"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University 4</w:t>
            </w:r>
          </w:p>
        </w:tc>
        <w:tc>
          <w:tcPr>
            <w:tcW w:w="1427" w:type="dxa"/>
          </w:tcPr>
          <w:p w14:paraId="350EA3D8"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2101</w:t>
            </w:r>
          </w:p>
        </w:tc>
        <w:tc>
          <w:tcPr>
            <w:tcW w:w="1701" w:type="dxa"/>
          </w:tcPr>
          <w:p w14:paraId="0DB06C3D"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256</w:t>
            </w:r>
          </w:p>
        </w:tc>
        <w:tc>
          <w:tcPr>
            <w:tcW w:w="1701" w:type="dxa"/>
          </w:tcPr>
          <w:p w14:paraId="443520AC"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12.2%</w:t>
            </w:r>
          </w:p>
        </w:tc>
      </w:tr>
      <w:tr w:rsidR="00DD4836" w:rsidRPr="00B66E62" w14:paraId="34BFFE0A" w14:textId="77777777" w:rsidTr="008503E7">
        <w:tc>
          <w:tcPr>
            <w:tcW w:w="2254" w:type="dxa"/>
          </w:tcPr>
          <w:p w14:paraId="5C7947D4"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University 5</w:t>
            </w:r>
          </w:p>
        </w:tc>
        <w:tc>
          <w:tcPr>
            <w:tcW w:w="1427" w:type="dxa"/>
          </w:tcPr>
          <w:p w14:paraId="33C57911"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2156</w:t>
            </w:r>
          </w:p>
        </w:tc>
        <w:tc>
          <w:tcPr>
            <w:tcW w:w="1701" w:type="dxa"/>
          </w:tcPr>
          <w:p w14:paraId="39C24DFA"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217</w:t>
            </w:r>
          </w:p>
        </w:tc>
        <w:tc>
          <w:tcPr>
            <w:tcW w:w="1701" w:type="dxa"/>
          </w:tcPr>
          <w:p w14:paraId="6E3650A0"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10.1%</w:t>
            </w:r>
          </w:p>
        </w:tc>
      </w:tr>
      <w:tr w:rsidR="00DD4836" w:rsidRPr="00B66E62" w14:paraId="38F12F7C" w14:textId="77777777" w:rsidTr="008503E7">
        <w:tc>
          <w:tcPr>
            <w:tcW w:w="2254" w:type="dxa"/>
          </w:tcPr>
          <w:p w14:paraId="44819F79"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University6</w:t>
            </w:r>
          </w:p>
        </w:tc>
        <w:tc>
          <w:tcPr>
            <w:tcW w:w="1427" w:type="dxa"/>
          </w:tcPr>
          <w:p w14:paraId="3BCFB6A1"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1422</w:t>
            </w:r>
          </w:p>
        </w:tc>
        <w:tc>
          <w:tcPr>
            <w:tcW w:w="1701" w:type="dxa"/>
          </w:tcPr>
          <w:p w14:paraId="2A9E17E1"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92</w:t>
            </w:r>
          </w:p>
        </w:tc>
        <w:tc>
          <w:tcPr>
            <w:tcW w:w="1701" w:type="dxa"/>
          </w:tcPr>
          <w:p w14:paraId="0E06E0F7"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6.5%</w:t>
            </w:r>
          </w:p>
        </w:tc>
      </w:tr>
      <w:tr w:rsidR="00DD4836" w:rsidRPr="00B66E62" w14:paraId="7E0C0AC1" w14:textId="77777777" w:rsidTr="008503E7">
        <w:tc>
          <w:tcPr>
            <w:tcW w:w="2254" w:type="dxa"/>
          </w:tcPr>
          <w:p w14:paraId="17B77407"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University7</w:t>
            </w:r>
          </w:p>
        </w:tc>
        <w:tc>
          <w:tcPr>
            <w:tcW w:w="1427" w:type="dxa"/>
          </w:tcPr>
          <w:p w14:paraId="73EAEB0F"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2126</w:t>
            </w:r>
          </w:p>
        </w:tc>
        <w:tc>
          <w:tcPr>
            <w:tcW w:w="1701" w:type="dxa"/>
          </w:tcPr>
          <w:p w14:paraId="16489956"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91</w:t>
            </w:r>
          </w:p>
        </w:tc>
        <w:tc>
          <w:tcPr>
            <w:tcW w:w="1701" w:type="dxa"/>
          </w:tcPr>
          <w:p w14:paraId="7A2F2785"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4.3%</w:t>
            </w:r>
          </w:p>
        </w:tc>
      </w:tr>
      <w:tr w:rsidR="00DD4836" w:rsidRPr="00B66E62" w14:paraId="71BE8D48" w14:textId="77777777" w:rsidTr="008503E7">
        <w:tc>
          <w:tcPr>
            <w:tcW w:w="2254" w:type="dxa"/>
          </w:tcPr>
          <w:p w14:paraId="2F058E9E" w14:textId="77777777" w:rsidR="00DD4836" w:rsidRPr="00B66E62" w:rsidRDefault="00DD4836" w:rsidP="008503E7">
            <w:pPr>
              <w:spacing w:line="480" w:lineRule="auto"/>
              <w:rPr>
                <w:rFonts w:ascii="Times New Roman" w:hAnsi="Times New Roman" w:cs="Times New Roman"/>
                <w:sz w:val="24"/>
                <w:szCs w:val="24"/>
              </w:rPr>
            </w:pPr>
          </w:p>
        </w:tc>
        <w:tc>
          <w:tcPr>
            <w:tcW w:w="1427" w:type="dxa"/>
          </w:tcPr>
          <w:p w14:paraId="033D0AA9" w14:textId="77777777" w:rsidR="00DD4836" w:rsidRPr="00B66E62" w:rsidRDefault="00DD4836" w:rsidP="008503E7">
            <w:pPr>
              <w:spacing w:line="480" w:lineRule="auto"/>
              <w:rPr>
                <w:rFonts w:ascii="Times New Roman" w:hAnsi="Times New Roman" w:cs="Times New Roman"/>
                <w:sz w:val="24"/>
                <w:szCs w:val="24"/>
              </w:rPr>
            </w:pPr>
          </w:p>
        </w:tc>
        <w:tc>
          <w:tcPr>
            <w:tcW w:w="1701" w:type="dxa"/>
          </w:tcPr>
          <w:p w14:paraId="57CE9EE7"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Overall response rate</w:t>
            </w:r>
          </w:p>
        </w:tc>
        <w:tc>
          <w:tcPr>
            <w:tcW w:w="1701" w:type="dxa"/>
          </w:tcPr>
          <w:p w14:paraId="2CB2F5E3" w14:textId="77777777" w:rsidR="00DD4836" w:rsidRPr="00B66E62" w:rsidRDefault="00DD4836" w:rsidP="008503E7">
            <w:pPr>
              <w:spacing w:line="480" w:lineRule="auto"/>
              <w:rPr>
                <w:rFonts w:ascii="Times New Roman" w:hAnsi="Times New Roman" w:cs="Times New Roman"/>
                <w:sz w:val="24"/>
                <w:szCs w:val="24"/>
              </w:rPr>
            </w:pPr>
          </w:p>
          <w:p w14:paraId="688FDA82"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10.68%</w:t>
            </w:r>
          </w:p>
        </w:tc>
      </w:tr>
    </w:tbl>
    <w:p w14:paraId="075F5E19" w14:textId="77777777" w:rsidR="00DD4836" w:rsidRPr="00B66E62" w:rsidRDefault="00DD4836" w:rsidP="00A55745">
      <w:pPr>
        <w:spacing w:line="480" w:lineRule="auto"/>
        <w:rPr>
          <w:rFonts w:ascii="Times New Roman" w:hAnsi="Times New Roman" w:cs="Times New Roman"/>
          <w:sz w:val="24"/>
          <w:szCs w:val="24"/>
        </w:rPr>
      </w:pPr>
    </w:p>
    <w:p w14:paraId="1D6F124B" w14:textId="11AAC711" w:rsidR="00D443C2" w:rsidRPr="00B66E62" w:rsidRDefault="00FB5690"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Overall, 454 first year students, 433 second year students, and 426 third year students completed questionnaires (six persons did not nominate their current year in the nursing degree). </w:t>
      </w:r>
      <w:r w:rsidR="00D443C2" w:rsidRPr="00B66E62">
        <w:rPr>
          <w:rFonts w:ascii="Times New Roman" w:hAnsi="Times New Roman" w:cs="Times New Roman"/>
          <w:sz w:val="24"/>
          <w:szCs w:val="24"/>
        </w:rPr>
        <w:t xml:space="preserve">Demographic characteristics of the study sample are shown in Table </w:t>
      </w:r>
      <w:r w:rsidRPr="00B66E62">
        <w:rPr>
          <w:rFonts w:ascii="Times New Roman" w:hAnsi="Times New Roman" w:cs="Times New Roman"/>
          <w:sz w:val="24"/>
          <w:szCs w:val="24"/>
        </w:rPr>
        <w:t>2</w:t>
      </w:r>
      <w:r w:rsidR="00D443C2" w:rsidRPr="00B66E62">
        <w:rPr>
          <w:rFonts w:ascii="Times New Roman" w:hAnsi="Times New Roman" w:cs="Times New Roman"/>
          <w:sz w:val="24"/>
          <w:szCs w:val="24"/>
        </w:rPr>
        <w:t xml:space="preserve">. </w:t>
      </w:r>
      <w:r w:rsidR="0090175A" w:rsidRPr="00B66E62">
        <w:rPr>
          <w:rFonts w:ascii="Times New Roman" w:hAnsi="Times New Roman" w:cs="Times New Roman"/>
          <w:sz w:val="24"/>
          <w:szCs w:val="24"/>
        </w:rPr>
        <w:t xml:space="preserve">Previous healthcare experience included working in a nursing home, as a nursing assistant or as an </w:t>
      </w:r>
      <w:r w:rsidR="00EF3FC6" w:rsidRPr="00B66E62">
        <w:rPr>
          <w:rFonts w:ascii="Times New Roman" w:hAnsi="Times New Roman" w:cs="Times New Roman"/>
          <w:sz w:val="24"/>
          <w:szCs w:val="24"/>
        </w:rPr>
        <w:t>E</w:t>
      </w:r>
      <w:r w:rsidR="0090175A" w:rsidRPr="00B66E62">
        <w:rPr>
          <w:rFonts w:ascii="Times New Roman" w:hAnsi="Times New Roman" w:cs="Times New Roman"/>
          <w:sz w:val="24"/>
          <w:szCs w:val="24"/>
        </w:rPr>
        <w:t xml:space="preserve">nrolled </w:t>
      </w:r>
      <w:r w:rsidR="00EF3FC6" w:rsidRPr="00B66E62">
        <w:rPr>
          <w:rFonts w:ascii="Times New Roman" w:hAnsi="Times New Roman" w:cs="Times New Roman"/>
          <w:sz w:val="24"/>
          <w:szCs w:val="24"/>
        </w:rPr>
        <w:t>N</w:t>
      </w:r>
      <w:r w:rsidR="0090175A" w:rsidRPr="00B66E62">
        <w:rPr>
          <w:rFonts w:ascii="Times New Roman" w:hAnsi="Times New Roman" w:cs="Times New Roman"/>
          <w:sz w:val="24"/>
          <w:szCs w:val="24"/>
        </w:rPr>
        <w:t>urse</w:t>
      </w:r>
      <w:r w:rsidR="003E44AB" w:rsidRPr="00B66E62">
        <w:rPr>
          <w:rFonts w:ascii="Times New Roman" w:hAnsi="Times New Roman" w:cs="Times New Roman"/>
          <w:sz w:val="24"/>
          <w:szCs w:val="24"/>
        </w:rPr>
        <w:t xml:space="preserve"> - </w:t>
      </w:r>
      <w:r w:rsidR="0090175A" w:rsidRPr="00B66E62">
        <w:rPr>
          <w:rFonts w:ascii="Times New Roman" w:hAnsi="Times New Roman" w:cs="Times New Roman"/>
          <w:sz w:val="24"/>
          <w:szCs w:val="24"/>
        </w:rPr>
        <w:t xml:space="preserve">a second level nurse who provides nursing care, working under the direction and supervision of a Registered Nurse. </w:t>
      </w:r>
    </w:p>
    <w:p w14:paraId="3B5C2D18" w14:textId="77777777" w:rsidR="00DD4836" w:rsidRPr="00B66E62" w:rsidRDefault="00DD4836" w:rsidP="00DD4836">
      <w:pPr>
        <w:spacing w:line="480" w:lineRule="auto"/>
        <w:rPr>
          <w:rFonts w:ascii="Times New Roman" w:hAnsi="Times New Roman" w:cs="Times New Roman"/>
          <w:sz w:val="24"/>
          <w:szCs w:val="24"/>
        </w:rPr>
      </w:pPr>
      <w:r w:rsidRPr="00B66E62">
        <w:rPr>
          <w:rFonts w:ascii="Times New Roman" w:hAnsi="Times New Roman" w:cs="Times New Roman"/>
          <w:sz w:val="24"/>
          <w:szCs w:val="24"/>
        </w:rPr>
        <w:t>Table 2 Demographic characteristics of nursing student participants</w:t>
      </w:r>
    </w:p>
    <w:tbl>
      <w:tblPr>
        <w:tblStyle w:val="TableGrid"/>
        <w:tblW w:w="0" w:type="auto"/>
        <w:tblLook w:val="04A0" w:firstRow="1" w:lastRow="0" w:firstColumn="1" w:lastColumn="0" w:noHBand="0" w:noVBand="1"/>
      </w:tblPr>
      <w:tblGrid>
        <w:gridCol w:w="2254"/>
        <w:gridCol w:w="2254"/>
        <w:gridCol w:w="2254"/>
        <w:gridCol w:w="2254"/>
      </w:tblGrid>
      <w:tr w:rsidR="00DD4836" w:rsidRPr="00B66E62" w14:paraId="2AC4969A" w14:textId="77777777" w:rsidTr="008503E7">
        <w:tc>
          <w:tcPr>
            <w:tcW w:w="2254" w:type="dxa"/>
          </w:tcPr>
          <w:p w14:paraId="44F2DA37" w14:textId="77777777" w:rsidR="00DD4836" w:rsidRPr="00B66E62" w:rsidRDefault="00DD4836" w:rsidP="008503E7">
            <w:pPr>
              <w:spacing w:line="480" w:lineRule="auto"/>
              <w:rPr>
                <w:rFonts w:ascii="Times New Roman" w:hAnsi="Times New Roman" w:cs="Times New Roman"/>
                <w:sz w:val="24"/>
                <w:szCs w:val="24"/>
              </w:rPr>
            </w:pPr>
          </w:p>
        </w:tc>
        <w:tc>
          <w:tcPr>
            <w:tcW w:w="2254" w:type="dxa"/>
          </w:tcPr>
          <w:p w14:paraId="33AA41A7"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Year 1 (</w:t>
            </w:r>
            <w:r w:rsidRPr="00B66E62">
              <w:rPr>
                <w:rFonts w:ascii="Times New Roman" w:hAnsi="Times New Roman" w:cs="Times New Roman"/>
                <w:i/>
                <w:sz w:val="24"/>
                <w:szCs w:val="24"/>
              </w:rPr>
              <w:t xml:space="preserve">n </w:t>
            </w:r>
            <w:r w:rsidRPr="00B66E62">
              <w:rPr>
                <w:rFonts w:ascii="Times New Roman" w:hAnsi="Times New Roman" w:cs="Times New Roman"/>
                <w:sz w:val="24"/>
                <w:szCs w:val="24"/>
              </w:rPr>
              <w:t>= 454)</w:t>
            </w:r>
          </w:p>
        </w:tc>
        <w:tc>
          <w:tcPr>
            <w:tcW w:w="2254" w:type="dxa"/>
          </w:tcPr>
          <w:p w14:paraId="25A57D0F"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Year 2 (</w:t>
            </w:r>
            <w:r w:rsidRPr="00B66E62">
              <w:rPr>
                <w:rFonts w:ascii="Times New Roman" w:hAnsi="Times New Roman" w:cs="Times New Roman"/>
                <w:i/>
                <w:sz w:val="24"/>
                <w:szCs w:val="24"/>
              </w:rPr>
              <w:t xml:space="preserve">n </w:t>
            </w:r>
            <w:r w:rsidRPr="00B66E62">
              <w:rPr>
                <w:rFonts w:ascii="Times New Roman" w:hAnsi="Times New Roman" w:cs="Times New Roman"/>
                <w:sz w:val="24"/>
                <w:szCs w:val="24"/>
              </w:rPr>
              <w:t>= 433)</w:t>
            </w:r>
          </w:p>
        </w:tc>
        <w:tc>
          <w:tcPr>
            <w:tcW w:w="2254" w:type="dxa"/>
          </w:tcPr>
          <w:p w14:paraId="58BB76AC"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Year 3 (</w:t>
            </w:r>
            <w:r w:rsidRPr="00B66E62">
              <w:rPr>
                <w:rFonts w:ascii="Times New Roman" w:hAnsi="Times New Roman" w:cs="Times New Roman"/>
                <w:i/>
                <w:sz w:val="24"/>
                <w:szCs w:val="24"/>
              </w:rPr>
              <w:t xml:space="preserve">n </w:t>
            </w:r>
            <w:r w:rsidRPr="00B66E62">
              <w:rPr>
                <w:rFonts w:ascii="Times New Roman" w:hAnsi="Times New Roman" w:cs="Times New Roman"/>
                <w:sz w:val="24"/>
                <w:szCs w:val="24"/>
              </w:rPr>
              <w:t>= 426)</w:t>
            </w:r>
          </w:p>
        </w:tc>
      </w:tr>
      <w:tr w:rsidR="00DD4836" w:rsidRPr="00B66E62" w14:paraId="52E08988" w14:textId="77777777" w:rsidTr="008503E7">
        <w:tc>
          <w:tcPr>
            <w:tcW w:w="2254" w:type="dxa"/>
          </w:tcPr>
          <w:p w14:paraId="52D25DEC"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Age (mean (SD))†</w:t>
            </w:r>
          </w:p>
        </w:tc>
        <w:tc>
          <w:tcPr>
            <w:tcW w:w="2254" w:type="dxa"/>
          </w:tcPr>
          <w:p w14:paraId="6B6A079D"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26.8 (9.4)</w:t>
            </w:r>
          </w:p>
        </w:tc>
        <w:tc>
          <w:tcPr>
            <w:tcW w:w="2254" w:type="dxa"/>
          </w:tcPr>
          <w:p w14:paraId="5DB30CEB"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29.1 (9.7)</w:t>
            </w:r>
          </w:p>
        </w:tc>
        <w:tc>
          <w:tcPr>
            <w:tcW w:w="2254" w:type="dxa"/>
          </w:tcPr>
          <w:p w14:paraId="39036904"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30.6 (11.2)</w:t>
            </w:r>
          </w:p>
        </w:tc>
      </w:tr>
      <w:tr w:rsidR="00DD4836" w:rsidRPr="00B66E62" w14:paraId="5E6B69D0" w14:textId="77777777" w:rsidTr="008503E7">
        <w:tc>
          <w:tcPr>
            <w:tcW w:w="2254" w:type="dxa"/>
          </w:tcPr>
          <w:p w14:paraId="0B090066"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Gender (</w:t>
            </w:r>
            <w:r w:rsidRPr="00B66E62">
              <w:rPr>
                <w:rFonts w:ascii="Times New Roman" w:hAnsi="Times New Roman" w:cs="Times New Roman"/>
                <w:i/>
                <w:sz w:val="24"/>
                <w:szCs w:val="24"/>
              </w:rPr>
              <w:t xml:space="preserve">n </w:t>
            </w:r>
            <w:r w:rsidRPr="00B66E62">
              <w:rPr>
                <w:rFonts w:ascii="Times New Roman" w:hAnsi="Times New Roman" w:cs="Times New Roman"/>
                <w:sz w:val="24"/>
                <w:szCs w:val="24"/>
              </w:rPr>
              <w:t>(%))†</w:t>
            </w:r>
          </w:p>
        </w:tc>
        <w:tc>
          <w:tcPr>
            <w:tcW w:w="2254" w:type="dxa"/>
          </w:tcPr>
          <w:p w14:paraId="7361024C" w14:textId="77777777" w:rsidR="00DD4836" w:rsidRPr="00B66E62" w:rsidRDefault="00DD4836" w:rsidP="008503E7">
            <w:pPr>
              <w:spacing w:line="480" w:lineRule="auto"/>
              <w:jc w:val="center"/>
              <w:rPr>
                <w:rFonts w:ascii="Times New Roman" w:hAnsi="Times New Roman" w:cs="Times New Roman"/>
                <w:sz w:val="24"/>
                <w:szCs w:val="24"/>
              </w:rPr>
            </w:pPr>
          </w:p>
        </w:tc>
        <w:tc>
          <w:tcPr>
            <w:tcW w:w="2254" w:type="dxa"/>
          </w:tcPr>
          <w:p w14:paraId="6BA2151E" w14:textId="77777777" w:rsidR="00DD4836" w:rsidRPr="00B66E62" w:rsidRDefault="00DD4836" w:rsidP="008503E7">
            <w:pPr>
              <w:spacing w:line="480" w:lineRule="auto"/>
              <w:jc w:val="center"/>
              <w:rPr>
                <w:rFonts w:ascii="Times New Roman" w:hAnsi="Times New Roman" w:cs="Times New Roman"/>
                <w:sz w:val="24"/>
                <w:szCs w:val="24"/>
              </w:rPr>
            </w:pPr>
          </w:p>
        </w:tc>
        <w:tc>
          <w:tcPr>
            <w:tcW w:w="2254" w:type="dxa"/>
          </w:tcPr>
          <w:p w14:paraId="44111550" w14:textId="77777777" w:rsidR="00DD4836" w:rsidRPr="00B66E62" w:rsidRDefault="00DD4836" w:rsidP="008503E7">
            <w:pPr>
              <w:spacing w:line="480" w:lineRule="auto"/>
              <w:jc w:val="center"/>
              <w:rPr>
                <w:rFonts w:ascii="Times New Roman" w:hAnsi="Times New Roman" w:cs="Times New Roman"/>
                <w:sz w:val="24"/>
                <w:szCs w:val="24"/>
              </w:rPr>
            </w:pPr>
          </w:p>
        </w:tc>
      </w:tr>
      <w:tr w:rsidR="00DD4836" w:rsidRPr="00B66E62" w14:paraId="2DD07773" w14:textId="77777777" w:rsidTr="008503E7">
        <w:tc>
          <w:tcPr>
            <w:tcW w:w="2254" w:type="dxa"/>
          </w:tcPr>
          <w:p w14:paraId="59C742E7"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       Female</w:t>
            </w:r>
          </w:p>
        </w:tc>
        <w:tc>
          <w:tcPr>
            <w:tcW w:w="2254" w:type="dxa"/>
          </w:tcPr>
          <w:p w14:paraId="4C5E78CD"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407 (89.6)</w:t>
            </w:r>
          </w:p>
        </w:tc>
        <w:tc>
          <w:tcPr>
            <w:tcW w:w="2254" w:type="dxa"/>
          </w:tcPr>
          <w:p w14:paraId="5F4D24FD"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382 (88.2)</w:t>
            </w:r>
          </w:p>
        </w:tc>
        <w:tc>
          <w:tcPr>
            <w:tcW w:w="2254" w:type="dxa"/>
          </w:tcPr>
          <w:p w14:paraId="2D90F9EB"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383 (89.9)</w:t>
            </w:r>
          </w:p>
        </w:tc>
      </w:tr>
      <w:tr w:rsidR="00DD4836" w:rsidRPr="00B66E62" w14:paraId="21FA606E" w14:textId="77777777" w:rsidTr="008503E7">
        <w:tc>
          <w:tcPr>
            <w:tcW w:w="2254" w:type="dxa"/>
          </w:tcPr>
          <w:p w14:paraId="318350C4" w14:textId="77777777" w:rsidR="00DD4836" w:rsidRPr="00B66E62" w:rsidRDefault="00DD4836" w:rsidP="008503E7">
            <w:pPr>
              <w:tabs>
                <w:tab w:val="left" w:pos="376"/>
                <w:tab w:val="left" w:pos="576"/>
                <w:tab w:val="left" w:pos="901"/>
                <w:tab w:val="center" w:pos="1019"/>
                <w:tab w:val="left" w:pos="1164"/>
              </w:tabs>
              <w:spacing w:line="480" w:lineRule="auto"/>
              <w:rPr>
                <w:rFonts w:ascii="Times New Roman" w:hAnsi="Times New Roman" w:cs="Times New Roman"/>
                <w:sz w:val="24"/>
                <w:szCs w:val="24"/>
              </w:rPr>
            </w:pPr>
            <w:r w:rsidRPr="00B66E62">
              <w:rPr>
                <w:rFonts w:ascii="Times New Roman" w:hAnsi="Times New Roman" w:cs="Times New Roman"/>
                <w:sz w:val="24"/>
                <w:szCs w:val="24"/>
              </w:rPr>
              <w:tab/>
              <w:t xml:space="preserve"> Male</w:t>
            </w:r>
          </w:p>
        </w:tc>
        <w:tc>
          <w:tcPr>
            <w:tcW w:w="2254" w:type="dxa"/>
          </w:tcPr>
          <w:p w14:paraId="15BE4ED1"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47 (10.4)</w:t>
            </w:r>
          </w:p>
        </w:tc>
        <w:tc>
          <w:tcPr>
            <w:tcW w:w="2254" w:type="dxa"/>
          </w:tcPr>
          <w:p w14:paraId="40E252B6"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51 (11.8)</w:t>
            </w:r>
          </w:p>
        </w:tc>
        <w:tc>
          <w:tcPr>
            <w:tcW w:w="2254" w:type="dxa"/>
          </w:tcPr>
          <w:p w14:paraId="458BDF17"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43 (10.1)</w:t>
            </w:r>
          </w:p>
        </w:tc>
      </w:tr>
      <w:tr w:rsidR="00DD4836" w:rsidRPr="00B66E62" w14:paraId="3621DA84" w14:textId="77777777" w:rsidTr="008503E7">
        <w:tc>
          <w:tcPr>
            <w:tcW w:w="2254" w:type="dxa"/>
          </w:tcPr>
          <w:p w14:paraId="1D522518" w14:textId="77777777" w:rsidR="00DD4836" w:rsidRPr="00B66E62" w:rsidRDefault="00DD4836" w:rsidP="008503E7">
            <w:pPr>
              <w:spacing w:line="480" w:lineRule="auto"/>
              <w:rPr>
                <w:rFonts w:ascii="Times New Roman" w:hAnsi="Times New Roman" w:cs="Times New Roman"/>
                <w:sz w:val="24"/>
                <w:szCs w:val="24"/>
              </w:rPr>
            </w:pPr>
            <w:r w:rsidRPr="00B66E62">
              <w:rPr>
                <w:rFonts w:ascii="Times New Roman" w:hAnsi="Times New Roman" w:cs="Times New Roman"/>
                <w:sz w:val="24"/>
                <w:szCs w:val="24"/>
              </w:rPr>
              <w:t>Previous Healthcare Experience (</w:t>
            </w:r>
            <w:r w:rsidRPr="00B66E62">
              <w:rPr>
                <w:rFonts w:ascii="Times New Roman" w:hAnsi="Times New Roman" w:cs="Times New Roman"/>
                <w:i/>
                <w:sz w:val="24"/>
                <w:szCs w:val="24"/>
              </w:rPr>
              <w:t xml:space="preserve">n </w:t>
            </w:r>
            <w:r w:rsidRPr="00B66E62">
              <w:rPr>
                <w:rFonts w:ascii="Times New Roman" w:hAnsi="Times New Roman" w:cs="Times New Roman"/>
                <w:sz w:val="24"/>
                <w:szCs w:val="24"/>
              </w:rPr>
              <w:t>(%))†</w:t>
            </w:r>
          </w:p>
        </w:tc>
        <w:tc>
          <w:tcPr>
            <w:tcW w:w="2254" w:type="dxa"/>
          </w:tcPr>
          <w:p w14:paraId="7365C7FB"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201 (44.3)</w:t>
            </w:r>
          </w:p>
        </w:tc>
        <w:tc>
          <w:tcPr>
            <w:tcW w:w="2254" w:type="dxa"/>
          </w:tcPr>
          <w:p w14:paraId="22B5E637"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272 (62.8)</w:t>
            </w:r>
          </w:p>
        </w:tc>
        <w:tc>
          <w:tcPr>
            <w:tcW w:w="2254" w:type="dxa"/>
          </w:tcPr>
          <w:p w14:paraId="374D938A" w14:textId="77777777" w:rsidR="00DD4836" w:rsidRPr="00B66E62" w:rsidRDefault="00DD4836" w:rsidP="008503E7">
            <w:pPr>
              <w:spacing w:line="480" w:lineRule="auto"/>
              <w:jc w:val="center"/>
              <w:rPr>
                <w:rFonts w:ascii="Times New Roman" w:hAnsi="Times New Roman" w:cs="Times New Roman"/>
                <w:sz w:val="24"/>
                <w:szCs w:val="24"/>
              </w:rPr>
            </w:pPr>
            <w:r w:rsidRPr="00B66E62">
              <w:rPr>
                <w:rFonts w:ascii="Times New Roman" w:hAnsi="Times New Roman" w:cs="Times New Roman"/>
                <w:sz w:val="24"/>
                <w:szCs w:val="24"/>
              </w:rPr>
              <w:t>300 (70.4)</w:t>
            </w:r>
          </w:p>
        </w:tc>
      </w:tr>
    </w:tbl>
    <w:p w14:paraId="73971739" w14:textId="77777777" w:rsidR="00DD4836" w:rsidRPr="00B66E62" w:rsidRDefault="00DD4836" w:rsidP="00DD4836">
      <w:pPr>
        <w:spacing w:line="480" w:lineRule="auto"/>
        <w:rPr>
          <w:rFonts w:ascii="Times New Roman" w:hAnsi="Times New Roman" w:cs="Times New Roman"/>
          <w:sz w:val="24"/>
          <w:szCs w:val="24"/>
        </w:rPr>
      </w:pPr>
      <w:r w:rsidRPr="00B66E62">
        <w:rPr>
          <w:rFonts w:ascii="Times New Roman" w:hAnsi="Times New Roman" w:cs="Times New Roman"/>
          <w:sz w:val="24"/>
          <w:szCs w:val="24"/>
        </w:rPr>
        <w:t>†6 persons did not nominate their course year</w:t>
      </w:r>
    </w:p>
    <w:p w14:paraId="22BA4D7F" w14:textId="2B2A8B2A" w:rsidR="00D443C2" w:rsidRPr="00B66E62" w:rsidRDefault="00FB5690"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 xml:space="preserve">Confidence in </w:t>
      </w:r>
      <w:r w:rsidR="00821881" w:rsidRPr="00B66E62">
        <w:rPr>
          <w:rFonts w:ascii="Times New Roman" w:hAnsi="Times New Roman" w:cs="Times New Roman"/>
          <w:b/>
          <w:sz w:val="24"/>
          <w:szCs w:val="24"/>
        </w:rPr>
        <w:t>patient safety knowledge</w:t>
      </w:r>
    </w:p>
    <w:p w14:paraId="603BC1B9" w14:textId="199DB0E8" w:rsidR="00451475" w:rsidRPr="00B66E62" w:rsidRDefault="001A77AC"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lastRenderedPageBreak/>
        <w:t>Nursing students were most confident in what they were learning about clinical safety skills and effective communication</w:t>
      </w:r>
      <w:r w:rsidR="00924135" w:rsidRPr="00B66E62">
        <w:rPr>
          <w:rFonts w:ascii="Times New Roman" w:hAnsi="Times New Roman" w:cs="Times New Roman"/>
          <w:sz w:val="24"/>
          <w:szCs w:val="24"/>
        </w:rPr>
        <w:t xml:space="preserve"> for patient safety</w:t>
      </w:r>
      <w:r w:rsidRPr="00B66E62">
        <w:rPr>
          <w:rFonts w:ascii="Times New Roman" w:hAnsi="Times New Roman" w:cs="Times New Roman"/>
          <w:sz w:val="24"/>
          <w:szCs w:val="24"/>
        </w:rPr>
        <w:t xml:space="preserve"> (Table </w:t>
      </w:r>
      <w:r w:rsidR="00FB5690" w:rsidRPr="00B66E62">
        <w:rPr>
          <w:rFonts w:ascii="Times New Roman" w:hAnsi="Times New Roman" w:cs="Times New Roman"/>
          <w:sz w:val="24"/>
          <w:szCs w:val="24"/>
        </w:rPr>
        <w:t>3</w:t>
      </w:r>
      <w:r w:rsidRPr="00B66E62">
        <w:rPr>
          <w:rFonts w:ascii="Times New Roman" w:hAnsi="Times New Roman" w:cs="Times New Roman"/>
          <w:sz w:val="24"/>
          <w:szCs w:val="24"/>
        </w:rPr>
        <w:t xml:space="preserve">). </w:t>
      </w:r>
      <w:r w:rsidR="0002561F" w:rsidRPr="00B66E62">
        <w:rPr>
          <w:rFonts w:ascii="Times New Roman" w:hAnsi="Times New Roman" w:cs="Times New Roman"/>
          <w:sz w:val="24"/>
          <w:szCs w:val="24"/>
        </w:rPr>
        <w:t>They were least confident in what they were learning about working in teams with other health professionals, managing safety risks, understanding human and environmental factors that contribute to safety, and recognising and responding to remove immediate risks of harm.</w:t>
      </w:r>
      <w:r w:rsidR="00D039DD" w:rsidRPr="00B66E62">
        <w:rPr>
          <w:rFonts w:ascii="Times New Roman" w:hAnsi="Times New Roman" w:cs="Times New Roman"/>
          <w:sz w:val="24"/>
          <w:szCs w:val="24"/>
        </w:rPr>
        <w:t xml:space="preserve"> The statistically significant differences in mean clinical safety skills and culture of safety between classroom and clinical settings</w:t>
      </w:r>
      <w:r w:rsidR="00451475" w:rsidRPr="00B66E62">
        <w:rPr>
          <w:rFonts w:ascii="Times New Roman" w:hAnsi="Times New Roman" w:cs="Times New Roman"/>
          <w:sz w:val="24"/>
          <w:szCs w:val="24"/>
        </w:rPr>
        <w:t xml:space="preserve"> had </w:t>
      </w:r>
      <w:r w:rsidR="00365793" w:rsidRPr="00B66E62">
        <w:rPr>
          <w:rFonts w:ascii="Times New Roman" w:hAnsi="Times New Roman" w:cs="Times New Roman"/>
          <w:sz w:val="24"/>
          <w:szCs w:val="24"/>
        </w:rPr>
        <w:t xml:space="preserve">small to </w:t>
      </w:r>
      <w:r w:rsidR="00451475" w:rsidRPr="00B66E62">
        <w:rPr>
          <w:rFonts w:ascii="Times New Roman" w:hAnsi="Times New Roman" w:cs="Times New Roman"/>
          <w:sz w:val="24"/>
          <w:szCs w:val="24"/>
        </w:rPr>
        <w:t xml:space="preserve">moderate effect sizes, thus indicating that classroom learning increased confidence in these dimensions to a greater extent than the clinical setting. For the other statistically significant differences in patient safety dimensions, the effect size </w:t>
      </w:r>
      <w:r w:rsidR="00A03368" w:rsidRPr="00B66E62">
        <w:rPr>
          <w:rFonts w:ascii="Times New Roman" w:hAnsi="Times New Roman" w:cs="Times New Roman"/>
          <w:sz w:val="24"/>
          <w:szCs w:val="24"/>
        </w:rPr>
        <w:t>was</w:t>
      </w:r>
      <w:r w:rsidR="00451475" w:rsidRPr="00B66E62">
        <w:rPr>
          <w:rFonts w:ascii="Times New Roman" w:hAnsi="Times New Roman" w:cs="Times New Roman"/>
          <w:sz w:val="24"/>
          <w:szCs w:val="24"/>
        </w:rPr>
        <w:t xml:space="preserve"> small and, therefore, </w:t>
      </w:r>
      <w:r w:rsidR="00A03368" w:rsidRPr="00B66E62">
        <w:rPr>
          <w:rFonts w:ascii="Times New Roman" w:hAnsi="Times New Roman" w:cs="Times New Roman"/>
          <w:sz w:val="24"/>
          <w:szCs w:val="24"/>
        </w:rPr>
        <w:t xml:space="preserve">likely </w:t>
      </w:r>
      <w:r w:rsidR="00451475" w:rsidRPr="00B66E62">
        <w:rPr>
          <w:rFonts w:ascii="Times New Roman" w:hAnsi="Times New Roman" w:cs="Times New Roman"/>
          <w:sz w:val="24"/>
          <w:szCs w:val="24"/>
        </w:rPr>
        <w:t>of low clinical significance. In terms of the proportion of respondents who were confident about what they were learning, close to 80% or more of respondents ‘agreed’ they were confident in what they were learning about clinical safety, communicating effectively for patient safety, and a culture of safety (</w:t>
      </w:r>
      <w:r w:rsidR="006C3056" w:rsidRPr="00B66E62">
        <w:rPr>
          <w:rFonts w:ascii="Times New Roman" w:hAnsi="Times New Roman" w:cs="Times New Roman"/>
          <w:sz w:val="24"/>
          <w:szCs w:val="24"/>
        </w:rPr>
        <w:t>a supportive environment to speak up about safety concerns</w:t>
      </w:r>
      <w:r w:rsidR="00451475" w:rsidRPr="00B66E62">
        <w:rPr>
          <w:rFonts w:ascii="Times New Roman" w:hAnsi="Times New Roman" w:cs="Times New Roman"/>
          <w:sz w:val="24"/>
          <w:szCs w:val="24"/>
        </w:rPr>
        <w:t xml:space="preserve">). </w:t>
      </w:r>
      <w:r w:rsidR="006C3056" w:rsidRPr="00B66E62">
        <w:rPr>
          <w:rFonts w:ascii="Times New Roman" w:hAnsi="Times New Roman" w:cs="Times New Roman"/>
          <w:sz w:val="24"/>
          <w:szCs w:val="24"/>
        </w:rPr>
        <w:t xml:space="preserve">Furthermore, over 60% of nursing students agreed they were confident in what they were learning about the other </w:t>
      </w:r>
      <w:r w:rsidR="00725FF2" w:rsidRPr="00B66E62">
        <w:rPr>
          <w:rFonts w:ascii="Times New Roman" w:hAnsi="Times New Roman" w:cs="Times New Roman"/>
          <w:sz w:val="24"/>
          <w:szCs w:val="24"/>
        </w:rPr>
        <w:t>four</w:t>
      </w:r>
      <w:r w:rsidR="006C3056" w:rsidRPr="00B66E62">
        <w:rPr>
          <w:rFonts w:ascii="Times New Roman" w:hAnsi="Times New Roman" w:cs="Times New Roman"/>
          <w:sz w:val="24"/>
          <w:szCs w:val="24"/>
        </w:rPr>
        <w:t xml:space="preserve"> sociocultural </w:t>
      </w:r>
      <w:r w:rsidR="00BD6D07" w:rsidRPr="00B66E62">
        <w:rPr>
          <w:rFonts w:ascii="Times New Roman" w:hAnsi="Times New Roman" w:cs="Times New Roman"/>
          <w:sz w:val="24"/>
          <w:szCs w:val="24"/>
        </w:rPr>
        <w:t>aspects</w:t>
      </w:r>
      <w:r w:rsidR="006C3056" w:rsidRPr="00B66E62">
        <w:rPr>
          <w:rFonts w:ascii="Times New Roman" w:hAnsi="Times New Roman" w:cs="Times New Roman"/>
          <w:sz w:val="24"/>
          <w:szCs w:val="24"/>
        </w:rPr>
        <w:t xml:space="preserve"> of patient safety.</w:t>
      </w:r>
    </w:p>
    <w:p w14:paraId="3E081161" w14:textId="77777777" w:rsidR="00DD4836" w:rsidRPr="00B66E62" w:rsidRDefault="00DD4836" w:rsidP="00DD4836">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Table 3 Classroom and clinical patient safety scores – paired </w:t>
      </w:r>
      <w:r w:rsidRPr="00B66E62">
        <w:rPr>
          <w:rFonts w:ascii="Times New Roman" w:hAnsi="Times New Roman" w:cs="Times New Roman"/>
          <w:i/>
          <w:sz w:val="24"/>
          <w:szCs w:val="24"/>
        </w:rPr>
        <w:t>t</w:t>
      </w:r>
      <w:r w:rsidRPr="00B66E62">
        <w:rPr>
          <w:rFonts w:ascii="Times New Roman" w:hAnsi="Times New Roman" w:cs="Times New Roman"/>
          <w:sz w:val="24"/>
          <w:szCs w:val="24"/>
        </w:rPr>
        <w:t>-tests</w:t>
      </w:r>
    </w:p>
    <w:tbl>
      <w:tblPr>
        <w:tblStyle w:val="TableGrid"/>
        <w:tblW w:w="10042" w:type="dxa"/>
        <w:tblInd w:w="-375" w:type="dxa"/>
        <w:tblLook w:val="04A0" w:firstRow="1" w:lastRow="0" w:firstColumn="1" w:lastColumn="0" w:noHBand="0" w:noVBand="1"/>
      </w:tblPr>
      <w:tblGrid>
        <w:gridCol w:w="3460"/>
        <w:gridCol w:w="992"/>
        <w:gridCol w:w="851"/>
        <w:gridCol w:w="709"/>
        <w:gridCol w:w="708"/>
        <w:gridCol w:w="851"/>
        <w:gridCol w:w="954"/>
        <w:gridCol w:w="787"/>
        <w:gridCol w:w="730"/>
      </w:tblGrid>
      <w:tr w:rsidR="00DD4836" w:rsidRPr="00B66E62" w14:paraId="77EE9476" w14:textId="77777777" w:rsidTr="008503E7">
        <w:trPr>
          <w:trHeight w:val="406"/>
        </w:trPr>
        <w:tc>
          <w:tcPr>
            <w:tcW w:w="3460" w:type="dxa"/>
          </w:tcPr>
          <w:p w14:paraId="243C3EB2" w14:textId="77777777" w:rsidR="00DD4836" w:rsidRPr="00B66E62" w:rsidRDefault="00DD4836" w:rsidP="008503E7">
            <w:pPr>
              <w:spacing w:line="480" w:lineRule="auto"/>
              <w:rPr>
                <w:rFonts w:ascii="Times New Roman" w:hAnsi="Times New Roman" w:cs="Times New Roman"/>
                <w:sz w:val="20"/>
                <w:szCs w:val="20"/>
              </w:rPr>
            </w:pPr>
          </w:p>
        </w:tc>
        <w:tc>
          <w:tcPr>
            <w:tcW w:w="992" w:type="dxa"/>
          </w:tcPr>
          <w:p w14:paraId="363DF2BB" w14:textId="77777777" w:rsidR="00DD4836" w:rsidRPr="00B66E62" w:rsidRDefault="00DD4836" w:rsidP="008503E7">
            <w:pPr>
              <w:spacing w:line="480" w:lineRule="auto"/>
              <w:rPr>
                <w:rFonts w:ascii="Times New Roman" w:hAnsi="Times New Roman" w:cs="Times New Roman"/>
                <w:sz w:val="20"/>
                <w:szCs w:val="20"/>
              </w:rPr>
            </w:pPr>
          </w:p>
        </w:tc>
        <w:tc>
          <w:tcPr>
            <w:tcW w:w="851" w:type="dxa"/>
          </w:tcPr>
          <w:p w14:paraId="0195AF07" w14:textId="77777777" w:rsidR="00DD4836" w:rsidRPr="00B66E62" w:rsidRDefault="00DD4836" w:rsidP="008503E7">
            <w:pPr>
              <w:spacing w:line="480" w:lineRule="auto"/>
              <w:rPr>
                <w:rFonts w:ascii="Times New Roman" w:hAnsi="Times New Roman" w:cs="Times New Roman"/>
                <w:sz w:val="20"/>
                <w:szCs w:val="20"/>
              </w:rPr>
            </w:pPr>
          </w:p>
        </w:tc>
        <w:tc>
          <w:tcPr>
            <w:tcW w:w="709" w:type="dxa"/>
          </w:tcPr>
          <w:p w14:paraId="666850C5" w14:textId="77777777" w:rsidR="00DD4836" w:rsidRPr="00B66E62" w:rsidRDefault="00DD4836" w:rsidP="008503E7">
            <w:pPr>
              <w:spacing w:line="480" w:lineRule="auto"/>
              <w:rPr>
                <w:rFonts w:ascii="Times New Roman" w:hAnsi="Times New Roman" w:cs="Times New Roman"/>
                <w:sz w:val="20"/>
                <w:szCs w:val="20"/>
              </w:rPr>
            </w:pPr>
          </w:p>
        </w:tc>
        <w:tc>
          <w:tcPr>
            <w:tcW w:w="708" w:type="dxa"/>
          </w:tcPr>
          <w:p w14:paraId="4AEF7C5E" w14:textId="77777777" w:rsidR="00DD4836" w:rsidRPr="00B66E62" w:rsidRDefault="00DD4836" w:rsidP="008503E7">
            <w:pPr>
              <w:spacing w:line="480" w:lineRule="auto"/>
              <w:rPr>
                <w:rFonts w:ascii="Times New Roman" w:hAnsi="Times New Roman" w:cs="Times New Roman"/>
                <w:sz w:val="20"/>
                <w:szCs w:val="20"/>
              </w:rPr>
            </w:pPr>
          </w:p>
        </w:tc>
        <w:tc>
          <w:tcPr>
            <w:tcW w:w="851" w:type="dxa"/>
          </w:tcPr>
          <w:p w14:paraId="60830F8B" w14:textId="77777777" w:rsidR="00DD4836" w:rsidRPr="00B66E62" w:rsidRDefault="00DD4836" w:rsidP="008503E7">
            <w:pPr>
              <w:spacing w:line="480" w:lineRule="auto"/>
              <w:rPr>
                <w:rFonts w:ascii="Times New Roman" w:hAnsi="Times New Roman" w:cs="Times New Roman"/>
                <w:sz w:val="20"/>
                <w:szCs w:val="20"/>
              </w:rPr>
            </w:pPr>
          </w:p>
        </w:tc>
        <w:tc>
          <w:tcPr>
            <w:tcW w:w="954" w:type="dxa"/>
          </w:tcPr>
          <w:p w14:paraId="1EF828D5" w14:textId="77777777" w:rsidR="00DD4836" w:rsidRPr="00B66E62" w:rsidRDefault="00DD4836" w:rsidP="008503E7">
            <w:pPr>
              <w:spacing w:line="480" w:lineRule="auto"/>
              <w:rPr>
                <w:rFonts w:ascii="Times New Roman" w:hAnsi="Times New Roman" w:cs="Times New Roman"/>
                <w:sz w:val="20"/>
                <w:szCs w:val="20"/>
              </w:rPr>
            </w:pPr>
          </w:p>
        </w:tc>
        <w:tc>
          <w:tcPr>
            <w:tcW w:w="1517" w:type="dxa"/>
            <w:gridSpan w:val="2"/>
          </w:tcPr>
          <w:p w14:paraId="314324FC"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 xml:space="preserve">Agree/strongly agree </w:t>
            </w:r>
          </w:p>
        </w:tc>
      </w:tr>
      <w:tr w:rsidR="00DD4836" w:rsidRPr="00B66E62" w14:paraId="63CF8331" w14:textId="77777777" w:rsidTr="008503E7">
        <w:trPr>
          <w:trHeight w:val="627"/>
        </w:trPr>
        <w:tc>
          <w:tcPr>
            <w:tcW w:w="3460" w:type="dxa"/>
          </w:tcPr>
          <w:p w14:paraId="16C2668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b/>
                <w:sz w:val="20"/>
                <w:szCs w:val="20"/>
              </w:rPr>
              <w:t>Patient safety areas</w:t>
            </w:r>
          </w:p>
        </w:tc>
        <w:tc>
          <w:tcPr>
            <w:tcW w:w="992" w:type="dxa"/>
          </w:tcPr>
          <w:p w14:paraId="3AE540C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Setting</w:t>
            </w:r>
          </w:p>
        </w:tc>
        <w:tc>
          <w:tcPr>
            <w:tcW w:w="851" w:type="dxa"/>
          </w:tcPr>
          <w:p w14:paraId="07F41C4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N</w:t>
            </w:r>
          </w:p>
        </w:tc>
        <w:tc>
          <w:tcPr>
            <w:tcW w:w="709" w:type="dxa"/>
          </w:tcPr>
          <w:p w14:paraId="3AED3917"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Mean</w:t>
            </w:r>
          </w:p>
        </w:tc>
        <w:tc>
          <w:tcPr>
            <w:tcW w:w="708" w:type="dxa"/>
          </w:tcPr>
          <w:p w14:paraId="39B3FFC6"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SD</w:t>
            </w:r>
          </w:p>
        </w:tc>
        <w:tc>
          <w:tcPr>
            <w:tcW w:w="851" w:type="dxa"/>
          </w:tcPr>
          <w:p w14:paraId="49680F4B"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Effect size</w:t>
            </w:r>
          </w:p>
        </w:tc>
        <w:tc>
          <w:tcPr>
            <w:tcW w:w="954" w:type="dxa"/>
          </w:tcPr>
          <w:p w14:paraId="381F8B36"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 xml:space="preserve">Paired t-test </w:t>
            </w:r>
          </w:p>
          <w:p w14:paraId="2D2C5DBA"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P value</w:t>
            </w:r>
          </w:p>
        </w:tc>
        <w:tc>
          <w:tcPr>
            <w:tcW w:w="787" w:type="dxa"/>
          </w:tcPr>
          <w:p w14:paraId="1A146A83"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n</w:t>
            </w:r>
          </w:p>
        </w:tc>
        <w:tc>
          <w:tcPr>
            <w:tcW w:w="730" w:type="dxa"/>
          </w:tcPr>
          <w:p w14:paraId="1C46D113"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w:t>
            </w:r>
          </w:p>
        </w:tc>
      </w:tr>
      <w:tr w:rsidR="00DD4836" w:rsidRPr="00B66E62" w14:paraId="369F68F5" w14:textId="77777777" w:rsidTr="008503E7">
        <w:trPr>
          <w:trHeight w:val="406"/>
        </w:trPr>
        <w:tc>
          <w:tcPr>
            <w:tcW w:w="3460" w:type="dxa"/>
          </w:tcPr>
          <w:p w14:paraId="2AE8DEF8"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Culture of safety</w:t>
            </w:r>
          </w:p>
        </w:tc>
        <w:tc>
          <w:tcPr>
            <w:tcW w:w="992" w:type="dxa"/>
          </w:tcPr>
          <w:p w14:paraId="42BEA6B6"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Class</w:t>
            </w:r>
          </w:p>
          <w:p w14:paraId="270E6D0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Clinical</w:t>
            </w:r>
          </w:p>
        </w:tc>
        <w:tc>
          <w:tcPr>
            <w:tcW w:w="851" w:type="dxa"/>
          </w:tcPr>
          <w:p w14:paraId="6F7AA33A"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1084</w:t>
            </w:r>
          </w:p>
          <w:p w14:paraId="4ED4CC8C"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1087</w:t>
            </w:r>
          </w:p>
        </w:tc>
        <w:tc>
          <w:tcPr>
            <w:tcW w:w="709" w:type="dxa"/>
          </w:tcPr>
          <w:p w14:paraId="54B80707"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4.2</w:t>
            </w:r>
          </w:p>
          <w:p w14:paraId="32F26E29"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4.0</w:t>
            </w:r>
          </w:p>
        </w:tc>
        <w:tc>
          <w:tcPr>
            <w:tcW w:w="708" w:type="dxa"/>
          </w:tcPr>
          <w:p w14:paraId="1978F3D6"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0.69</w:t>
            </w:r>
          </w:p>
          <w:p w14:paraId="502F238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0.83</w:t>
            </w:r>
          </w:p>
        </w:tc>
        <w:tc>
          <w:tcPr>
            <w:tcW w:w="851" w:type="dxa"/>
          </w:tcPr>
          <w:p w14:paraId="3B7289CC"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0.25</w:t>
            </w:r>
          </w:p>
        </w:tc>
        <w:tc>
          <w:tcPr>
            <w:tcW w:w="954" w:type="dxa"/>
          </w:tcPr>
          <w:p w14:paraId="341D20D7" w14:textId="77777777" w:rsidR="00DD4836" w:rsidRPr="00B66E62" w:rsidRDefault="00DD4836" w:rsidP="008503E7">
            <w:pPr>
              <w:spacing w:line="480" w:lineRule="auto"/>
              <w:rPr>
                <w:rFonts w:ascii="Times New Roman" w:hAnsi="Times New Roman" w:cs="Times New Roman"/>
                <w:b/>
                <w:sz w:val="20"/>
                <w:szCs w:val="20"/>
              </w:rPr>
            </w:pPr>
            <w:r w:rsidRPr="00B66E62">
              <w:rPr>
                <w:rFonts w:ascii="Times New Roman" w:hAnsi="Times New Roman" w:cs="Times New Roman"/>
                <w:b/>
                <w:sz w:val="20"/>
                <w:szCs w:val="20"/>
              </w:rPr>
              <w:t>&lt; 0.001</w:t>
            </w:r>
          </w:p>
        </w:tc>
        <w:tc>
          <w:tcPr>
            <w:tcW w:w="787" w:type="dxa"/>
          </w:tcPr>
          <w:p w14:paraId="5C81A7C1"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951</w:t>
            </w:r>
          </w:p>
          <w:p w14:paraId="750D742C"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859</w:t>
            </w:r>
          </w:p>
        </w:tc>
        <w:tc>
          <w:tcPr>
            <w:tcW w:w="730" w:type="dxa"/>
          </w:tcPr>
          <w:p w14:paraId="202EACC1"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88</w:t>
            </w:r>
          </w:p>
          <w:p w14:paraId="39A629D3"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79</w:t>
            </w:r>
          </w:p>
        </w:tc>
      </w:tr>
      <w:tr w:rsidR="00DD4836" w:rsidRPr="00B66E62" w14:paraId="001A33A9" w14:textId="77777777" w:rsidTr="008503E7">
        <w:trPr>
          <w:trHeight w:val="440"/>
        </w:trPr>
        <w:tc>
          <w:tcPr>
            <w:tcW w:w="3460" w:type="dxa"/>
          </w:tcPr>
          <w:p w14:paraId="1C8A48A9" w14:textId="37AE013E"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Work</w:t>
            </w:r>
            <w:r w:rsidR="0043766E" w:rsidRPr="00B66E62">
              <w:rPr>
                <w:rFonts w:ascii="Times New Roman" w:hAnsi="Times New Roman" w:cs="Times New Roman"/>
                <w:sz w:val="20"/>
                <w:szCs w:val="20"/>
              </w:rPr>
              <w:t>ing</w:t>
            </w:r>
            <w:r w:rsidRPr="00B66E62">
              <w:rPr>
                <w:rFonts w:ascii="Times New Roman" w:hAnsi="Times New Roman" w:cs="Times New Roman"/>
                <w:sz w:val="20"/>
                <w:szCs w:val="20"/>
              </w:rPr>
              <w:t xml:space="preserve"> in teams with other health professionals</w:t>
            </w:r>
          </w:p>
        </w:tc>
        <w:tc>
          <w:tcPr>
            <w:tcW w:w="992" w:type="dxa"/>
          </w:tcPr>
          <w:p w14:paraId="00124414"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Class</w:t>
            </w:r>
          </w:p>
          <w:p w14:paraId="57CA6E1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Clinical</w:t>
            </w:r>
          </w:p>
        </w:tc>
        <w:tc>
          <w:tcPr>
            <w:tcW w:w="851" w:type="dxa"/>
          </w:tcPr>
          <w:p w14:paraId="0BEE0C07"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1200</w:t>
            </w:r>
          </w:p>
          <w:p w14:paraId="465014FA"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1197</w:t>
            </w:r>
          </w:p>
        </w:tc>
        <w:tc>
          <w:tcPr>
            <w:tcW w:w="709" w:type="dxa"/>
          </w:tcPr>
          <w:p w14:paraId="094189A6"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3.8</w:t>
            </w:r>
          </w:p>
          <w:p w14:paraId="324A5C14"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3.7</w:t>
            </w:r>
          </w:p>
        </w:tc>
        <w:tc>
          <w:tcPr>
            <w:tcW w:w="708" w:type="dxa"/>
          </w:tcPr>
          <w:p w14:paraId="69BB3CA3"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0.83</w:t>
            </w:r>
          </w:p>
          <w:p w14:paraId="4F121D18"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0.86</w:t>
            </w:r>
          </w:p>
        </w:tc>
        <w:tc>
          <w:tcPr>
            <w:tcW w:w="851" w:type="dxa"/>
          </w:tcPr>
          <w:p w14:paraId="04F3006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0.16</w:t>
            </w:r>
          </w:p>
        </w:tc>
        <w:tc>
          <w:tcPr>
            <w:tcW w:w="954" w:type="dxa"/>
          </w:tcPr>
          <w:p w14:paraId="79644636" w14:textId="77777777" w:rsidR="00DD4836" w:rsidRPr="00B66E62" w:rsidRDefault="00DD4836" w:rsidP="008503E7">
            <w:pPr>
              <w:spacing w:line="480" w:lineRule="auto"/>
              <w:rPr>
                <w:rFonts w:ascii="Times New Roman" w:hAnsi="Times New Roman" w:cs="Times New Roman"/>
                <w:b/>
                <w:sz w:val="20"/>
                <w:szCs w:val="20"/>
              </w:rPr>
            </w:pPr>
            <w:r w:rsidRPr="00B66E62">
              <w:rPr>
                <w:rFonts w:ascii="Times New Roman" w:hAnsi="Times New Roman" w:cs="Times New Roman"/>
                <w:b/>
                <w:sz w:val="20"/>
                <w:szCs w:val="20"/>
              </w:rPr>
              <w:t>&lt; 0.001</w:t>
            </w:r>
          </w:p>
        </w:tc>
        <w:tc>
          <w:tcPr>
            <w:tcW w:w="787" w:type="dxa"/>
          </w:tcPr>
          <w:p w14:paraId="16E6860C"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824</w:t>
            </w:r>
          </w:p>
          <w:p w14:paraId="24B13ABA"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739</w:t>
            </w:r>
          </w:p>
        </w:tc>
        <w:tc>
          <w:tcPr>
            <w:tcW w:w="730" w:type="dxa"/>
          </w:tcPr>
          <w:p w14:paraId="3E26A62C"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69</w:t>
            </w:r>
          </w:p>
          <w:p w14:paraId="6BC1AD17"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62</w:t>
            </w:r>
          </w:p>
        </w:tc>
      </w:tr>
      <w:tr w:rsidR="00DD4836" w:rsidRPr="00B66E62" w14:paraId="0F1DD19A" w14:textId="77777777" w:rsidTr="008503E7">
        <w:trPr>
          <w:trHeight w:val="406"/>
        </w:trPr>
        <w:tc>
          <w:tcPr>
            <w:tcW w:w="3460" w:type="dxa"/>
          </w:tcPr>
          <w:p w14:paraId="083C87E1"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lastRenderedPageBreak/>
              <w:t>Communicating effectively</w:t>
            </w:r>
          </w:p>
        </w:tc>
        <w:tc>
          <w:tcPr>
            <w:tcW w:w="992" w:type="dxa"/>
          </w:tcPr>
          <w:p w14:paraId="15358009"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Class</w:t>
            </w:r>
          </w:p>
          <w:p w14:paraId="407D8B16"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Clinical</w:t>
            </w:r>
          </w:p>
        </w:tc>
        <w:tc>
          <w:tcPr>
            <w:tcW w:w="851" w:type="dxa"/>
          </w:tcPr>
          <w:p w14:paraId="2B4DB3EE"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1170</w:t>
            </w:r>
          </w:p>
          <w:p w14:paraId="5EFC8707"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1166</w:t>
            </w:r>
          </w:p>
        </w:tc>
        <w:tc>
          <w:tcPr>
            <w:tcW w:w="709" w:type="dxa"/>
          </w:tcPr>
          <w:p w14:paraId="18D5020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4.3</w:t>
            </w:r>
          </w:p>
          <w:p w14:paraId="3EBB3190"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4.2</w:t>
            </w:r>
          </w:p>
        </w:tc>
        <w:tc>
          <w:tcPr>
            <w:tcW w:w="708" w:type="dxa"/>
          </w:tcPr>
          <w:p w14:paraId="2E69408C"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0.69</w:t>
            </w:r>
          </w:p>
          <w:p w14:paraId="16DE0F88"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0.74</w:t>
            </w:r>
          </w:p>
        </w:tc>
        <w:tc>
          <w:tcPr>
            <w:tcW w:w="851" w:type="dxa"/>
          </w:tcPr>
          <w:p w14:paraId="6006919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0.18</w:t>
            </w:r>
          </w:p>
        </w:tc>
        <w:tc>
          <w:tcPr>
            <w:tcW w:w="954" w:type="dxa"/>
          </w:tcPr>
          <w:p w14:paraId="770D69F5" w14:textId="77777777" w:rsidR="00DD4836" w:rsidRPr="00B66E62" w:rsidRDefault="00DD4836" w:rsidP="008503E7">
            <w:pPr>
              <w:spacing w:line="480" w:lineRule="auto"/>
              <w:rPr>
                <w:rFonts w:ascii="Times New Roman" w:hAnsi="Times New Roman" w:cs="Times New Roman"/>
                <w:b/>
                <w:sz w:val="20"/>
                <w:szCs w:val="20"/>
              </w:rPr>
            </w:pPr>
            <w:r w:rsidRPr="00B66E62">
              <w:rPr>
                <w:rFonts w:ascii="Times New Roman" w:hAnsi="Times New Roman" w:cs="Times New Roman"/>
                <w:b/>
                <w:sz w:val="20"/>
                <w:szCs w:val="20"/>
              </w:rPr>
              <w:t>&lt; 0.001</w:t>
            </w:r>
          </w:p>
        </w:tc>
        <w:tc>
          <w:tcPr>
            <w:tcW w:w="787" w:type="dxa"/>
          </w:tcPr>
          <w:p w14:paraId="58A6DD1B"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1036</w:t>
            </w:r>
          </w:p>
          <w:p w14:paraId="147D2D74"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995</w:t>
            </w:r>
          </w:p>
        </w:tc>
        <w:tc>
          <w:tcPr>
            <w:tcW w:w="730" w:type="dxa"/>
          </w:tcPr>
          <w:p w14:paraId="21456A0C"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88</w:t>
            </w:r>
          </w:p>
          <w:p w14:paraId="7F021CF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85</w:t>
            </w:r>
          </w:p>
        </w:tc>
      </w:tr>
      <w:tr w:rsidR="00DD4836" w:rsidRPr="00B66E62" w14:paraId="1050F688" w14:textId="77777777" w:rsidTr="008503E7">
        <w:trPr>
          <w:trHeight w:val="406"/>
        </w:trPr>
        <w:tc>
          <w:tcPr>
            <w:tcW w:w="3460" w:type="dxa"/>
          </w:tcPr>
          <w:p w14:paraId="05FEB852"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Managing safety risks</w:t>
            </w:r>
          </w:p>
        </w:tc>
        <w:tc>
          <w:tcPr>
            <w:tcW w:w="992" w:type="dxa"/>
          </w:tcPr>
          <w:p w14:paraId="17F1DE2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Class</w:t>
            </w:r>
          </w:p>
          <w:p w14:paraId="34E573FC"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Clinical</w:t>
            </w:r>
          </w:p>
        </w:tc>
        <w:tc>
          <w:tcPr>
            <w:tcW w:w="851" w:type="dxa"/>
          </w:tcPr>
          <w:p w14:paraId="619F6C40"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1141</w:t>
            </w:r>
          </w:p>
          <w:p w14:paraId="3C08CE0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1139</w:t>
            </w:r>
          </w:p>
        </w:tc>
        <w:tc>
          <w:tcPr>
            <w:tcW w:w="709" w:type="dxa"/>
          </w:tcPr>
          <w:p w14:paraId="38D5E420"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3.9</w:t>
            </w:r>
          </w:p>
          <w:p w14:paraId="009D6ED4"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4.0</w:t>
            </w:r>
          </w:p>
        </w:tc>
        <w:tc>
          <w:tcPr>
            <w:tcW w:w="708" w:type="dxa"/>
          </w:tcPr>
          <w:p w14:paraId="32B16E4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0.75</w:t>
            </w:r>
          </w:p>
          <w:p w14:paraId="5BE009D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0.72</w:t>
            </w:r>
          </w:p>
        </w:tc>
        <w:tc>
          <w:tcPr>
            <w:tcW w:w="851" w:type="dxa"/>
          </w:tcPr>
          <w:p w14:paraId="3CE621A2"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-0.04</w:t>
            </w:r>
          </w:p>
        </w:tc>
        <w:tc>
          <w:tcPr>
            <w:tcW w:w="954" w:type="dxa"/>
          </w:tcPr>
          <w:p w14:paraId="63A51F90"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0.138</w:t>
            </w:r>
          </w:p>
        </w:tc>
        <w:tc>
          <w:tcPr>
            <w:tcW w:w="787" w:type="dxa"/>
          </w:tcPr>
          <w:p w14:paraId="50B8BDBD"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877</w:t>
            </w:r>
          </w:p>
          <w:p w14:paraId="5A53E11D"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904</w:t>
            </w:r>
          </w:p>
        </w:tc>
        <w:tc>
          <w:tcPr>
            <w:tcW w:w="730" w:type="dxa"/>
          </w:tcPr>
          <w:p w14:paraId="5EEFED20"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77</w:t>
            </w:r>
          </w:p>
          <w:p w14:paraId="3568CB6D"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79</w:t>
            </w:r>
          </w:p>
        </w:tc>
      </w:tr>
      <w:tr w:rsidR="00DD4836" w:rsidRPr="00B66E62" w14:paraId="33241534" w14:textId="77777777" w:rsidTr="008503E7">
        <w:trPr>
          <w:trHeight w:val="440"/>
        </w:trPr>
        <w:tc>
          <w:tcPr>
            <w:tcW w:w="3460" w:type="dxa"/>
          </w:tcPr>
          <w:p w14:paraId="0D0E826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Understanding human and environmental factors</w:t>
            </w:r>
          </w:p>
        </w:tc>
        <w:tc>
          <w:tcPr>
            <w:tcW w:w="992" w:type="dxa"/>
          </w:tcPr>
          <w:p w14:paraId="00AD1F02"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Class</w:t>
            </w:r>
          </w:p>
          <w:p w14:paraId="0C8B39B1"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Clinical</w:t>
            </w:r>
          </w:p>
        </w:tc>
        <w:tc>
          <w:tcPr>
            <w:tcW w:w="851" w:type="dxa"/>
          </w:tcPr>
          <w:p w14:paraId="5430E3FD"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1127</w:t>
            </w:r>
          </w:p>
          <w:p w14:paraId="72A73816"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1122</w:t>
            </w:r>
          </w:p>
        </w:tc>
        <w:tc>
          <w:tcPr>
            <w:tcW w:w="709" w:type="dxa"/>
          </w:tcPr>
          <w:p w14:paraId="141F9DFA"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3.9</w:t>
            </w:r>
          </w:p>
          <w:p w14:paraId="1BFC4E93"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4.0</w:t>
            </w:r>
          </w:p>
        </w:tc>
        <w:tc>
          <w:tcPr>
            <w:tcW w:w="708" w:type="dxa"/>
          </w:tcPr>
          <w:p w14:paraId="395F0D3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0.89</w:t>
            </w:r>
          </w:p>
          <w:p w14:paraId="0E8A7FC0"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0.87</w:t>
            </w:r>
          </w:p>
        </w:tc>
        <w:tc>
          <w:tcPr>
            <w:tcW w:w="851" w:type="dxa"/>
          </w:tcPr>
          <w:p w14:paraId="7253A5E4"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-0.02</w:t>
            </w:r>
          </w:p>
        </w:tc>
        <w:tc>
          <w:tcPr>
            <w:tcW w:w="954" w:type="dxa"/>
          </w:tcPr>
          <w:p w14:paraId="0E0FFE10"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0.441</w:t>
            </w:r>
          </w:p>
        </w:tc>
        <w:tc>
          <w:tcPr>
            <w:tcW w:w="787" w:type="dxa"/>
          </w:tcPr>
          <w:p w14:paraId="16926463"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791</w:t>
            </w:r>
          </w:p>
          <w:p w14:paraId="0921E2C4"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807</w:t>
            </w:r>
          </w:p>
        </w:tc>
        <w:tc>
          <w:tcPr>
            <w:tcW w:w="730" w:type="dxa"/>
          </w:tcPr>
          <w:p w14:paraId="7405208A"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70</w:t>
            </w:r>
          </w:p>
          <w:p w14:paraId="03BE35D6"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72</w:t>
            </w:r>
          </w:p>
        </w:tc>
      </w:tr>
      <w:tr w:rsidR="00DD4836" w:rsidRPr="00B66E62" w14:paraId="12844C5C" w14:textId="77777777" w:rsidTr="008503E7">
        <w:trPr>
          <w:trHeight w:val="423"/>
        </w:trPr>
        <w:tc>
          <w:tcPr>
            <w:tcW w:w="3460" w:type="dxa"/>
          </w:tcPr>
          <w:p w14:paraId="0A4E4A27"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Recognise and respond to remove immediate risks</w:t>
            </w:r>
          </w:p>
        </w:tc>
        <w:tc>
          <w:tcPr>
            <w:tcW w:w="992" w:type="dxa"/>
          </w:tcPr>
          <w:p w14:paraId="787F80F9"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Class</w:t>
            </w:r>
          </w:p>
          <w:p w14:paraId="4E83C33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Clinical</w:t>
            </w:r>
          </w:p>
        </w:tc>
        <w:tc>
          <w:tcPr>
            <w:tcW w:w="851" w:type="dxa"/>
          </w:tcPr>
          <w:p w14:paraId="2FE62C38"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1113</w:t>
            </w:r>
          </w:p>
          <w:p w14:paraId="2C3B1C23"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1109</w:t>
            </w:r>
          </w:p>
        </w:tc>
        <w:tc>
          <w:tcPr>
            <w:tcW w:w="709" w:type="dxa"/>
          </w:tcPr>
          <w:p w14:paraId="72B3429A"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4.0</w:t>
            </w:r>
          </w:p>
          <w:p w14:paraId="620F109E"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4.1</w:t>
            </w:r>
          </w:p>
        </w:tc>
        <w:tc>
          <w:tcPr>
            <w:tcW w:w="708" w:type="dxa"/>
          </w:tcPr>
          <w:p w14:paraId="76FD753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0.78</w:t>
            </w:r>
          </w:p>
          <w:p w14:paraId="74865D19"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0.76</w:t>
            </w:r>
          </w:p>
        </w:tc>
        <w:tc>
          <w:tcPr>
            <w:tcW w:w="851" w:type="dxa"/>
          </w:tcPr>
          <w:p w14:paraId="61AE892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-0.09</w:t>
            </w:r>
          </w:p>
        </w:tc>
        <w:tc>
          <w:tcPr>
            <w:tcW w:w="954" w:type="dxa"/>
          </w:tcPr>
          <w:p w14:paraId="7FD1A8B6" w14:textId="77777777" w:rsidR="00DD4836" w:rsidRPr="00B66E62" w:rsidRDefault="00DD4836" w:rsidP="008503E7">
            <w:pPr>
              <w:spacing w:line="480" w:lineRule="auto"/>
              <w:rPr>
                <w:rFonts w:ascii="Times New Roman" w:hAnsi="Times New Roman" w:cs="Times New Roman"/>
                <w:b/>
                <w:sz w:val="20"/>
                <w:szCs w:val="20"/>
              </w:rPr>
            </w:pPr>
            <w:r w:rsidRPr="00B66E62">
              <w:rPr>
                <w:rFonts w:ascii="Times New Roman" w:hAnsi="Times New Roman" w:cs="Times New Roman"/>
                <w:b/>
                <w:sz w:val="20"/>
                <w:szCs w:val="20"/>
              </w:rPr>
              <w:t>0.001</w:t>
            </w:r>
          </w:p>
        </w:tc>
        <w:tc>
          <w:tcPr>
            <w:tcW w:w="787" w:type="dxa"/>
          </w:tcPr>
          <w:p w14:paraId="294249C0"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822</w:t>
            </w:r>
          </w:p>
          <w:p w14:paraId="6F14197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869</w:t>
            </w:r>
          </w:p>
        </w:tc>
        <w:tc>
          <w:tcPr>
            <w:tcW w:w="730" w:type="dxa"/>
          </w:tcPr>
          <w:p w14:paraId="712319AA"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74</w:t>
            </w:r>
          </w:p>
          <w:p w14:paraId="6A9C8AC3"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78</w:t>
            </w:r>
          </w:p>
        </w:tc>
      </w:tr>
      <w:tr w:rsidR="00DD4836" w:rsidRPr="00B66E62" w14:paraId="31173F1D" w14:textId="77777777" w:rsidTr="008503E7">
        <w:trPr>
          <w:trHeight w:val="406"/>
        </w:trPr>
        <w:tc>
          <w:tcPr>
            <w:tcW w:w="3460" w:type="dxa"/>
          </w:tcPr>
          <w:p w14:paraId="78722003"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Clinical safety skills</w:t>
            </w:r>
          </w:p>
        </w:tc>
        <w:tc>
          <w:tcPr>
            <w:tcW w:w="992" w:type="dxa"/>
          </w:tcPr>
          <w:p w14:paraId="4D4314F1"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Class</w:t>
            </w:r>
          </w:p>
          <w:p w14:paraId="21873326"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Clinical</w:t>
            </w:r>
          </w:p>
        </w:tc>
        <w:tc>
          <w:tcPr>
            <w:tcW w:w="851" w:type="dxa"/>
          </w:tcPr>
          <w:p w14:paraId="5AC20B39"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1240</w:t>
            </w:r>
          </w:p>
          <w:p w14:paraId="6135826A"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1246</w:t>
            </w:r>
          </w:p>
        </w:tc>
        <w:tc>
          <w:tcPr>
            <w:tcW w:w="709" w:type="dxa"/>
          </w:tcPr>
          <w:p w14:paraId="5CD90E3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4.5</w:t>
            </w:r>
          </w:p>
          <w:p w14:paraId="0E047CC1"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4.3</w:t>
            </w:r>
          </w:p>
        </w:tc>
        <w:tc>
          <w:tcPr>
            <w:tcW w:w="708" w:type="dxa"/>
          </w:tcPr>
          <w:p w14:paraId="5D32A0DF"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0.64</w:t>
            </w:r>
          </w:p>
          <w:p w14:paraId="7A52840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0.73</w:t>
            </w:r>
          </w:p>
        </w:tc>
        <w:tc>
          <w:tcPr>
            <w:tcW w:w="851" w:type="dxa"/>
          </w:tcPr>
          <w:p w14:paraId="4A9F9B11"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0.25</w:t>
            </w:r>
          </w:p>
        </w:tc>
        <w:tc>
          <w:tcPr>
            <w:tcW w:w="954" w:type="dxa"/>
          </w:tcPr>
          <w:p w14:paraId="680CC0B4" w14:textId="77777777" w:rsidR="00DD4836" w:rsidRPr="00B66E62" w:rsidRDefault="00DD4836" w:rsidP="008503E7">
            <w:pPr>
              <w:spacing w:line="480" w:lineRule="auto"/>
              <w:rPr>
                <w:rFonts w:ascii="Times New Roman" w:hAnsi="Times New Roman" w:cs="Times New Roman"/>
                <w:b/>
                <w:sz w:val="20"/>
                <w:szCs w:val="20"/>
              </w:rPr>
            </w:pPr>
            <w:r w:rsidRPr="00B66E62">
              <w:rPr>
                <w:rFonts w:ascii="Times New Roman" w:hAnsi="Times New Roman" w:cs="Times New Roman"/>
                <w:b/>
                <w:sz w:val="20"/>
                <w:szCs w:val="20"/>
              </w:rPr>
              <w:t>&lt; 0.001</w:t>
            </w:r>
          </w:p>
        </w:tc>
        <w:tc>
          <w:tcPr>
            <w:tcW w:w="787" w:type="dxa"/>
          </w:tcPr>
          <w:p w14:paraId="4C4997F3"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1159</w:t>
            </w:r>
          </w:p>
          <w:p w14:paraId="3E5727F5"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1076</w:t>
            </w:r>
          </w:p>
        </w:tc>
        <w:tc>
          <w:tcPr>
            <w:tcW w:w="730" w:type="dxa"/>
          </w:tcPr>
          <w:p w14:paraId="30A4C450"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93</w:t>
            </w:r>
          </w:p>
          <w:p w14:paraId="3C0BF087" w14:textId="77777777" w:rsidR="00DD4836" w:rsidRPr="00B66E62" w:rsidRDefault="00DD4836" w:rsidP="008503E7">
            <w:pPr>
              <w:spacing w:line="480" w:lineRule="auto"/>
              <w:rPr>
                <w:rFonts w:ascii="Times New Roman" w:hAnsi="Times New Roman" w:cs="Times New Roman"/>
                <w:sz w:val="20"/>
                <w:szCs w:val="20"/>
              </w:rPr>
            </w:pPr>
            <w:r w:rsidRPr="00B66E62">
              <w:rPr>
                <w:rFonts w:ascii="Times New Roman" w:hAnsi="Times New Roman" w:cs="Times New Roman"/>
                <w:sz w:val="20"/>
                <w:szCs w:val="20"/>
              </w:rPr>
              <w:t>86</w:t>
            </w:r>
          </w:p>
        </w:tc>
      </w:tr>
    </w:tbl>
    <w:p w14:paraId="0662E71D" w14:textId="77777777" w:rsidR="00DD4836" w:rsidRPr="00B66E62" w:rsidRDefault="00DD4836" w:rsidP="00A55745">
      <w:pPr>
        <w:spacing w:line="480" w:lineRule="auto"/>
        <w:rPr>
          <w:rFonts w:ascii="Times New Roman" w:hAnsi="Times New Roman" w:cs="Times New Roman"/>
          <w:sz w:val="24"/>
          <w:szCs w:val="24"/>
        </w:rPr>
      </w:pPr>
    </w:p>
    <w:p w14:paraId="11F8EE6A" w14:textId="77777777" w:rsidR="008A55A1" w:rsidRPr="00B66E62" w:rsidRDefault="008A55A1" w:rsidP="008A55A1">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Confidence in knowledge of broader aspects of patient safety and comfort when speaking up</w:t>
      </w:r>
    </w:p>
    <w:p w14:paraId="6119A210" w14:textId="72CA9C4A" w:rsidR="008A55A1" w:rsidRPr="00B66E62" w:rsidRDefault="008A55A1" w:rsidP="008A55A1">
      <w:pPr>
        <w:autoSpaceDE w:val="0"/>
        <w:autoSpaceDN w:val="0"/>
        <w:adjustRightInd w:val="0"/>
        <w:spacing w:after="0" w:line="480" w:lineRule="auto"/>
        <w:rPr>
          <w:rFonts w:ascii="Times New Roman" w:hAnsi="Times New Roman" w:cs="Times New Roman"/>
          <w:sz w:val="24"/>
          <w:szCs w:val="24"/>
        </w:rPr>
      </w:pPr>
      <w:r w:rsidRPr="00B66E62">
        <w:rPr>
          <w:rFonts w:ascii="Times New Roman" w:hAnsi="Times New Roman" w:cs="Times New Roman"/>
          <w:sz w:val="24"/>
          <w:szCs w:val="24"/>
        </w:rPr>
        <w:t xml:space="preserve">Most nursing students agreed that the broader aspects of patient safety in health professional education were well covered in their education course. The majority of nursing students agreed that their scope of practice is clear (84%), reporting can lead to change and improvement (79%), patient safety is well integrated in overall training (87%), and clinical aspects of patient safety (e.g., hand hygiene, transferring patients, medication safety) are well covered in their program (91%). In a number of areas, nursing student agreement level (agree or strongly agree) was relatively low (below 70%): consistency in how patient safety issues are dealt with by different preceptors (69%), sufficient opportunity to learn and interact with members of interdisciplinary teams (65%), and ‘system’ aspects were well covered in the program (54%). </w:t>
      </w:r>
    </w:p>
    <w:p w14:paraId="3FB4B470" w14:textId="071A3097" w:rsidR="008A55A1" w:rsidRPr="00B66E62" w:rsidRDefault="008A55A1" w:rsidP="008A55A1">
      <w:pPr>
        <w:autoSpaceDE w:val="0"/>
        <w:autoSpaceDN w:val="0"/>
        <w:adjustRightInd w:val="0"/>
        <w:spacing w:after="0" w:line="480" w:lineRule="auto"/>
        <w:rPr>
          <w:rFonts w:ascii="Times New Roman" w:hAnsi="Times New Roman" w:cs="Times New Roman"/>
          <w:sz w:val="24"/>
          <w:szCs w:val="24"/>
        </w:rPr>
      </w:pPr>
      <w:r w:rsidRPr="00B66E62">
        <w:rPr>
          <w:rFonts w:ascii="Times New Roman" w:hAnsi="Times New Roman" w:cs="Times New Roman"/>
          <w:color w:val="000000"/>
          <w:sz w:val="24"/>
          <w:szCs w:val="24"/>
        </w:rPr>
        <w:t xml:space="preserve">Only 59% of nursing students felt they could approach someone engaging in unsafe practice, and 75% of nursing students agreed it is difficult to question the decisions or actions of those </w:t>
      </w:r>
      <w:r w:rsidRPr="00B66E62">
        <w:rPr>
          <w:rFonts w:ascii="Times New Roman" w:hAnsi="Times New Roman" w:cs="Times New Roman"/>
          <w:color w:val="000000"/>
          <w:sz w:val="24"/>
          <w:szCs w:val="24"/>
        </w:rPr>
        <w:lastRenderedPageBreak/>
        <w:t>with more authority. The majority (78%) worry they will face disciplinary action if they make a serious error.</w:t>
      </w:r>
    </w:p>
    <w:p w14:paraId="30D28003" w14:textId="77777777" w:rsidR="008A55A1" w:rsidRPr="00B66E62" w:rsidRDefault="008A55A1" w:rsidP="008A55A1">
      <w:pPr>
        <w:autoSpaceDE w:val="0"/>
        <w:autoSpaceDN w:val="0"/>
        <w:adjustRightInd w:val="0"/>
        <w:spacing w:after="0" w:line="480" w:lineRule="auto"/>
        <w:rPr>
          <w:rFonts w:ascii="Times New Roman" w:hAnsi="Times New Roman" w:cs="Times New Roman"/>
          <w:b/>
          <w:sz w:val="24"/>
          <w:szCs w:val="24"/>
        </w:rPr>
      </w:pPr>
    </w:p>
    <w:p w14:paraId="14EB8760" w14:textId="5F2530EB" w:rsidR="008A55A1" w:rsidRPr="00B66E62" w:rsidRDefault="008A55A1" w:rsidP="008A55A1">
      <w:pPr>
        <w:autoSpaceDE w:val="0"/>
        <w:autoSpaceDN w:val="0"/>
        <w:adjustRightInd w:val="0"/>
        <w:spacing w:after="0" w:line="480" w:lineRule="auto"/>
        <w:rPr>
          <w:rFonts w:ascii="Times New Roman" w:hAnsi="Times New Roman" w:cs="Times New Roman"/>
          <w:b/>
          <w:sz w:val="24"/>
          <w:szCs w:val="24"/>
        </w:rPr>
      </w:pPr>
      <w:r w:rsidRPr="00B66E62">
        <w:rPr>
          <w:rFonts w:ascii="Times New Roman" w:hAnsi="Times New Roman" w:cs="Times New Roman"/>
          <w:b/>
          <w:sz w:val="24"/>
          <w:szCs w:val="24"/>
        </w:rPr>
        <w:t>Results of GEE analyses</w:t>
      </w:r>
    </w:p>
    <w:p w14:paraId="2AB5306A" w14:textId="20488AED" w:rsidR="008A55A1" w:rsidRPr="00B66E62" w:rsidRDefault="008A55A1" w:rsidP="008A55A1">
      <w:pPr>
        <w:spacing w:line="480" w:lineRule="auto"/>
        <w:rPr>
          <w:rFonts w:ascii="Times New Roman" w:hAnsi="Times New Roman" w:cs="Times New Roman"/>
          <w:szCs w:val="24"/>
        </w:rPr>
      </w:pPr>
      <w:r w:rsidRPr="00B66E62">
        <w:rPr>
          <w:rFonts w:ascii="Times New Roman" w:hAnsi="Times New Roman" w:cs="Times New Roman"/>
          <w:sz w:val="24"/>
          <w:szCs w:val="24"/>
        </w:rPr>
        <w:t xml:space="preserve">Table </w:t>
      </w:r>
      <w:r w:rsidR="001B4DB2" w:rsidRPr="00B66E62">
        <w:rPr>
          <w:rFonts w:ascii="Times New Roman" w:hAnsi="Times New Roman" w:cs="Times New Roman"/>
          <w:sz w:val="24"/>
          <w:szCs w:val="24"/>
        </w:rPr>
        <w:t>4</w:t>
      </w:r>
      <w:r w:rsidRPr="00B66E62">
        <w:rPr>
          <w:rFonts w:ascii="Times New Roman" w:hAnsi="Times New Roman" w:cs="Times New Roman"/>
          <w:sz w:val="24"/>
          <w:szCs w:val="24"/>
        </w:rPr>
        <w:t xml:space="preserve"> displays response comparisons between patient safety subscales and student nurse groups based on year of study. Two subscales, </w:t>
      </w:r>
      <w:r w:rsidRPr="00B66E62">
        <w:rPr>
          <w:rFonts w:ascii="Times New Roman" w:hAnsi="Times New Roman" w:cs="Times New Roman"/>
          <w:i/>
          <w:sz w:val="24"/>
          <w:szCs w:val="24"/>
        </w:rPr>
        <w:t>Managing safety risks</w:t>
      </w:r>
      <w:r w:rsidRPr="00B66E62">
        <w:rPr>
          <w:rFonts w:ascii="Times New Roman" w:hAnsi="Times New Roman" w:cs="Times New Roman"/>
          <w:sz w:val="24"/>
          <w:szCs w:val="24"/>
        </w:rPr>
        <w:t xml:space="preserve">, and </w:t>
      </w:r>
      <w:r w:rsidRPr="00B66E62">
        <w:rPr>
          <w:rFonts w:ascii="Times New Roman" w:hAnsi="Times New Roman" w:cs="Times New Roman"/>
          <w:i/>
          <w:sz w:val="24"/>
          <w:szCs w:val="24"/>
        </w:rPr>
        <w:t>Human and environmental factors</w:t>
      </w:r>
      <w:r w:rsidRPr="00B66E62">
        <w:rPr>
          <w:rFonts w:ascii="Times New Roman" w:hAnsi="Times New Roman" w:cs="Times New Roman"/>
          <w:sz w:val="24"/>
          <w:szCs w:val="24"/>
        </w:rPr>
        <w:t xml:space="preserve">, were scored significantly higher by first-year students than by second and third-year students in the classroom setting. One scale, </w:t>
      </w:r>
      <w:r w:rsidRPr="00B66E62">
        <w:rPr>
          <w:rFonts w:ascii="Times New Roman" w:hAnsi="Times New Roman" w:cs="Times New Roman"/>
          <w:i/>
          <w:sz w:val="24"/>
          <w:szCs w:val="24"/>
        </w:rPr>
        <w:t>Recognising and responding to remove immediate safety risks</w:t>
      </w:r>
      <w:r w:rsidRPr="00B66E62">
        <w:rPr>
          <w:rFonts w:ascii="Times New Roman" w:hAnsi="Times New Roman" w:cs="Times New Roman"/>
          <w:sz w:val="24"/>
          <w:szCs w:val="24"/>
        </w:rPr>
        <w:t xml:space="preserve">, was scored significantly higher by third-year students than by first and second-year students in the classroom setting, and significantly higher by second and third-year students than by first-year students in the clinical setting. Only the difference in the </w:t>
      </w:r>
      <w:r w:rsidRPr="00B66E62">
        <w:rPr>
          <w:rFonts w:ascii="Times New Roman" w:hAnsi="Times New Roman" w:cs="Times New Roman"/>
          <w:i/>
          <w:sz w:val="24"/>
          <w:szCs w:val="24"/>
        </w:rPr>
        <w:t>Recognising and responding to remove immediate safety risks</w:t>
      </w:r>
      <w:r w:rsidRPr="00B66E62">
        <w:rPr>
          <w:rFonts w:ascii="Times New Roman" w:hAnsi="Times New Roman" w:cs="Times New Roman"/>
          <w:sz w:val="24"/>
          <w:szCs w:val="24"/>
        </w:rPr>
        <w:t xml:space="preserve"> subscale in the classroom setting remained significant after adjustments for potential confounders. </w:t>
      </w:r>
    </w:p>
    <w:p w14:paraId="040F1160" w14:textId="18B9271F" w:rsidR="008A55A1" w:rsidRPr="00B66E62" w:rsidRDefault="008A55A1" w:rsidP="008A55A1">
      <w:pPr>
        <w:autoSpaceDE w:val="0"/>
        <w:autoSpaceDN w:val="0"/>
        <w:adjustRightInd w:val="0"/>
        <w:spacing w:after="0" w:line="480" w:lineRule="auto"/>
        <w:rPr>
          <w:rFonts w:ascii="Times New Roman" w:hAnsi="Times New Roman" w:cs="Times New Roman"/>
          <w:sz w:val="24"/>
          <w:szCs w:val="24"/>
        </w:rPr>
      </w:pPr>
      <w:r w:rsidRPr="00B66E62">
        <w:rPr>
          <w:rFonts w:ascii="Times New Roman" w:hAnsi="Times New Roman" w:cs="Times New Roman"/>
          <w:sz w:val="24"/>
          <w:szCs w:val="24"/>
        </w:rPr>
        <w:t xml:space="preserve">Table </w:t>
      </w:r>
      <w:r w:rsidR="001B4DB2" w:rsidRPr="00B66E62">
        <w:rPr>
          <w:rFonts w:ascii="Times New Roman" w:hAnsi="Times New Roman" w:cs="Times New Roman"/>
          <w:sz w:val="24"/>
          <w:szCs w:val="24"/>
        </w:rPr>
        <w:t>5</w:t>
      </w:r>
      <w:r w:rsidRPr="00B66E62">
        <w:rPr>
          <w:rFonts w:ascii="Times New Roman" w:hAnsi="Times New Roman" w:cs="Times New Roman"/>
          <w:sz w:val="24"/>
          <w:szCs w:val="24"/>
        </w:rPr>
        <w:t xml:space="preserve"> displays response comparisons between broader patient safety and speaking up for patient safety subscales and student nurse groups based on year of study.</w:t>
      </w:r>
      <w:r w:rsidRPr="00B66E62">
        <w:rPr>
          <w:rFonts w:ascii="Times New Roman" w:hAnsi="Times New Roman" w:cs="Times New Roman"/>
          <w:szCs w:val="24"/>
        </w:rPr>
        <w:t xml:space="preserve"> </w:t>
      </w:r>
      <w:r w:rsidRPr="00B66E62">
        <w:rPr>
          <w:rFonts w:ascii="Times New Roman" w:hAnsi="Times New Roman" w:cs="Times New Roman"/>
          <w:sz w:val="24"/>
          <w:szCs w:val="24"/>
        </w:rPr>
        <w:t xml:space="preserve">Two of the broader aspects of patient safety scales, </w:t>
      </w:r>
      <w:r w:rsidR="002B4A03" w:rsidRPr="00B66E62">
        <w:rPr>
          <w:rFonts w:ascii="Times New Roman" w:hAnsi="Times New Roman" w:cs="Times New Roman"/>
          <w:i/>
          <w:sz w:val="24"/>
          <w:szCs w:val="24"/>
        </w:rPr>
        <w:t>C</w:t>
      </w:r>
      <w:r w:rsidRPr="00B66E62">
        <w:rPr>
          <w:rFonts w:ascii="Times New Roman" w:hAnsi="Times New Roman" w:cs="Times New Roman"/>
          <w:i/>
          <w:sz w:val="24"/>
          <w:szCs w:val="24"/>
        </w:rPr>
        <w:t>onsistency in how patient safety issues are dealt with by different preceptors</w:t>
      </w:r>
      <w:r w:rsidRPr="00B66E62">
        <w:rPr>
          <w:rFonts w:ascii="Times New Roman" w:hAnsi="Times New Roman" w:cs="Times New Roman"/>
          <w:sz w:val="24"/>
          <w:szCs w:val="24"/>
        </w:rPr>
        <w:t xml:space="preserve">, and </w:t>
      </w:r>
      <w:r w:rsidR="002B4A03" w:rsidRPr="00B66E62">
        <w:rPr>
          <w:rFonts w:ascii="Times New Roman" w:hAnsi="Times New Roman" w:cs="Times New Roman"/>
          <w:sz w:val="24"/>
          <w:szCs w:val="24"/>
        </w:rPr>
        <w:t>S</w:t>
      </w:r>
      <w:r w:rsidRPr="00B66E62">
        <w:rPr>
          <w:rFonts w:ascii="Times New Roman" w:hAnsi="Times New Roman" w:cs="Times New Roman"/>
          <w:i/>
          <w:sz w:val="24"/>
          <w:szCs w:val="24"/>
        </w:rPr>
        <w:t>ystem aspects of patient safety are well covered</w:t>
      </w:r>
      <w:r w:rsidRPr="00B66E62">
        <w:rPr>
          <w:rFonts w:ascii="Times New Roman" w:hAnsi="Times New Roman" w:cs="Times New Roman"/>
          <w:sz w:val="24"/>
          <w:szCs w:val="24"/>
        </w:rPr>
        <w:t xml:space="preserve">, were scored significantly higher by first-year students than by second and third-year students. One broader aspect of patient safety scale, </w:t>
      </w:r>
      <w:r w:rsidR="002B4A03" w:rsidRPr="00B66E62">
        <w:rPr>
          <w:rFonts w:ascii="Times New Roman" w:hAnsi="Times New Roman" w:cs="Times New Roman"/>
          <w:i/>
          <w:sz w:val="24"/>
          <w:szCs w:val="24"/>
        </w:rPr>
        <w:t>U</w:t>
      </w:r>
      <w:r w:rsidRPr="00B66E62">
        <w:rPr>
          <w:rFonts w:ascii="Times New Roman" w:hAnsi="Times New Roman" w:cs="Times New Roman"/>
          <w:i/>
          <w:sz w:val="24"/>
          <w:szCs w:val="24"/>
        </w:rPr>
        <w:t>nderstanding that reporting adverse events and close calls can lead to change</w:t>
      </w:r>
      <w:r w:rsidRPr="00B66E62">
        <w:rPr>
          <w:rFonts w:ascii="Times New Roman" w:hAnsi="Times New Roman" w:cs="Times New Roman"/>
          <w:sz w:val="24"/>
          <w:szCs w:val="24"/>
        </w:rPr>
        <w:t xml:space="preserve">, was scored significantly higher by third-year students than first and second-year students. These differences remained significant even after adjustments were made for potential confounders such as age, sex and previous healthcare experience. One confidence in speaking up about patient safety scale, </w:t>
      </w:r>
      <w:r w:rsidR="002B4A03" w:rsidRPr="00B66E62">
        <w:rPr>
          <w:rFonts w:ascii="Times New Roman" w:hAnsi="Times New Roman" w:cs="Times New Roman"/>
          <w:i/>
          <w:sz w:val="24"/>
          <w:szCs w:val="24"/>
        </w:rPr>
        <w:t>I</w:t>
      </w:r>
      <w:r w:rsidRPr="00B66E62">
        <w:rPr>
          <w:rFonts w:ascii="Times New Roman" w:hAnsi="Times New Roman" w:cs="Times New Roman"/>
          <w:i/>
          <w:sz w:val="24"/>
          <w:szCs w:val="24"/>
        </w:rPr>
        <w:t>t is difficult to question the decisions or actions of those with more authority</w:t>
      </w:r>
      <w:r w:rsidRPr="00B66E62">
        <w:rPr>
          <w:rFonts w:ascii="Times New Roman" w:hAnsi="Times New Roman" w:cs="Times New Roman"/>
          <w:sz w:val="24"/>
          <w:szCs w:val="24"/>
        </w:rPr>
        <w:t xml:space="preserve">, was scored significantly lower by first-year students </w:t>
      </w:r>
      <w:r w:rsidRPr="00B66E62">
        <w:rPr>
          <w:rFonts w:ascii="Times New Roman" w:hAnsi="Times New Roman" w:cs="Times New Roman"/>
          <w:sz w:val="24"/>
          <w:szCs w:val="24"/>
        </w:rPr>
        <w:lastRenderedPageBreak/>
        <w:t xml:space="preserve">than second and third-year students. This difference did not remain significant after adjustments for potential confounders.  </w:t>
      </w:r>
    </w:p>
    <w:p w14:paraId="2E98DAF8" w14:textId="77777777" w:rsidR="008A55A1" w:rsidRPr="00B66E62" w:rsidRDefault="008A55A1" w:rsidP="00E149B7">
      <w:pPr>
        <w:autoSpaceDE w:val="0"/>
        <w:autoSpaceDN w:val="0"/>
        <w:adjustRightInd w:val="0"/>
        <w:spacing w:after="120" w:line="480" w:lineRule="auto"/>
        <w:rPr>
          <w:rFonts w:ascii="Times New Roman" w:hAnsi="Times New Roman" w:cs="Times New Roman"/>
          <w:sz w:val="24"/>
          <w:szCs w:val="24"/>
        </w:rPr>
      </w:pPr>
    </w:p>
    <w:p w14:paraId="5EB7B8D0" w14:textId="77777777" w:rsidR="007338A3" w:rsidRPr="00B66E62" w:rsidRDefault="007E2A32"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Discussion</w:t>
      </w:r>
    </w:p>
    <w:p w14:paraId="3F931320" w14:textId="4E39870C" w:rsidR="009222C2" w:rsidRPr="00B66E62" w:rsidRDefault="009222C2" w:rsidP="00A21606">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Nursing students in </w:t>
      </w:r>
      <w:r w:rsidR="00A642CD" w:rsidRPr="00B66E62">
        <w:rPr>
          <w:rFonts w:ascii="Times New Roman" w:hAnsi="Times New Roman" w:cs="Times New Roman"/>
          <w:sz w:val="24"/>
          <w:szCs w:val="24"/>
        </w:rPr>
        <w:t>this</w:t>
      </w:r>
      <w:r w:rsidRPr="00B66E62">
        <w:rPr>
          <w:rFonts w:ascii="Times New Roman" w:hAnsi="Times New Roman" w:cs="Times New Roman"/>
          <w:sz w:val="24"/>
          <w:szCs w:val="24"/>
        </w:rPr>
        <w:t xml:space="preserve"> study were fairly confident in their clinical safety skills and in effective communication for patient safety</w:t>
      </w:r>
      <w:r w:rsidR="005333B8" w:rsidRPr="00B66E62">
        <w:rPr>
          <w:rFonts w:ascii="Times New Roman" w:hAnsi="Times New Roman" w:cs="Times New Roman"/>
          <w:sz w:val="24"/>
          <w:szCs w:val="24"/>
        </w:rPr>
        <w:t>,</w:t>
      </w:r>
      <w:r w:rsidRPr="00B66E62">
        <w:rPr>
          <w:rFonts w:ascii="Times New Roman" w:hAnsi="Times New Roman" w:cs="Times New Roman"/>
          <w:sz w:val="24"/>
          <w:szCs w:val="24"/>
        </w:rPr>
        <w:t xml:space="preserve"> but less confident in working in teams and speaking up for patient safety. Less than 60%</w:t>
      </w:r>
      <w:r w:rsidRPr="00B66E62">
        <w:rPr>
          <w:rFonts w:ascii="Times New Roman" w:hAnsi="Times New Roman" w:cs="Times New Roman"/>
          <w:color w:val="000000"/>
          <w:sz w:val="24"/>
          <w:szCs w:val="24"/>
        </w:rPr>
        <w:t xml:space="preserve"> of nursing students felt they could approach someone engaging in unsafe practice, and over 75% of nursing students agree it is difficult to question those with more authority and are concerned they will face disciplinary action if they make a serious error. </w:t>
      </w:r>
      <w:r w:rsidRPr="00B66E62">
        <w:rPr>
          <w:rFonts w:ascii="Times New Roman" w:hAnsi="Times New Roman" w:cs="Times New Roman"/>
          <w:sz w:val="24"/>
          <w:szCs w:val="24"/>
        </w:rPr>
        <w:t>These findings provide evidence for the need to ensure students have educational opportunities to develop these skills. Given nurses have a critical role to play in reducing harm to patients and in promoting patient safety, it is vital that nursing students develop confidence and competence communicating with others to improve patient safety, particularly in the areas of challenging poor practice, and recognising, responding to and disclosing adverse events, including errors and near misses. Additionally, first</w:t>
      </w:r>
      <w:r w:rsidR="00B72B0E" w:rsidRPr="00B66E62">
        <w:rPr>
          <w:rFonts w:ascii="Times New Roman" w:hAnsi="Times New Roman" w:cs="Times New Roman"/>
          <w:sz w:val="24"/>
          <w:szCs w:val="24"/>
        </w:rPr>
        <w:t>-</w:t>
      </w:r>
      <w:r w:rsidRPr="00B66E62">
        <w:rPr>
          <w:rFonts w:ascii="Times New Roman" w:hAnsi="Times New Roman" w:cs="Times New Roman"/>
          <w:sz w:val="24"/>
          <w:szCs w:val="24"/>
        </w:rPr>
        <w:t>year students reported more confidence in relation to patients safety issues than second and third</w:t>
      </w:r>
      <w:r w:rsidR="00B72B0E" w:rsidRPr="00B66E62">
        <w:rPr>
          <w:rFonts w:ascii="Times New Roman" w:hAnsi="Times New Roman" w:cs="Times New Roman"/>
          <w:sz w:val="24"/>
          <w:szCs w:val="24"/>
        </w:rPr>
        <w:t>-</w:t>
      </w:r>
      <w:r w:rsidRPr="00B66E62">
        <w:rPr>
          <w:rFonts w:ascii="Times New Roman" w:hAnsi="Times New Roman" w:cs="Times New Roman"/>
          <w:sz w:val="24"/>
          <w:szCs w:val="24"/>
        </w:rPr>
        <w:t>year students, suggesting either first</w:t>
      </w:r>
      <w:r w:rsidR="00B72B0E" w:rsidRPr="00B66E62">
        <w:rPr>
          <w:rFonts w:ascii="Times New Roman" w:hAnsi="Times New Roman" w:cs="Times New Roman"/>
          <w:sz w:val="24"/>
          <w:szCs w:val="24"/>
        </w:rPr>
        <w:t>-</w:t>
      </w:r>
      <w:r w:rsidRPr="00B66E62">
        <w:rPr>
          <w:rFonts w:ascii="Times New Roman" w:hAnsi="Times New Roman" w:cs="Times New Roman"/>
          <w:sz w:val="24"/>
          <w:szCs w:val="24"/>
        </w:rPr>
        <w:t xml:space="preserve">year students have less insight into their skills and abilities or that more experienced students have a better understanding of what patient safety is about and what is needed to ensure they practice in a ‘safe’ manner. </w:t>
      </w:r>
      <w:r w:rsidR="00AD4C1D" w:rsidRPr="00B66E62">
        <w:rPr>
          <w:rFonts w:ascii="Times New Roman" w:hAnsi="Times New Roman" w:cs="Times New Roman"/>
          <w:sz w:val="24"/>
          <w:szCs w:val="24"/>
        </w:rPr>
        <w:t>Patient safety issues such as recognising and responding to remove immediate safety risks, and a better understanding that reporting adverse events and close calls can lead to change and reduce recurrence of events, appear to develop over time and with greater clinical experience.</w:t>
      </w:r>
    </w:p>
    <w:p w14:paraId="378D004C" w14:textId="67583FC3" w:rsidR="00A21606" w:rsidRPr="00B66E62" w:rsidRDefault="00A21606" w:rsidP="00A21606">
      <w:pPr>
        <w:spacing w:line="480" w:lineRule="auto"/>
        <w:rPr>
          <w:rFonts w:ascii="Times New Roman" w:hAnsi="Times New Roman" w:cs="Times New Roman"/>
          <w:color w:val="000000"/>
          <w:sz w:val="24"/>
          <w:szCs w:val="24"/>
        </w:rPr>
      </w:pPr>
      <w:r w:rsidRPr="00B66E62">
        <w:rPr>
          <w:rFonts w:ascii="Times New Roman" w:hAnsi="Times New Roman" w:cs="Times New Roman"/>
          <w:color w:val="000000"/>
          <w:sz w:val="24"/>
          <w:szCs w:val="24"/>
        </w:rPr>
        <w:t xml:space="preserve">Similar to this study Duhn </w:t>
      </w:r>
      <w:r w:rsidRPr="00B66E62">
        <w:rPr>
          <w:rFonts w:ascii="Times New Roman" w:hAnsi="Times New Roman" w:cs="Times New Roman"/>
          <w:i/>
          <w:color w:val="000000"/>
          <w:sz w:val="24"/>
          <w:szCs w:val="24"/>
        </w:rPr>
        <w:t>et al</w:t>
      </w:r>
      <w:r w:rsidRPr="00B66E62">
        <w:rPr>
          <w:rFonts w:ascii="Times New Roman" w:hAnsi="Times New Roman" w:cs="Times New Roman"/>
          <w:color w:val="000000"/>
          <w:sz w:val="24"/>
          <w:szCs w:val="24"/>
        </w:rPr>
        <w:t xml:space="preserve">. (2012) and Lukewich </w:t>
      </w:r>
      <w:r w:rsidRPr="00B66E62">
        <w:rPr>
          <w:rFonts w:ascii="Times New Roman" w:hAnsi="Times New Roman" w:cs="Times New Roman"/>
          <w:i/>
          <w:color w:val="000000"/>
          <w:sz w:val="24"/>
          <w:szCs w:val="24"/>
        </w:rPr>
        <w:t>et al.</w:t>
      </w:r>
      <w:r w:rsidRPr="00B66E62">
        <w:rPr>
          <w:rFonts w:ascii="Times New Roman" w:hAnsi="Times New Roman" w:cs="Times New Roman"/>
          <w:color w:val="000000"/>
          <w:sz w:val="24"/>
          <w:szCs w:val="24"/>
        </w:rPr>
        <w:t xml:space="preserve"> (2015) also found that students were more aware of the clinical safety aspects of patient safety provided in both classroom </w:t>
      </w:r>
      <w:r w:rsidRPr="00B66E62">
        <w:rPr>
          <w:rFonts w:ascii="Times New Roman" w:hAnsi="Times New Roman" w:cs="Times New Roman"/>
          <w:color w:val="000000"/>
          <w:sz w:val="24"/>
          <w:szCs w:val="24"/>
        </w:rPr>
        <w:lastRenderedPageBreak/>
        <w:t xml:space="preserve">and clinical settings as opposed to the sociocultural aspects of ensuring patient safety. Clinical aspects include tangible tasks such as hand hygiene and medication safety. Duhn </w:t>
      </w:r>
      <w:r w:rsidRPr="00B66E62">
        <w:rPr>
          <w:rFonts w:ascii="Times New Roman" w:hAnsi="Times New Roman" w:cs="Times New Roman"/>
          <w:i/>
          <w:color w:val="000000"/>
          <w:sz w:val="24"/>
          <w:szCs w:val="24"/>
        </w:rPr>
        <w:t>et al</w:t>
      </w:r>
      <w:r w:rsidRPr="00B66E62">
        <w:rPr>
          <w:rFonts w:ascii="Times New Roman" w:hAnsi="Times New Roman" w:cs="Times New Roman"/>
          <w:color w:val="000000"/>
          <w:sz w:val="24"/>
          <w:szCs w:val="24"/>
        </w:rPr>
        <w:t xml:space="preserve">. (2012) suggest these results may reflect students’ familiarity with these topics due to public health campaigns or that the curriculum reinforces clinical safety rather than sociocultural issues of patient safety. Study findings of low rates of student agreement with opportunities to learn and interact with interdisciplinary team members supports the argument that tangible clinical tasks are more strongly reinforced in nursing student education as compared to strategies for negotiating difficult conversations with other health professionals.  </w:t>
      </w:r>
    </w:p>
    <w:p w14:paraId="35EECAE2" w14:textId="050387F3" w:rsidR="00A21606" w:rsidRPr="00B66E62" w:rsidRDefault="004D257C" w:rsidP="00A55745">
      <w:pPr>
        <w:spacing w:line="480" w:lineRule="auto"/>
        <w:rPr>
          <w:rFonts w:ascii="Times New Roman" w:hAnsi="Times New Roman" w:cs="Times New Roman"/>
          <w:color w:val="000000"/>
          <w:sz w:val="24"/>
          <w:szCs w:val="24"/>
        </w:rPr>
      </w:pPr>
      <w:r w:rsidRPr="00B66E62">
        <w:rPr>
          <w:rFonts w:ascii="Times New Roman" w:hAnsi="Times New Roman" w:cs="Times New Roman"/>
          <w:color w:val="000000"/>
          <w:sz w:val="24"/>
          <w:szCs w:val="24"/>
        </w:rPr>
        <w:t xml:space="preserve">As nursing students progress through their degree, their levels of knowledge and expected autonomy in the workplace increase. As a consequence of their increased awareness, students are also more likely to recognise a gap between their theoretical knowledge and their ability to deploy this knowledge in clinical settings (Ginsburg </w:t>
      </w:r>
      <w:r w:rsidRPr="00B66E62">
        <w:rPr>
          <w:rFonts w:ascii="Times New Roman" w:hAnsi="Times New Roman" w:cs="Times New Roman"/>
          <w:i/>
          <w:color w:val="000000"/>
          <w:sz w:val="24"/>
          <w:szCs w:val="24"/>
        </w:rPr>
        <w:t>et al</w:t>
      </w:r>
      <w:r w:rsidRPr="00B66E62">
        <w:rPr>
          <w:rFonts w:ascii="Times New Roman" w:hAnsi="Times New Roman" w:cs="Times New Roman"/>
          <w:color w:val="000000"/>
          <w:sz w:val="24"/>
          <w:szCs w:val="24"/>
        </w:rPr>
        <w:t xml:space="preserve">. 2013, Steven </w:t>
      </w:r>
      <w:r w:rsidRPr="00B66E62">
        <w:rPr>
          <w:rFonts w:ascii="Times New Roman" w:hAnsi="Times New Roman" w:cs="Times New Roman"/>
          <w:i/>
          <w:color w:val="000000"/>
          <w:sz w:val="24"/>
          <w:szCs w:val="24"/>
        </w:rPr>
        <w:t>et al</w:t>
      </w:r>
      <w:r w:rsidRPr="00B66E62">
        <w:rPr>
          <w:rFonts w:ascii="Times New Roman" w:hAnsi="Times New Roman" w:cs="Times New Roman"/>
          <w:color w:val="000000"/>
          <w:sz w:val="24"/>
          <w:szCs w:val="24"/>
        </w:rPr>
        <w:t xml:space="preserve">. 2014, Stevanin </w:t>
      </w:r>
      <w:r w:rsidRPr="00B66E62">
        <w:rPr>
          <w:rFonts w:ascii="Times New Roman" w:hAnsi="Times New Roman" w:cs="Times New Roman"/>
          <w:i/>
          <w:color w:val="000000"/>
          <w:sz w:val="24"/>
          <w:szCs w:val="24"/>
        </w:rPr>
        <w:t>et al</w:t>
      </w:r>
      <w:r w:rsidRPr="00B66E62">
        <w:rPr>
          <w:rFonts w:ascii="Times New Roman" w:hAnsi="Times New Roman" w:cs="Times New Roman"/>
          <w:color w:val="000000"/>
          <w:sz w:val="24"/>
          <w:szCs w:val="24"/>
        </w:rPr>
        <w:t>. 2015). In this study such a theory</w:t>
      </w:r>
      <w:r w:rsidR="00E57DDE" w:rsidRPr="00B66E62">
        <w:rPr>
          <w:rFonts w:ascii="Times New Roman" w:hAnsi="Times New Roman" w:cs="Times New Roman"/>
          <w:color w:val="000000"/>
          <w:sz w:val="24"/>
          <w:szCs w:val="24"/>
        </w:rPr>
        <w:t>-</w:t>
      </w:r>
      <w:r w:rsidRPr="00B66E62">
        <w:rPr>
          <w:rFonts w:ascii="Times New Roman" w:hAnsi="Times New Roman" w:cs="Times New Roman"/>
          <w:color w:val="000000"/>
          <w:sz w:val="24"/>
          <w:szCs w:val="24"/>
        </w:rPr>
        <w:t>practice gap is evidenced by findings, which indicate that first</w:t>
      </w:r>
      <w:r w:rsidR="00B72B0E" w:rsidRPr="00B66E62">
        <w:rPr>
          <w:rFonts w:ascii="Times New Roman" w:hAnsi="Times New Roman" w:cs="Times New Roman"/>
          <w:color w:val="000000"/>
          <w:sz w:val="24"/>
          <w:szCs w:val="24"/>
        </w:rPr>
        <w:t>-</w:t>
      </w:r>
      <w:r w:rsidRPr="00B66E62">
        <w:rPr>
          <w:rFonts w:ascii="Times New Roman" w:hAnsi="Times New Roman" w:cs="Times New Roman"/>
          <w:color w:val="000000"/>
          <w:sz w:val="24"/>
          <w:szCs w:val="24"/>
        </w:rPr>
        <w:t>year nurs</w:t>
      </w:r>
      <w:r w:rsidR="00E57DDE" w:rsidRPr="00B66E62">
        <w:rPr>
          <w:rFonts w:ascii="Times New Roman" w:hAnsi="Times New Roman" w:cs="Times New Roman"/>
          <w:color w:val="000000"/>
          <w:sz w:val="24"/>
          <w:szCs w:val="24"/>
        </w:rPr>
        <w:t>ing</w:t>
      </w:r>
      <w:r w:rsidRPr="00B66E62">
        <w:rPr>
          <w:rFonts w:ascii="Times New Roman" w:hAnsi="Times New Roman" w:cs="Times New Roman"/>
          <w:color w:val="000000"/>
          <w:sz w:val="24"/>
          <w:szCs w:val="24"/>
        </w:rPr>
        <w:t xml:space="preserve"> students are more confident than second and third-year students in aspects such as scope of practice, systems aspects of patient safety, and perceptions of consistency in how different preceptors deal with safety issues. A study conducted with nursing students enrolled in a Bachelor of Nursing Science program in Canada (Duhn </w:t>
      </w:r>
      <w:r w:rsidRPr="00B66E62">
        <w:rPr>
          <w:rFonts w:ascii="Times New Roman" w:hAnsi="Times New Roman" w:cs="Times New Roman"/>
          <w:i/>
          <w:color w:val="000000"/>
          <w:sz w:val="24"/>
          <w:szCs w:val="24"/>
        </w:rPr>
        <w:t>et al</w:t>
      </w:r>
      <w:r w:rsidRPr="00B66E62">
        <w:rPr>
          <w:rFonts w:ascii="Times New Roman" w:hAnsi="Times New Roman" w:cs="Times New Roman"/>
          <w:color w:val="000000"/>
          <w:sz w:val="24"/>
          <w:szCs w:val="24"/>
        </w:rPr>
        <w:t xml:space="preserve">. 2012) found similar results using the same H-PEPSS measurement tool. </w:t>
      </w:r>
    </w:p>
    <w:p w14:paraId="4EF7A72C" w14:textId="0C51882C" w:rsidR="005B03D7" w:rsidRPr="00B66E62" w:rsidRDefault="00C740F5"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The</w:t>
      </w:r>
      <w:r w:rsidR="00184004" w:rsidRPr="00B66E62">
        <w:rPr>
          <w:rFonts w:ascii="Times New Roman" w:hAnsi="Times New Roman" w:cs="Times New Roman"/>
          <w:sz w:val="24"/>
          <w:szCs w:val="24"/>
        </w:rPr>
        <w:t xml:space="preserve"> current study</w:t>
      </w:r>
      <w:r w:rsidRPr="00B66E62">
        <w:rPr>
          <w:rFonts w:ascii="Times New Roman" w:hAnsi="Times New Roman" w:cs="Times New Roman"/>
          <w:sz w:val="24"/>
          <w:szCs w:val="24"/>
        </w:rPr>
        <w:t xml:space="preserve"> findings are </w:t>
      </w:r>
      <w:r w:rsidR="00982E9A" w:rsidRPr="00B66E62">
        <w:rPr>
          <w:rFonts w:ascii="Times New Roman" w:hAnsi="Times New Roman" w:cs="Times New Roman"/>
          <w:sz w:val="24"/>
          <w:szCs w:val="24"/>
        </w:rPr>
        <w:t xml:space="preserve">consistent with previous </w:t>
      </w:r>
      <w:r w:rsidR="007659F5" w:rsidRPr="00B66E62">
        <w:rPr>
          <w:rFonts w:ascii="Times New Roman" w:hAnsi="Times New Roman" w:cs="Times New Roman"/>
          <w:sz w:val="24"/>
          <w:szCs w:val="24"/>
        </w:rPr>
        <w:t xml:space="preserve">literature </w:t>
      </w:r>
      <w:r w:rsidR="00800A2F" w:rsidRPr="00B66E62">
        <w:rPr>
          <w:rFonts w:ascii="Times New Roman" w:hAnsi="Times New Roman" w:cs="Times New Roman"/>
          <w:sz w:val="24"/>
          <w:szCs w:val="24"/>
        </w:rPr>
        <w:t>w</w:t>
      </w:r>
      <w:r w:rsidR="00982E9A" w:rsidRPr="00B66E62">
        <w:rPr>
          <w:rFonts w:ascii="Times New Roman" w:hAnsi="Times New Roman" w:cs="Times New Roman"/>
          <w:sz w:val="24"/>
          <w:szCs w:val="24"/>
        </w:rPr>
        <w:t>hich</w:t>
      </w:r>
      <w:r w:rsidR="00800A2F" w:rsidRPr="00B66E62">
        <w:rPr>
          <w:rFonts w:ascii="Times New Roman" w:hAnsi="Times New Roman" w:cs="Times New Roman"/>
          <w:sz w:val="24"/>
          <w:szCs w:val="24"/>
        </w:rPr>
        <w:t xml:space="preserve"> reports that</w:t>
      </w:r>
      <w:r w:rsidR="007659F5" w:rsidRPr="00B66E62">
        <w:rPr>
          <w:rFonts w:ascii="Times New Roman" w:hAnsi="Times New Roman" w:cs="Times New Roman"/>
          <w:sz w:val="24"/>
          <w:szCs w:val="24"/>
        </w:rPr>
        <w:t xml:space="preserve"> </w:t>
      </w:r>
      <w:r w:rsidR="003027B9" w:rsidRPr="00B66E62">
        <w:rPr>
          <w:rFonts w:ascii="Times New Roman" w:hAnsi="Times New Roman" w:cs="Times New Roman"/>
          <w:sz w:val="24"/>
          <w:szCs w:val="24"/>
        </w:rPr>
        <w:t xml:space="preserve">rate of </w:t>
      </w:r>
      <w:r w:rsidR="007659F5" w:rsidRPr="00B66E62">
        <w:rPr>
          <w:rFonts w:ascii="Times New Roman" w:hAnsi="Times New Roman" w:cs="Times New Roman"/>
          <w:sz w:val="24"/>
          <w:szCs w:val="24"/>
        </w:rPr>
        <w:t xml:space="preserve">non-disclosure or failure to voice concern about errors or events pose </w:t>
      </w:r>
      <w:r w:rsidR="006F314C" w:rsidRPr="00B66E62">
        <w:rPr>
          <w:rFonts w:ascii="Times New Roman" w:hAnsi="Times New Roman" w:cs="Times New Roman"/>
          <w:sz w:val="24"/>
          <w:szCs w:val="24"/>
        </w:rPr>
        <w:t xml:space="preserve">patient </w:t>
      </w:r>
      <w:r w:rsidR="007659F5" w:rsidRPr="00B66E62">
        <w:rPr>
          <w:rFonts w:ascii="Times New Roman" w:hAnsi="Times New Roman" w:cs="Times New Roman"/>
          <w:sz w:val="24"/>
          <w:szCs w:val="24"/>
        </w:rPr>
        <w:t>safety risks</w:t>
      </w:r>
      <w:r w:rsidR="00BB2D79" w:rsidRPr="00B66E62">
        <w:rPr>
          <w:rFonts w:ascii="Times New Roman" w:hAnsi="Times New Roman" w:cs="Times New Roman"/>
          <w:sz w:val="24"/>
          <w:szCs w:val="24"/>
        </w:rPr>
        <w:t xml:space="preserve"> (Castel </w:t>
      </w:r>
      <w:r w:rsidR="00BB2D79" w:rsidRPr="00B66E62">
        <w:rPr>
          <w:rFonts w:ascii="Times New Roman" w:hAnsi="Times New Roman" w:cs="Times New Roman"/>
          <w:i/>
          <w:sz w:val="24"/>
          <w:szCs w:val="24"/>
        </w:rPr>
        <w:t>et al.</w:t>
      </w:r>
      <w:r w:rsidR="00BB2D79" w:rsidRPr="00B66E62">
        <w:rPr>
          <w:rFonts w:ascii="Times New Roman" w:hAnsi="Times New Roman" w:cs="Times New Roman"/>
          <w:sz w:val="24"/>
          <w:szCs w:val="24"/>
        </w:rPr>
        <w:t xml:space="preserve"> 2015)</w:t>
      </w:r>
      <w:r w:rsidR="007659F5" w:rsidRPr="00B66E62">
        <w:rPr>
          <w:rFonts w:ascii="Times New Roman" w:hAnsi="Times New Roman" w:cs="Times New Roman"/>
          <w:sz w:val="24"/>
          <w:szCs w:val="24"/>
        </w:rPr>
        <w:t xml:space="preserve">. </w:t>
      </w:r>
      <w:r w:rsidRPr="00B66E62">
        <w:rPr>
          <w:rFonts w:ascii="Times New Roman" w:hAnsi="Times New Roman" w:cs="Times New Roman"/>
          <w:sz w:val="24"/>
          <w:szCs w:val="24"/>
        </w:rPr>
        <w:t xml:space="preserve">Participants in this study demonstrated </w:t>
      </w:r>
      <w:r w:rsidR="00847200" w:rsidRPr="00B66E62">
        <w:rPr>
          <w:rFonts w:ascii="Times New Roman" w:hAnsi="Times New Roman" w:cs="Times New Roman"/>
          <w:sz w:val="24"/>
          <w:szCs w:val="24"/>
        </w:rPr>
        <w:t>reluctance</w:t>
      </w:r>
      <w:r w:rsidR="00715E75" w:rsidRPr="00B66E62">
        <w:rPr>
          <w:rFonts w:ascii="Times New Roman" w:hAnsi="Times New Roman" w:cs="Times New Roman"/>
          <w:sz w:val="24"/>
          <w:szCs w:val="24"/>
        </w:rPr>
        <w:t xml:space="preserve"> to voice concerns </w:t>
      </w:r>
      <w:r w:rsidRPr="00B66E62">
        <w:rPr>
          <w:rFonts w:ascii="Times New Roman" w:hAnsi="Times New Roman" w:cs="Times New Roman"/>
          <w:sz w:val="24"/>
          <w:szCs w:val="24"/>
        </w:rPr>
        <w:t xml:space="preserve">that </w:t>
      </w:r>
      <w:r w:rsidR="00715E75" w:rsidRPr="00B66E62">
        <w:rPr>
          <w:rFonts w:ascii="Times New Roman" w:hAnsi="Times New Roman" w:cs="Times New Roman"/>
          <w:sz w:val="24"/>
          <w:szCs w:val="24"/>
        </w:rPr>
        <w:t xml:space="preserve">can have serious implications for </w:t>
      </w:r>
      <w:r w:rsidR="00BA4429" w:rsidRPr="00B66E62">
        <w:rPr>
          <w:rFonts w:ascii="Times New Roman" w:hAnsi="Times New Roman" w:cs="Times New Roman"/>
          <w:sz w:val="24"/>
          <w:szCs w:val="24"/>
        </w:rPr>
        <w:t xml:space="preserve">nurse and </w:t>
      </w:r>
      <w:r w:rsidR="00715E75" w:rsidRPr="00B66E62">
        <w:rPr>
          <w:rFonts w:ascii="Times New Roman" w:hAnsi="Times New Roman" w:cs="Times New Roman"/>
          <w:sz w:val="24"/>
          <w:szCs w:val="24"/>
        </w:rPr>
        <w:t>patient safety</w:t>
      </w:r>
      <w:r w:rsidR="005B03D7" w:rsidRPr="00B66E62">
        <w:rPr>
          <w:rFonts w:ascii="Times New Roman" w:hAnsi="Times New Roman" w:cs="Times New Roman"/>
          <w:sz w:val="24"/>
          <w:szCs w:val="24"/>
        </w:rPr>
        <w:t>.</w:t>
      </w:r>
      <w:r w:rsidR="00A4571A" w:rsidRPr="00B66E62">
        <w:rPr>
          <w:rFonts w:ascii="Times New Roman" w:hAnsi="Times New Roman" w:cs="Times New Roman"/>
          <w:sz w:val="24"/>
          <w:szCs w:val="24"/>
        </w:rPr>
        <w:t xml:space="preserve"> </w:t>
      </w:r>
      <w:r w:rsidR="005B03D7" w:rsidRPr="00B66E62">
        <w:rPr>
          <w:rFonts w:ascii="Times New Roman" w:hAnsi="Times New Roman" w:cs="Times New Roman"/>
          <w:sz w:val="24"/>
          <w:szCs w:val="24"/>
        </w:rPr>
        <w:t>For nurses, safety voice is a form of discretionary voice</w:t>
      </w:r>
      <w:r w:rsidR="00BB2D79" w:rsidRPr="00B66E62">
        <w:rPr>
          <w:rFonts w:ascii="Times New Roman" w:hAnsi="Times New Roman" w:cs="Times New Roman"/>
          <w:sz w:val="24"/>
          <w:szCs w:val="24"/>
        </w:rPr>
        <w:t xml:space="preserve"> (Burke 2013)</w:t>
      </w:r>
      <w:r w:rsidR="005B03D7" w:rsidRPr="00B66E62">
        <w:rPr>
          <w:rFonts w:ascii="Times New Roman" w:hAnsi="Times New Roman" w:cs="Times New Roman"/>
          <w:sz w:val="24"/>
          <w:szCs w:val="24"/>
        </w:rPr>
        <w:t xml:space="preserve"> that is exercised when individuals discern a problem or concern that they consider needs </w:t>
      </w:r>
      <w:r w:rsidR="006E257A" w:rsidRPr="00B66E62">
        <w:rPr>
          <w:rFonts w:ascii="Times New Roman" w:hAnsi="Times New Roman" w:cs="Times New Roman"/>
          <w:sz w:val="24"/>
          <w:szCs w:val="24"/>
        </w:rPr>
        <w:t>address</w:t>
      </w:r>
      <w:r w:rsidR="005B03D7" w:rsidRPr="00B66E62">
        <w:rPr>
          <w:rFonts w:ascii="Times New Roman" w:hAnsi="Times New Roman" w:cs="Times New Roman"/>
          <w:sz w:val="24"/>
          <w:szCs w:val="24"/>
        </w:rPr>
        <w:t xml:space="preserve">ing. </w:t>
      </w:r>
      <w:r w:rsidR="00161C24" w:rsidRPr="00B66E62">
        <w:rPr>
          <w:rFonts w:ascii="Times New Roman" w:hAnsi="Times New Roman" w:cs="Times New Roman"/>
          <w:sz w:val="24"/>
          <w:szCs w:val="24"/>
        </w:rPr>
        <w:t xml:space="preserve">Nurses are tasked with voicing concern about technical safety issues as well as concerns about team care, professional behaviours, or lapses </w:t>
      </w:r>
      <w:r w:rsidR="007A70EE" w:rsidRPr="00B66E62">
        <w:rPr>
          <w:rFonts w:ascii="Times New Roman" w:hAnsi="Times New Roman" w:cs="Times New Roman"/>
          <w:sz w:val="24"/>
          <w:szCs w:val="24"/>
        </w:rPr>
        <w:lastRenderedPageBreak/>
        <w:t xml:space="preserve">they may witness </w:t>
      </w:r>
      <w:r w:rsidR="00161C24" w:rsidRPr="00B66E62">
        <w:rPr>
          <w:rFonts w:ascii="Times New Roman" w:hAnsi="Times New Roman" w:cs="Times New Roman"/>
          <w:sz w:val="24"/>
          <w:szCs w:val="24"/>
        </w:rPr>
        <w:t>involving other clinicians</w:t>
      </w:r>
      <w:r w:rsidR="00D63E3F" w:rsidRPr="00B66E62">
        <w:rPr>
          <w:rFonts w:ascii="Times New Roman" w:hAnsi="Times New Roman" w:cs="Times New Roman"/>
          <w:sz w:val="24"/>
          <w:szCs w:val="24"/>
        </w:rPr>
        <w:t>.</w:t>
      </w:r>
      <w:r w:rsidR="00161C24" w:rsidRPr="00B66E62">
        <w:rPr>
          <w:rFonts w:ascii="Times New Roman" w:hAnsi="Times New Roman" w:cs="Times New Roman"/>
          <w:sz w:val="24"/>
          <w:szCs w:val="24"/>
        </w:rPr>
        <w:t xml:space="preserve"> </w:t>
      </w:r>
      <w:r w:rsidR="005B03D7" w:rsidRPr="00B66E62">
        <w:rPr>
          <w:rFonts w:ascii="Times New Roman" w:hAnsi="Times New Roman" w:cs="Times New Roman"/>
          <w:sz w:val="24"/>
          <w:szCs w:val="24"/>
        </w:rPr>
        <w:t xml:space="preserve">Enacting discretionary voice behaviour </w:t>
      </w:r>
      <w:r w:rsidR="00161C24" w:rsidRPr="00B66E62">
        <w:rPr>
          <w:rFonts w:ascii="Times New Roman" w:hAnsi="Times New Roman" w:cs="Times New Roman"/>
          <w:sz w:val="24"/>
          <w:szCs w:val="24"/>
        </w:rPr>
        <w:t xml:space="preserve">about safety concerns </w:t>
      </w:r>
      <w:r w:rsidR="005B03D7" w:rsidRPr="00B66E62">
        <w:rPr>
          <w:rFonts w:ascii="Times New Roman" w:hAnsi="Times New Roman" w:cs="Times New Roman"/>
          <w:sz w:val="24"/>
          <w:szCs w:val="24"/>
        </w:rPr>
        <w:t>may challenge the status quo and established power dynamics</w:t>
      </w:r>
      <w:r w:rsidR="00D63E3F" w:rsidRPr="00B66E62">
        <w:rPr>
          <w:rFonts w:ascii="Times New Roman" w:hAnsi="Times New Roman" w:cs="Times New Roman"/>
          <w:sz w:val="24"/>
          <w:szCs w:val="24"/>
        </w:rPr>
        <w:t>,</w:t>
      </w:r>
      <w:r w:rsidR="005B03D7" w:rsidRPr="00B66E62">
        <w:rPr>
          <w:rFonts w:ascii="Times New Roman" w:hAnsi="Times New Roman" w:cs="Times New Roman"/>
          <w:sz w:val="24"/>
          <w:szCs w:val="24"/>
        </w:rPr>
        <w:t xml:space="preserve"> and is more likely to occur in blame-free work environments that support reporting and engagement with safety improvement</w:t>
      </w:r>
      <w:r w:rsidR="009B4927" w:rsidRPr="00B66E62">
        <w:rPr>
          <w:rFonts w:ascii="Times New Roman" w:hAnsi="Times New Roman" w:cs="Times New Roman"/>
          <w:sz w:val="24"/>
          <w:szCs w:val="24"/>
        </w:rPr>
        <w:t xml:space="preserve"> (Dekker &amp; Breakey 2016)</w:t>
      </w:r>
      <w:r w:rsidR="005B03D7" w:rsidRPr="00B66E62">
        <w:rPr>
          <w:rFonts w:ascii="Times New Roman" w:hAnsi="Times New Roman" w:cs="Times New Roman"/>
          <w:sz w:val="24"/>
          <w:szCs w:val="24"/>
        </w:rPr>
        <w:t>. Environments characterised by hierarchical power dynamics, rigid role boundaries and disrespect are recognised to undermine nurses’ safety voice</w:t>
      </w:r>
      <w:r w:rsidR="009B4927" w:rsidRPr="00B66E62">
        <w:rPr>
          <w:rFonts w:ascii="Times New Roman" w:hAnsi="Times New Roman" w:cs="Times New Roman"/>
          <w:sz w:val="24"/>
          <w:szCs w:val="24"/>
        </w:rPr>
        <w:t xml:space="preserve"> (Rosenstein &amp; O’Daniel</w:t>
      </w:r>
      <w:r w:rsidR="00E8576C" w:rsidRPr="00B66E62">
        <w:rPr>
          <w:rFonts w:ascii="Times New Roman" w:hAnsi="Times New Roman" w:cs="Times New Roman"/>
          <w:sz w:val="24"/>
          <w:szCs w:val="24"/>
        </w:rPr>
        <w:t xml:space="preserve"> 2008, Hutchinson &amp; Jackson 2013)</w:t>
      </w:r>
      <w:r w:rsidR="005B03D7" w:rsidRPr="00B66E62">
        <w:rPr>
          <w:rFonts w:ascii="Times New Roman" w:hAnsi="Times New Roman" w:cs="Times New Roman"/>
          <w:sz w:val="24"/>
          <w:szCs w:val="24"/>
        </w:rPr>
        <w:t>.</w:t>
      </w:r>
      <w:r w:rsidR="00161C24" w:rsidRPr="00B66E62">
        <w:rPr>
          <w:rFonts w:ascii="Times New Roman" w:hAnsi="Times New Roman" w:cs="Times New Roman"/>
          <w:sz w:val="24"/>
          <w:szCs w:val="24"/>
        </w:rPr>
        <w:t xml:space="preserve"> Despite concerns for patient safety, silence or inaction is more likely in unsupportive environments </w:t>
      </w:r>
      <w:r w:rsidR="00E8576C" w:rsidRPr="00B66E62">
        <w:rPr>
          <w:rFonts w:ascii="Times New Roman" w:hAnsi="Times New Roman" w:cs="Times New Roman"/>
          <w:sz w:val="24"/>
          <w:szCs w:val="24"/>
        </w:rPr>
        <w:t xml:space="preserve">(Dankoski </w:t>
      </w:r>
      <w:r w:rsidR="00E8576C" w:rsidRPr="00B66E62">
        <w:rPr>
          <w:rFonts w:ascii="Times New Roman" w:hAnsi="Times New Roman" w:cs="Times New Roman"/>
          <w:i/>
          <w:sz w:val="24"/>
          <w:szCs w:val="24"/>
        </w:rPr>
        <w:t>et al</w:t>
      </w:r>
      <w:r w:rsidR="00E8576C" w:rsidRPr="00B66E62">
        <w:rPr>
          <w:rFonts w:ascii="Times New Roman" w:hAnsi="Times New Roman" w:cs="Times New Roman"/>
          <w:sz w:val="24"/>
          <w:szCs w:val="24"/>
        </w:rPr>
        <w:t>. 2</w:t>
      </w:r>
      <w:r w:rsidR="006E257A" w:rsidRPr="00B66E62">
        <w:rPr>
          <w:rFonts w:ascii="Times New Roman" w:hAnsi="Times New Roman" w:cs="Times New Roman"/>
          <w:sz w:val="24"/>
          <w:szCs w:val="24"/>
        </w:rPr>
        <w:t>014, Hutchinson &amp; Jackson 2014).</w:t>
      </w:r>
    </w:p>
    <w:p w14:paraId="0DD51C3A" w14:textId="5D9BB7A2" w:rsidR="00E2592F" w:rsidRPr="00B66E62" w:rsidRDefault="00982E9A"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T</w:t>
      </w:r>
      <w:r w:rsidR="008F621B" w:rsidRPr="00B66E62">
        <w:rPr>
          <w:rFonts w:ascii="Times New Roman" w:hAnsi="Times New Roman" w:cs="Times New Roman"/>
          <w:sz w:val="24"/>
          <w:szCs w:val="24"/>
        </w:rPr>
        <w:t>h</w:t>
      </w:r>
      <w:r w:rsidR="00C740F5" w:rsidRPr="00B66E62">
        <w:rPr>
          <w:rFonts w:ascii="Times New Roman" w:hAnsi="Times New Roman" w:cs="Times New Roman"/>
          <w:sz w:val="24"/>
          <w:szCs w:val="24"/>
        </w:rPr>
        <w:t xml:space="preserve">is potential for </w:t>
      </w:r>
      <w:r w:rsidR="008F621B" w:rsidRPr="00B66E62">
        <w:rPr>
          <w:rFonts w:ascii="Times New Roman" w:hAnsi="Times New Roman" w:cs="Times New Roman"/>
          <w:sz w:val="24"/>
          <w:szCs w:val="24"/>
        </w:rPr>
        <w:t xml:space="preserve">team dynamics </w:t>
      </w:r>
      <w:r w:rsidR="00C740F5" w:rsidRPr="00B66E62">
        <w:rPr>
          <w:rFonts w:ascii="Times New Roman" w:hAnsi="Times New Roman" w:cs="Times New Roman"/>
          <w:sz w:val="24"/>
          <w:szCs w:val="24"/>
        </w:rPr>
        <w:t xml:space="preserve">to exert a negative influence </w:t>
      </w:r>
      <w:r w:rsidR="008F621B" w:rsidRPr="00B66E62">
        <w:rPr>
          <w:rFonts w:ascii="Times New Roman" w:hAnsi="Times New Roman" w:cs="Times New Roman"/>
          <w:sz w:val="24"/>
          <w:szCs w:val="24"/>
        </w:rPr>
        <w:t xml:space="preserve">on nurses’ safety voice was evident </w:t>
      </w:r>
      <w:r w:rsidR="001E3A20" w:rsidRPr="00B66E62">
        <w:rPr>
          <w:rFonts w:ascii="Times New Roman" w:hAnsi="Times New Roman" w:cs="Times New Roman"/>
          <w:sz w:val="24"/>
          <w:szCs w:val="24"/>
        </w:rPr>
        <w:t>when</w:t>
      </w:r>
      <w:r w:rsidR="008F621B" w:rsidRPr="00B66E62">
        <w:rPr>
          <w:rFonts w:ascii="Times New Roman" w:hAnsi="Times New Roman" w:cs="Times New Roman"/>
          <w:sz w:val="24"/>
          <w:szCs w:val="24"/>
        </w:rPr>
        <w:t xml:space="preserve"> </w:t>
      </w:r>
      <w:r w:rsidR="0094354A" w:rsidRPr="00B66E62">
        <w:rPr>
          <w:rFonts w:ascii="Times New Roman" w:hAnsi="Times New Roman" w:cs="Times New Roman"/>
          <w:sz w:val="24"/>
          <w:szCs w:val="24"/>
        </w:rPr>
        <w:t xml:space="preserve">nursing students reported </w:t>
      </w:r>
      <w:r w:rsidR="001E3A20" w:rsidRPr="00B66E62">
        <w:rPr>
          <w:rFonts w:ascii="Times New Roman" w:hAnsi="Times New Roman" w:cs="Times New Roman"/>
          <w:sz w:val="24"/>
          <w:szCs w:val="24"/>
        </w:rPr>
        <w:t>their compliance</w:t>
      </w:r>
      <w:r w:rsidR="0094354A" w:rsidRPr="00B66E62">
        <w:rPr>
          <w:rFonts w:ascii="Times New Roman" w:hAnsi="Times New Roman" w:cs="Times New Roman"/>
          <w:sz w:val="24"/>
          <w:szCs w:val="24"/>
        </w:rPr>
        <w:t xml:space="preserve"> with unacceptable practice</w:t>
      </w:r>
      <w:r w:rsidR="003027B9" w:rsidRPr="00B66E62">
        <w:rPr>
          <w:rFonts w:ascii="Times New Roman" w:hAnsi="Times New Roman" w:cs="Times New Roman"/>
          <w:sz w:val="24"/>
          <w:szCs w:val="24"/>
        </w:rPr>
        <w:t>s</w:t>
      </w:r>
      <w:r w:rsidR="0094354A" w:rsidRPr="00B66E62">
        <w:rPr>
          <w:rFonts w:ascii="Times New Roman" w:hAnsi="Times New Roman" w:cs="Times New Roman"/>
          <w:sz w:val="24"/>
          <w:szCs w:val="24"/>
        </w:rPr>
        <w:t xml:space="preserve"> in order to avoid disrupting their sense of belonging in the nursing team</w:t>
      </w:r>
      <w:r w:rsidR="00E8576C" w:rsidRPr="00B66E62">
        <w:rPr>
          <w:rFonts w:ascii="Times New Roman" w:hAnsi="Times New Roman" w:cs="Times New Roman"/>
          <w:sz w:val="24"/>
          <w:szCs w:val="24"/>
        </w:rPr>
        <w:t xml:space="preserve"> (Levett-Jones &amp; Lathlean 2009)</w:t>
      </w:r>
      <w:r w:rsidR="0094354A" w:rsidRPr="00B66E62">
        <w:rPr>
          <w:rFonts w:ascii="Times New Roman" w:hAnsi="Times New Roman" w:cs="Times New Roman"/>
          <w:sz w:val="24"/>
          <w:szCs w:val="24"/>
        </w:rPr>
        <w:t xml:space="preserve">. </w:t>
      </w:r>
      <w:r w:rsidR="00F70E5C" w:rsidRPr="00B66E62">
        <w:rPr>
          <w:rFonts w:ascii="Times New Roman" w:hAnsi="Times New Roman" w:cs="Times New Roman"/>
          <w:sz w:val="24"/>
          <w:szCs w:val="24"/>
        </w:rPr>
        <w:t>A</w:t>
      </w:r>
      <w:r w:rsidR="00ED49E1" w:rsidRPr="00B66E62">
        <w:rPr>
          <w:rFonts w:ascii="Times New Roman" w:hAnsi="Times New Roman" w:cs="Times New Roman"/>
          <w:sz w:val="24"/>
          <w:szCs w:val="24"/>
        </w:rPr>
        <w:t xml:space="preserve"> </w:t>
      </w:r>
      <w:r w:rsidR="006F314C" w:rsidRPr="00B66E62">
        <w:rPr>
          <w:rFonts w:ascii="Times New Roman" w:hAnsi="Times New Roman" w:cs="Times New Roman"/>
          <w:sz w:val="24"/>
          <w:szCs w:val="24"/>
        </w:rPr>
        <w:t xml:space="preserve">small-sample </w:t>
      </w:r>
      <w:r w:rsidR="00ED49E1" w:rsidRPr="00B66E62">
        <w:rPr>
          <w:rFonts w:ascii="Times New Roman" w:hAnsi="Times New Roman" w:cs="Times New Roman"/>
          <w:sz w:val="24"/>
          <w:szCs w:val="24"/>
        </w:rPr>
        <w:t xml:space="preserve">study of graduate nurses </w:t>
      </w:r>
      <w:r w:rsidR="00C740F5" w:rsidRPr="00B66E62">
        <w:rPr>
          <w:rFonts w:ascii="Times New Roman" w:hAnsi="Times New Roman" w:cs="Times New Roman"/>
          <w:sz w:val="24"/>
          <w:szCs w:val="24"/>
        </w:rPr>
        <w:t xml:space="preserve">also </w:t>
      </w:r>
      <w:r w:rsidR="00ED49E1" w:rsidRPr="00B66E62">
        <w:rPr>
          <w:rFonts w:ascii="Times New Roman" w:hAnsi="Times New Roman" w:cs="Times New Roman"/>
          <w:sz w:val="24"/>
          <w:szCs w:val="24"/>
        </w:rPr>
        <w:t xml:space="preserve">reported that disruptive behaviours from other nurses was an important contributing factor to </w:t>
      </w:r>
      <w:r w:rsidR="006F314C" w:rsidRPr="00B66E62">
        <w:rPr>
          <w:rFonts w:ascii="Times New Roman" w:hAnsi="Times New Roman" w:cs="Times New Roman"/>
          <w:sz w:val="24"/>
          <w:szCs w:val="24"/>
        </w:rPr>
        <w:t xml:space="preserve">the </w:t>
      </w:r>
      <w:r w:rsidR="00ED49E1" w:rsidRPr="00B66E62">
        <w:rPr>
          <w:rFonts w:ascii="Times New Roman" w:hAnsi="Times New Roman" w:cs="Times New Roman"/>
          <w:sz w:val="24"/>
          <w:szCs w:val="24"/>
        </w:rPr>
        <w:t xml:space="preserve">medication errors </w:t>
      </w:r>
      <w:r w:rsidR="006F314C" w:rsidRPr="00B66E62">
        <w:rPr>
          <w:rFonts w:ascii="Times New Roman" w:hAnsi="Times New Roman" w:cs="Times New Roman"/>
          <w:sz w:val="24"/>
          <w:szCs w:val="24"/>
        </w:rPr>
        <w:t>they made</w:t>
      </w:r>
      <w:r w:rsidR="005B03D7" w:rsidRPr="00B66E62">
        <w:rPr>
          <w:rFonts w:ascii="Times New Roman" w:hAnsi="Times New Roman" w:cs="Times New Roman"/>
          <w:sz w:val="24"/>
          <w:szCs w:val="24"/>
        </w:rPr>
        <w:t xml:space="preserve"> and </w:t>
      </w:r>
      <w:r w:rsidR="00C740F5" w:rsidRPr="00B66E62">
        <w:rPr>
          <w:rFonts w:ascii="Times New Roman" w:hAnsi="Times New Roman" w:cs="Times New Roman"/>
          <w:sz w:val="24"/>
          <w:szCs w:val="24"/>
        </w:rPr>
        <w:t xml:space="preserve">affected </w:t>
      </w:r>
      <w:r w:rsidR="005B03D7" w:rsidRPr="00B66E62">
        <w:rPr>
          <w:rFonts w:ascii="Times New Roman" w:hAnsi="Times New Roman" w:cs="Times New Roman"/>
          <w:sz w:val="24"/>
          <w:szCs w:val="24"/>
        </w:rPr>
        <w:t>their confidence in raising concerns</w:t>
      </w:r>
      <w:r w:rsidR="00451221" w:rsidRPr="00B66E62">
        <w:rPr>
          <w:rFonts w:ascii="Times New Roman" w:hAnsi="Times New Roman" w:cs="Times New Roman"/>
          <w:sz w:val="24"/>
          <w:szCs w:val="24"/>
        </w:rPr>
        <w:t xml:space="preserve"> (Sahay </w:t>
      </w:r>
      <w:r w:rsidR="00451221" w:rsidRPr="00B66E62">
        <w:rPr>
          <w:rFonts w:ascii="Times New Roman" w:hAnsi="Times New Roman" w:cs="Times New Roman"/>
          <w:i/>
          <w:sz w:val="24"/>
          <w:szCs w:val="24"/>
        </w:rPr>
        <w:t>et al.</w:t>
      </w:r>
      <w:r w:rsidR="00451221" w:rsidRPr="00B66E62">
        <w:rPr>
          <w:rFonts w:ascii="Times New Roman" w:hAnsi="Times New Roman" w:cs="Times New Roman"/>
          <w:sz w:val="24"/>
          <w:szCs w:val="24"/>
        </w:rPr>
        <w:t xml:space="preserve"> 2015)</w:t>
      </w:r>
      <w:r w:rsidR="00ED49E1" w:rsidRPr="00B66E62">
        <w:rPr>
          <w:rFonts w:ascii="Times New Roman" w:hAnsi="Times New Roman" w:cs="Times New Roman"/>
          <w:sz w:val="24"/>
          <w:szCs w:val="24"/>
        </w:rPr>
        <w:t xml:space="preserve">. </w:t>
      </w:r>
      <w:r w:rsidR="006F314C" w:rsidRPr="00B66E62">
        <w:rPr>
          <w:rFonts w:ascii="Times New Roman" w:hAnsi="Times New Roman" w:cs="Times New Roman"/>
          <w:sz w:val="24"/>
          <w:szCs w:val="24"/>
        </w:rPr>
        <w:t xml:space="preserve">These earlier studies resonate with findings from the current study in which </w:t>
      </w:r>
      <w:r w:rsidR="008A797E" w:rsidRPr="00B66E62">
        <w:rPr>
          <w:rFonts w:ascii="Times New Roman" w:hAnsi="Times New Roman" w:cs="Times New Roman"/>
          <w:sz w:val="24"/>
          <w:szCs w:val="24"/>
        </w:rPr>
        <w:t xml:space="preserve">three quarters of respondents reported authority gradients </w:t>
      </w:r>
      <w:r w:rsidR="00E2592F" w:rsidRPr="00B66E62">
        <w:rPr>
          <w:rFonts w:ascii="Times New Roman" w:hAnsi="Times New Roman" w:cs="Times New Roman"/>
          <w:sz w:val="24"/>
          <w:szCs w:val="24"/>
        </w:rPr>
        <w:t>made it difficult for them to raise concern</w:t>
      </w:r>
      <w:r w:rsidR="008A797E" w:rsidRPr="00B66E62">
        <w:rPr>
          <w:rFonts w:ascii="Times New Roman" w:hAnsi="Times New Roman" w:cs="Times New Roman"/>
          <w:sz w:val="24"/>
          <w:szCs w:val="24"/>
        </w:rPr>
        <w:t xml:space="preserve"> </w:t>
      </w:r>
      <w:r w:rsidR="00E2592F" w:rsidRPr="00B66E62">
        <w:rPr>
          <w:rFonts w:ascii="Times New Roman" w:hAnsi="Times New Roman" w:cs="Times New Roman"/>
          <w:sz w:val="24"/>
          <w:szCs w:val="24"/>
        </w:rPr>
        <w:t>about unsafe practice.</w:t>
      </w:r>
      <w:r w:rsidR="00B74980" w:rsidRPr="00B66E62">
        <w:rPr>
          <w:rFonts w:ascii="Times New Roman" w:hAnsi="Times New Roman" w:cs="Times New Roman"/>
          <w:sz w:val="24"/>
          <w:szCs w:val="24"/>
        </w:rPr>
        <w:t xml:space="preserve"> </w:t>
      </w:r>
    </w:p>
    <w:p w14:paraId="43A89D5C" w14:textId="54927A81" w:rsidR="006F314C" w:rsidRPr="00B66E62" w:rsidRDefault="001E3A20" w:rsidP="00A55745">
      <w:pPr>
        <w:spacing w:line="480" w:lineRule="auto"/>
        <w:rPr>
          <w:rFonts w:ascii="Times New Roman" w:hAnsi="Times New Roman" w:cs="Times New Roman"/>
          <w:sz w:val="24"/>
          <w:szCs w:val="24"/>
        </w:rPr>
      </w:pPr>
      <w:r w:rsidRPr="00B66E62">
        <w:rPr>
          <w:rFonts w:ascii="Times New Roman" w:hAnsi="Times New Roman" w:cs="Times New Roman"/>
          <w:sz w:val="24"/>
          <w:szCs w:val="24"/>
        </w:rPr>
        <w:t>In contemporary nursing settings c</w:t>
      </w:r>
      <w:r w:rsidR="006F314C" w:rsidRPr="00B66E62">
        <w:rPr>
          <w:rFonts w:ascii="Times New Roman" w:hAnsi="Times New Roman" w:cs="Times New Roman"/>
          <w:sz w:val="24"/>
          <w:szCs w:val="24"/>
        </w:rPr>
        <w:t xml:space="preserve">linical leadership </w:t>
      </w:r>
      <w:r w:rsidR="007020FA" w:rsidRPr="00B66E62">
        <w:rPr>
          <w:rFonts w:ascii="Times New Roman" w:hAnsi="Times New Roman" w:cs="Times New Roman"/>
          <w:sz w:val="24"/>
          <w:szCs w:val="24"/>
        </w:rPr>
        <w:t xml:space="preserve">behaviours </w:t>
      </w:r>
      <w:r w:rsidR="006F314C" w:rsidRPr="00B66E62">
        <w:rPr>
          <w:rFonts w:ascii="Times New Roman" w:hAnsi="Times New Roman" w:cs="Times New Roman"/>
          <w:sz w:val="24"/>
          <w:szCs w:val="24"/>
        </w:rPr>
        <w:t>are significant contributing factor</w:t>
      </w:r>
      <w:r w:rsidR="007020FA" w:rsidRPr="00B66E62">
        <w:rPr>
          <w:rFonts w:ascii="Times New Roman" w:hAnsi="Times New Roman" w:cs="Times New Roman"/>
          <w:sz w:val="24"/>
          <w:szCs w:val="24"/>
        </w:rPr>
        <w:t>s</w:t>
      </w:r>
      <w:r w:rsidR="006F314C" w:rsidRPr="00B66E62">
        <w:rPr>
          <w:rFonts w:ascii="Times New Roman" w:hAnsi="Times New Roman" w:cs="Times New Roman"/>
          <w:sz w:val="24"/>
          <w:szCs w:val="24"/>
        </w:rPr>
        <w:t xml:space="preserve"> in </w:t>
      </w:r>
      <w:r w:rsidR="007020FA" w:rsidRPr="00B66E62">
        <w:rPr>
          <w:rFonts w:ascii="Times New Roman" w:hAnsi="Times New Roman" w:cs="Times New Roman"/>
          <w:sz w:val="24"/>
          <w:szCs w:val="24"/>
        </w:rPr>
        <w:t xml:space="preserve">shaping how clinical </w:t>
      </w:r>
      <w:r w:rsidR="007E0F9D" w:rsidRPr="00B66E62">
        <w:rPr>
          <w:rFonts w:ascii="Times New Roman" w:hAnsi="Times New Roman" w:cs="Times New Roman"/>
          <w:sz w:val="24"/>
          <w:szCs w:val="24"/>
        </w:rPr>
        <w:t xml:space="preserve">care environments </w:t>
      </w:r>
      <w:r w:rsidR="007020FA" w:rsidRPr="00B66E62">
        <w:rPr>
          <w:rFonts w:ascii="Times New Roman" w:hAnsi="Times New Roman" w:cs="Times New Roman"/>
          <w:sz w:val="24"/>
          <w:szCs w:val="24"/>
        </w:rPr>
        <w:t>function (Mannix</w:t>
      </w:r>
      <w:r w:rsidR="00FA2170" w:rsidRPr="00B66E62">
        <w:rPr>
          <w:rFonts w:ascii="Times New Roman" w:hAnsi="Times New Roman" w:cs="Times New Roman"/>
          <w:sz w:val="24"/>
          <w:szCs w:val="24"/>
        </w:rPr>
        <w:t xml:space="preserve"> </w:t>
      </w:r>
      <w:r w:rsidR="00FA2170" w:rsidRPr="00B66E62">
        <w:rPr>
          <w:rFonts w:ascii="Times New Roman" w:hAnsi="Times New Roman" w:cs="Times New Roman"/>
          <w:i/>
          <w:sz w:val="24"/>
          <w:szCs w:val="24"/>
        </w:rPr>
        <w:t>et al</w:t>
      </w:r>
      <w:r w:rsidR="00FA2170" w:rsidRPr="00B66E62">
        <w:rPr>
          <w:rFonts w:ascii="Times New Roman" w:hAnsi="Times New Roman" w:cs="Times New Roman"/>
          <w:sz w:val="24"/>
          <w:szCs w:val="24"/>
        </w:rPr>
        <w:t xml:space="preserve">. </w:t>
      </w:r>
      <w:r w:rsidR="007020FA" w:rsidRPr="00B66E62">
        <w:rPr>
          <w:rFonts w:ascii="Times New Roman" w:hAnsi="Times New Roman" w:cs="Times New Roman"/>
          <w:sz w:val="24"/>
          <w:szCs w:val="24"/>
        </w:rPr>
        <w:t xml:space="preserve">2013), </w:t>
      </w:r>
      <w:r w:rsidR="00D90D9F" w:rsidRPr="00B66E62">
        <w:rPr>
          <w:rFonts w:ascii="Times New Roman" w:hAnsi="Times New Roman" w:cs="Times New Roman"/>
          <w:sz w:val="24"/>
          <w:szCs w:val="24"/>
        </w:rPr>
        <w:t>including</w:t>
      </w:r>
      <w:r w:rsidR="007020FA" w:rsidRPr="00B66E62">
        <w:rPr>
          <w:rFonts w:ascii="Times New Roman" w:hAnsi="Times New Roman" w:cs="Times New Roman"/>
          <w:sz w:val="24"/>
          <w:szCs w:val="24"/>
        </w:rPr>
        <w:t xml:space="preserve"> </w:t>
      </w:r>
      <w:r w:rsidR="006F314C" w:rsidRPr="00B66E62">
        <w:rPr>
          <w:rFonts w:ascii="Times New Roman" w:hAnsi="Times New Roman" w:cs="Times New Roman"/>
          <w:sz w:val="24"/>
          <w:szCs w:val="24"/>
        </w:rPr>
        <w:t>nurses’ decision</w:t>
      </w:r>
      <w:r w:rsidR="007020FA" w:rsidRPr="00B66E62">
        <w:rPr>
          <w:rFonts w:ascii="Times New Roman" w:hAnsi="Times New Roman" w:cs="Times New Roman"/>
          <w:sz w:val="24"/>
          <w:szCs w:val="24"/>
        </w:rPr>
        <w:t>s</w:t>
      </w:r>
      <w:r w:rsidR="006F314C" w:rsidRPr="00B66E62">
        <w:rPr>
          <w:rFonts w:ascii="Times New Roman" w:hAnsi="Times New Roman" w:cs="Times New Roman"/>
          <w:sz w:val="24"/>
          <w:szCs w:val="24"/>
        </w:rPr>
        <w:t xml:space="preserve"> to engage in safety voice behaviours</w:t>
      </w:r>
      <w:r w:rsidR="007020FA" w:rsidRPr="00B66E62">
        <w:rPr>
          <w:rFonts w:ascii="Times New Roman" w:hAnsi="Times New Roman" w:cs="Times New Roman"/>
          <w:sz w:val="24"/>
          <w:szCs w:val="24"/>
        </w:rPr>
        <w:t>. For student nurses practicing in clinical settings</w:t>
      </w:r>
      <w:r w:rsidR="008F35D3" w:rsidRPr="00B66E62">
        <w:rPr>
          <w:rFonts w:ascii="Times New Roman" w:hAnsi="Times New Roman" w:cs="Times New Roman"/>
          <w:sz w:val="24"/>
          <w:szCs w:val="24"/>
        </w:rPr>
        <w:t>,</w:t>
      </w:r>
      <w:r w:rsidR="007020FA" w:rsidRPr="00B66E62">
        <w:rPr>
          <w:rFonts w:ascii="Times New Roman" w:hAnsi="Times New Roman" w:cs="Times New Roman"/>
          <w:sz w:val="24"/>
          <w:szCs w:val="24"/>
        </w:rPr>
        <w:t xml:space="preserve"> clinical leaders </w:t>
      </w:r>
      <w:r w:rsidR="00D90D9F" w:rsidRPr="00B66E62">
        <w:rPr>
          <w:rFonts w:ascii="Times New Roman" w:hAnsi="Times New Roman" w:cs="Times New Roman"/>
          <w:sz w:val="24"/>
          <w:szCs w:val="24"/>
        </w:rPr>
        <w:t>are</w:t>
      </w:r>
      <w:r w:rsidR="007020FA" w:rsidRPr="00B66E62">
        <w:rPr>
          <w:rFonts w:ascii="Times New Roman" w:hAnsi="Times New Roman" w:cs="Times New Roman"/>
          <w:sz w:val="24"/>
          <w:szCs w:val="24"/>
        </w:rPr>
        <w:t xml:space="preserve"> those nurses functioning </w:t>
      </w:r>
      <w:r w:rsidR="00D90D9F" w:rsidRPr="00B66E62">
        <w:rPr>
          <w:rFonts w:ascii="Times New Roman" w:hAnsi="Times New Roman" w:cs="Times New Roman"/>
          <w:sz w:val="24"/>
          <w:szCs w:val="24"/>
        </w:rPr>
        <w:t>in supervisory roles during their placements, including nurses employed a</w:t>
      </w:r>
      <w:r w:rsidR="007020FA" w:rsidRPr="00B66E62">
        <w:rPr>
          <w:rFonts w:ascii="Times New Roman" w:hAnsi="Times New Roman" w:cs="Times New Roman"/>
          <w:sz w:val="24"/>
          <w:szCs w:val="24"/>
        </w:rPr>
        <w:t xml:space="preserve">s clinical </w:t>
      </w:r>
      <w:r w:rsidR="00526FBB" w:rsidRPr="00B66E62">
        <w:rPr>
          <w:rFonts w:ascii="Times New Roman" w:hAnsi="Times New Roman" w:cs="Times New Roman"/>
          <w:sz w:val="24"/>
          <w:szCs w:val="24"/>
        </w:rPr>
        <w:t>teachers/</w:t>
      </w:r>
      <w:r w:rsidR="00584B8B" w:rsidRPr="00B66E62">
        <w:rPr>
          <w:rFonts w:ascii="Times New Roman" w:hAnsi="Times New Roman" w:cs="Times New Roman"/>
          <w:sz w:val="24"/>
          <w:szCs w:val="24"/>
        </w:rPr>
        <w:t>preceptors</w:t>
      </w:r>
      <w:r w:rsidR="007020FA" w:rsidRPr="00B66E62">
        <w:rPr>
          <w:rFonts w:ascii="Times New Roman" w:hAnsi="Times New Roman" w:cs="Times New Roman"/>
          <w:sz w:val="24"/>
          <w:szCs w:val="24"/>
        </w:rPr>
        <w:t xml:space="preserve"> </w:t>
      </w:r>
      <w:r w:rsidR="00D90D9F" w:rsidRPr="00B66E62">
        <w:rPr>
          <w:rFonts w:ascii="Times New Roman" w:hAnsi="Times New Roman" w:cs="Times New Roman"/>
          <w:sz w:val="24"/>
          <w:szCs w:val="24"/>
        </w:rPr>
        <w:t>and practice staff functioning as mentors</w:t>
      </w:r>
      <w:r w:rsidR="006E257A" w:rsidRPr="00B66E62">
        <w:rPr>
          <w:rFonts w:ascii="Times New Roman" w:hAnsi="Times New Roman" w:cs="Times New Roman"/>
          <w:sz w:val="24"/>
          <w:szCs w:val="24"/>
        </w:rPr>
        <w:t xml:space="preserve"> (Jackson </w:t>
      </w:r>
      <w:r w:rsidR="006E257A" w:rsidRPr="00B66E62">
        <w:rPr>
          <w:rFonts w:ascii="Times New Roman" w:hAnsi="Times New Roman" w:cs="Times New Roman"/>
          <w:i/>
          <w:sz w:val="24"/>
          <w:szCs w:val="24"/>
        </w:rPr>
        <w:t>et. al.</w:t>
      </w:r>
      <w:r w:rsidR="006E257A" w:rsidRPr="00B66E62">
        <w:rPr>
          <w:rFonts w:ascii="Times New Roman" w:hAnsi="Times New Roman" w:cs="Times New Roman"/>
          <w:sz w:val="24"/>
          <w:szCs w:val="24"/>
        </w:rPr>
        <w:t xml:space="preserve"> 2011)</w:t>
      </w:r>
      <w:r w:rsidR="00D90D9F" w:rsidRPr="00B66E62">
        <w:rPr>
          <w:rFonts w:ascii="Times New Roman" w:hAnsi="Times New Roman" w:cs="Times New Roman"/>
          <w:sz w:val="24"/>
          <w:szCs w:val="24"/>
        </w:rPr>
        <w:t xml:space="preserve">. </w:t>
      </w:r>
      <w:r w:rsidR="00526FBB" w:rsidRPr="00B66E62">
        <w:rPr>
          <w:rFonts w:ascii="Times New Roman" w:hAnsi="Times New Roman" w:cs="Times New Roman"/>
          <w:sz w:val="24"/>
          <w:szCs w:val="24"/>
        </w:rPr>
        <w:t xml:space="preserve">Student nurses learn and model their nursing practice </w:t>
      </w:r>
      <w:r w:rsidR="00F70E5C" w:rsidRPr="00B66E62">
        <w:rPr>
          <w:rFonts w:ascii="Times New Roman" w:hAnsi="Times New Roman" w:cs="Times New Roman"/>
          <w:sz w:val="24"/>
          <w:szCs w:val="24"/>
        </w:rPr>
        <w:t>from</w:t>
      </w:r>
      <w:r w:rsidR="00526FBB" w:rsidRPr="00B66E62">
        <w:rPr>
          <w:rFonts w:ascii="Times New Roman" w:hAnsi="Times New Roman" w:cs="Times New Roman"/>
          <w:sz w:val="24"/>
          <w:szCs w:val="24"/>
        </w:rPr>
        <w:t xml:space="preserve"> these nurses (</w:t>
      </w:r>
      <w:r w:rsidR="00D90D9F" w:rsidRPr="00B66E62">
        <w:rPr>
          <w:rFonts w:ascii="Times New Roman" w:hAnsi="Times New Roman" w:cs="Times New Roman"/>
          <w:sz w:val="24"/>
          <w:szCs w:val="24"/>
        </w:rPr>
        <w:t>Steven</w:t>
      </w:r>
      <w:r w:rsidR="00FA2170" w:rsidRPr="00B66E62">
        <w:rPr>
          <w:rFonts w:ascii="Times New Roman" w:hAnsi="Times New Roman" w:cs="Times New Roman"/>
          <w:sz w:val="24"/>
          <w:szCs w:val="24"/>
        </w:rPr>
        <w:t xml:space="preserve"> </w:t>
      </w:r>
      <w:r w:rsidR="00FA2170" w:rsidRPr="00B66E62">
        <w:rPr>
          <w:rFonts w:ascii="Times New Roman" w:hAnsi="Times New Roman" w:cs="Times New Roman"/>
          <w:i/>
          <w:sz w:val="24"/>
          <w:szCs w:val="24"/>
        </w:rPr>
        <w:t>et al</w:t>
      </w:r>
      <w:r w:rsidR="00FA2170" w:rsidRPr="00B66E62">
        <w:rPr>
          <w:rFonts w:ascii="Times New Roman" w:hAnsi="Times New Roman" w:cs="Times New Roman"/>
          <w:sz w:val="24"/>
          <w:szCs w:val="24"/>
        </w:rPr>
        <w:t xml:space="preserve">. </w:t>
      </w:r>
      <w:r w:rsidR="00D90D9F" w:rsidRPr="00B66E62">
        <w:rPr>
          <w:rFonts w:ascii="Times New Roman" w:hAnsi="Times New Roman" w:cs="Times New Roman"/>
          <w:sz w:val="24"/>
          <w:szCs w:val="24"/>
        </w:rPr>
        <w:t>2014)</w:t>
      </w:r>
      <w:r w:rsidR="00526FBB" w:rsidRPr="00B66E62">
        <w:rPr>
          <w:rFonts w:ascii="Times New Roman" w:hAnsi="Times New Roman" w:cs="Times New Roman"/>
          <w:sz w:val="24"/>
          <w:szCs w:val="24"/>
        </w:rPr>
        <w:t xml:space="preserve">. </w:t>
      </w:r>
      <w:r w:rsidR="00C740F5" w:rsidRPr="00B66E62">
        <w:rPr>
          <w:rFonts w:ascii="Times New Roman" w:hAnsi="Times New Roman" w:cs="Times New Roman"/>
          <w:sz w:val="24"/>
          <w:szCs w:val="24"/>
        </w:rPr>
        <w:t xml:space="preserve">Findings from this </w:t>
      </w:r>
      <w:r w:rsidR="006E257A" w:rsidRPr="00B66E62">
        <w:rPr>
          <w:rFonts w:ascii="Times New Roman" w:hAnsi="Times New Roman" w:cs="Times New Roman"/>
          <w:sz w:val="24"/>
          <w:szCs w:val="24"/>
        </w:rPr>
        <w:t xml:space="preserve">current </w:t>
      </w:r>
      <w:r w:rsidR="00C740F5" w:rsidRPr="00B66E62">
        <w:rPr>
          <w:rFonts w:ascii="Times New Roman" w:hAnsi="Times New Roman" w:cs="Times New Roman"/>
          <w:sz w:val="24"/>
          <w:szCs w:val="24"/>
        </w:rPr>
        <w:t xml:space="preserve">study indicate that </w:t>
      </w:r>
      <w:r w:rsidR="00F00D52" w:rsidRPr="00B66E62">
        <w:rPr>
          <w:rFonts w:ascii="Times New Roman" w:hAnsi="Times New Roman" w:cs="Times New Roman"/>
          <w:sz w:val="24"/>
          <w:szCs w:val="24"/>
        </w:rPr>
        <w:t>it is important for</w:t>
      </w:r>
      <w:r w:rsidR="00C740F5" w:rsidRPr="00B66E62">
        <w:rPr>
          <w:rFonts w:ascii="Times New Roman" w:hAnsi="Times New Roman" w:cs="Times New Roman"/>
          <w:sz w:val="24"/>
          <w:szCs w:val="24"/>
        </w:rPr>
        <w:t xml:space="preserve"> universities to foster</w:t>
      </w:r>
      <w:r w:rsidR="00F00D52" w:rsidRPr="00B66E62">
        <w:rPr>
          <w:rFonts w:ascii="Times New Roman" w:hAnsi="Times New Roman" w:cs="Times New Roman"/>
          <w:sz w:val="24"/>
          <w:szCs w:val="24"/>
        </w:rPr>
        <w:t xml:space="preserve"> </w:t>
      </w:r>
      <w:r w:rsidR="00C740F5" w:rsidRPr="00B66E62">
        <w:rPr>
          <w:rFonts w:ascii="Times New Roman" w:hAnsi="Times New Roman" w:cs="Times New Roman"/>
          <w:sz w:val="24"/>
          <w:szCs w:val="24"/>
        </w:rPr>
        <w:t>role-modelling</w:t>
      </w:r>
      <w:r w:rsidR="00F00D52" w:rsidRPr="00B66E62">
        <w:rPr>
          <w:rFonts w:ascii="Times New Roman" w:hAnsi="Times New Roman" w:cs="Times New Roman"/>
          <w:sz w:val="24"/>
          <w:szCs w:val="24"/>
        </w:rPr>
        <w:t xml:space="preserve"> behaviours </w:t>
      </w:r>
      <w:r w:rsidR="00C740F5" w:rsidRPr="00B66E62">
        <w:rPr>
          <w:rFonts w:ascii="Times New Roman" w:hAnsi="Times New Roman" w:cs="Times New Roman"/>
          <w:sz w:val="24"/>
          <w:szCs w:val="24"/>
        </w:rPr>
        <w:t xml:space="preserve">in staff </w:t>
      </w:r>
      <w:r w:rsidR="00F00D52" w:rsidRPr="00B66E62">
        <w:rPr>
          <w:rFonts w:ascii="Times New Roman" w:hAnsi="Times New Roman" w:cs="Times New Roman"/>
          <w:sz w:val="24"/>
          <w:szCs w:val="24"/>
        </w:rPr>
        <w:t xml:space="preserve">that guide and encourage student nurses to raise concerns about patient safety. This requires clinical leaders </w:t>
      </w:r>
      <w:r w:rsidR="00F00D52" w:rsidRPr="00B66E62">
        <w:rPr>
          <w:rFonts w:ascii="Times New Roman" w:hAnsi="Times New Roman" w:cs="Times New Roman"/>
          <w:sz w:val="24"/>
          <w:szCs w:val="24"/>
        </w:rPr>
        <w:lastRenderedPageBreak/>
        <w:t xml:space="preserve">to provide moral support to students nurses (Curtis 2014), </w:t>
      </w:r>
      <w:r w:rsidR="00AF3F17" w:rsidRPr="00B66E62">
        <w:rPr>
          <w:rFonts w:ascii="Times New Roman" w:hAnsi="Times New Roman" w:cs="Times New Roman"/>
          <w:sz w:val="24"/>
          <w:szCs w:val="24"/>
        </w:rPr>
        <w:t>and</w:t>
      </w:r>
      <w:r w:rsidR="00F00D52" w:rsidRPr="00B66E62">
        <w:rPr>
          <w:rFonts w:ascii="Times New Roman" w:hAnsi="Times New Roman" w:cs="Times New Roman"/>
          <w:sz w:val="24"/>
          <w:szCs w:val="24"/>
        </w:rPr>
        <w:t xml:space="preserve"> </w:t>
      </w:r>
      <w:r w:rsidR="00AF3F17" w:rsidRPr="00B66E62">
        <w:rPr>
          <w:rFonts w:ascii="Times New Roman" w:hAnsi="Times New Roman" w:cs="Times New Roman"/>
          <w:sz w:val="24"/>
          <w:szCs w:val="24"/>
        </w:rPr>
        <w:t>practice</w:t>
      </w:r>
      <w:r w:rsidR="00526FBB" w:rsidRPr="00B66E62">
        <w:rPr>
          <w:rFonts w:ascii="Times New Roman" w:hAnsi="Times New Roman" w:cs="Times New Roman"/>
          <w:sz w:val="24"/>
          <w:szCs w:val="24"/>
        </w:rPr>
        <w:t xml:space="preserve"> </w:t>
      </w:r>
      <w:r w:rsidR="00F00D52" w:rsidRPr="00B66E62">
        <w:rPr>
          <w:rFonts w:ascii="Times New Roman" w:hAnsi="Times New Roman" w:cs="Times New Roman"/>
          <w:sz w:val="24"/>
          <w:szCs w:val="24"/>
        </w:rPr>
        <w:t xml:space="preserve">consistently </w:t>
      </w:r>
      <w:r w:rsidR="00526FBB" w:rsidRPr="00B66E62">
        <w:rPr>
          <w:rFonts w:ascii="Times New Roman" w:hAnsi="Times New Roman" w:cs="Times New Roman"/>
          <w:sz w:val="24"/>
          <w:szCs w:val="24"/>
        </w:rPr>
        <w:t xml:space="preserve">with a strong moral compass </w:t>
      </w:r>
      <w:r w:rsidR="00F00D52" w:rsidRPr="00B66E62">
        <w:rPr>
          <w:rFonts w:ascii="Times New Roman" w:hAnsi="Times New Roman" w:cs="Times New Roman"/>
          <w:sz w:val="24"/>
          <w:szCs w:val="24"/>
        </w:rPr>
        <w:t>(Mannix</w:t>
      </w:r>
      <w:r w:rsidR="00FA2170" w:rsidRPr="00B66E62">
        <w:rPr>
          <w:rFonts w:ascii="Times New Roman" w:hAnsi="Times New Roman" w:cs="Times New Roman"/>
          <w:sz w:val="24"/>
          <w:szCs w:val="24"/>
        </w:rPr>
        <w:t xml:space="preserve"> </w:t>
      </w:r>
      <w:r w:rsidR="00FA2170" w:rsidRPr="00B66E62">
        <w:rPr>
          <w:rFonts w:ascii="Times New Roman" w:hAnsi="Times New Roman" w:cs="Times New Roman"/>
          <w:i/>
          <w:sz w:val="24"/>
          <w:szCs w:val="24"/>
        </w:rPr>
        <w:t>et al</w:t>
      </w:r>
      <w:r w:rsidR="00FA2170" w:rsidRPr="00B66E62">
        <w:rPr>
          <w:rFonts w:ascii="Times New Roman" w:hAnsi="Times New Roman" w:cs="Times New Roman"/>
          <w:sz w:val="24"/>
          <w:szCs w:val="24"/>
        </w:rPr>
        <w:t xml:space="preserve">. </w:t>
      </w:r>
      <w:r w:rsidR="00F00D52" w:rsidRPr="00B66E62">
        <w:rPr>
          <w:rFonts w:ascii="Times New Roman" w:hAnsi="Times New Roman" w:cs="Times New Roman"/>
          <w:sz w:val="24"/>
          <w:szCs w:val="24"/>
        </w:rPr>
        <w:t>2015), both in the clinical setting and the classroom.</w:t>
      </w:r>
    </w:p>
    <w:p w14:paraId="36A9A66B" w14:textId="1A06778C" w:rsidR="00BB152C" w:rsidRPr="00B66E62" w:rsidRDefault="00184004" w:rsidP="00A55745">
      <w:pPr>
        <w:spacing w:line="480" w:lineRule="auto"/>
        <w:rPr>
          <w:rFonts w:ascii="Times New Roman" w:hAnsi="Times New Roman" w:cs="Times New Roman"/>
          <w:color w:val="000000"/>
          <w:sz w:val="24"/>
          <w:szCs w:val="24"/>
        </w:rPr>
      </w:pPr>
      <w:r w:rsidRPr="00B66E62">
        <w:rPr>
          <w:rFonts w:ascii="Times New Roman" w:hAnsi="Times New Roman" w:cs="Times New Roman"/>
          <w:color w:val="000000"/>
          <w:sz w:val="24"/>
          <w:szCs w:val="24"/>
        </w:rPr>
        <w:t>The greater proportion of s</w:t>
      </w:r>
      <w:r w:rsidR="00081CD3" w:rsidRPr="00B66E62">
        <w:rPr>
          <w:rFonts w:ascii="Times New Roman" w:hAnsi="Times New Roman" w:cs="Times New Roman"/>
          <w:color w:val="000000"/>
          <w:sz w:val="24"/>
          <w:szCs w:val="24"/>
        </w:rPr>
        <w:t xml:space="preserve">econd and third-year students in this study </w:t>
      </w:r>
      <w:r w:rsidR="00E87F3E" w:rsidRPr="00B66E62">
        <w:rPr>
          <w:rFonts w:ascii="Times New Roman" w:hAnsi="Times New Roman" w:cs="Times New Roman"/>
          <w:color w:val="000000"/>
          <w:sz w:val="24"/>
          <w:szCs w:val="24"/>
        </w:rPr>
        <w:t xml:space="preserve">who </w:t>
      </w:r>
      <w:r w:rsidR="00081CD3" w:rsidRPr="00B66E62">
        <w:rPr>
          <w:rFonts w:ascii="Times New Roman" w:hAnsi="Times New Roman" w:cs="Times New Roman"/>
          <w:color w:val="000000"/>
          <w:sz w:val="24"/>
          <w:szCs w:val="24"/>
        </w:rPr>
        <w:t>agree</w:t>
      </w:r>
      <w:r w:rsidR="00E57DDE" w:rsidRPr="00B66E62">
        <w:rPr>
          <w:rFonts w:ascii="Times New Roman" w:hAnsi="Times New Roman" w:cs="Times New Roman"/>
          <w:color w:val="000000"/>
          <w:sz w:val="24"/>
          <w:szCs w:val="24"/>
        </w:rPr>
        <w:t>d</w:t>
      </w:r>
      <w:r w:rsidR="00081CD3" w:rsidRPr="00B66E62">
        <w:rPr>
          <w:rFonts w:ascii="Times New Roman" w:hAnsi="Times New Roman" w:cs="Times New Roman"/>
          <w:color w:val="000000"/>
          <w:sz w:val="24"/>
          <w:szCs w:val="24"/>
        </w:rPr>
        <w:t xml:space="preserve"> that it is difficult to question the decisions or actions of those with more authority is consistent with previous research that reports </w:t>
      </w:r>
      <w:r w:rsidR="0007643B" w:rsidRPr="00B66E62">
        <w:rPr>
          <w:rFonts w:ascii="Times New Roman" w:hAnsi="Times New Roman" w:cs="Times New Roman"/>
          <w:color w:val="000000"/>
          <w:sz w:val="24"/>
          <w:szCs w:val="24"/>
        </w:rPr>
        <w:t>student nurses can lose their confidence to speak out for patient safety when in the clinical learning environment; which has been (at least partially) attributed to workplace cultures that are demeaning of nursing (Ginsburg</w:t>
      </w:r>
      <w:r w:rsidR="00451221" w:rsidRPr="00B66E62">
        <w:rPr>
          <w:rFonts w:ascii="Times New Roman" w:hAnsi="Times New Roman" w:cs="Times New Roman"/>
          <w:color w:val="000000"/>
          <w:sz w:val="24"/>
          <w:szCs w:val="24"/>
        </w:rPr>
        <w:t xml:space="preserve"> </w:t>
      </w:r>
      <w:r w:rsidR="00451221" w:rsidRPr="00B66E62">
        <w:rPr>
          <w:rFonts w:ascii="Times New Roman" w:hAnsi="Times New Roman" w:cs="Times New Roman"/>
          <w:i/>
          <w:color w:val="000000"/>
          <w:sz w:val="24"/>
          <w:szCs w:val="24"/>
        </w:rPr>
        <w:t>et al.</w:t>
      </w:r>
      <w:r w:rsidR="00451221" w:rsidRPr="00B66E62">
        <w:rPr>
          <w:rFonts w:ascii="Times New Roman" w:hAnsi="Times New Roman" w:cs="Times New Roman"/>
          <w:color w:val="000000"/>
          <w:sz w:val="24"/>
          <w:szCs w:val="24"/>
        </w:rPr>
        <w:t xml:space="preserve"> </w:t>
      </w:r>
      <w:r w:rsidR="0007643B" w:rsidRPr="00B66E62">
        <w:rPr>
          <w:rFonts w:ascii="Times New Roman" w:hAnsi="Times New Roman" w:cs="Times New Roman"/>
          <w:color w:val="000000"/>
          <w:sz w:val="24"/>
          <w:szCs w:val="24"/>
        </w:rPr>
        <w:t>201</w:t>
      </w:r>
      <w:r w:rsidR="0044376C" w:rsidRPr="00B66E62">
        <w:rPr>
          <w:rFonts w:ascii="Times New Roman" w:hAnsi="Times New Roman" w:cs="Times New Roman"/>
          <w:color w:val="000000"/>
          <w:sz w:val="24"/>
          <w:szCs w:val="24"/>
        </w:rPr>
        <w:t>3</w:t>
      </w:r>
      <w:r w:rsidR="0007643B" w:rsidRPr="00B66E62">
        <w:rPr>
          <w:rFonts w:ascii="Times New Roman" w:hAnsi="Times New Roman" w:cs="Times New Roman"/>
          <w:color w:val="000000"/>
          <w:sz w:val="24"/>
          <w:szCs w:val="24"/>
        </w:rPr>
        <w:t>).</w:t>
      </w:r>
      <w:r w:rsidR="00143623" w:rsidRPr="00B66E62">
        <w:rPr>
          <w:rFonts w:ascii="Times New Roman" w:hAnsi="Times New Roman" w:cs="Times New Roman"/>
          <w:sz w:val="24"/>
          <w:szCs w:val="24"/>
        </w:rPr>
        <w:t xml:space="preserve"> </w:t>
      </w:r>
    </w:p>
    <w:p w14:paraId="61B96535" w14:textId="426E7EA3" w:rsidR="008F35D3" w:rsidRPr="00B66E62" w:rsidRDefault="00943BA8" w:rsidP="00415C4A">
      <w:pPr>
        <w:widowControl w:val="0"/>
        <w:autoSpaceDE w:val="0"/>
        <w:autoSpaceDN w:val="0"/>
        <w:adjustRightInd w:val="0"/>
        <w:spacing w:after="120" w:line="480" w:lineRule="auto"/>
        <w:rPr>
          <w:rFonts w:ascii="Times New Roman" w:hAnsi="Times New Roman" w:cs="Times New Roman"/>
          <w:sz w:val="24"/>
          <w:szCs w:val="24"/>
        </w:rPr>
      </w:pPr>
      <w:r w:rsidRPr="00B66E62">
        <w:rPr>
          <w:rFonts w:ascii="Times New Roman" w:hAnsi="Times New Roman" w:cs="Times New Roman"/>
          <w:sz w:val="24"/>
          <w:szCs w:val="24"/>
        </w:rPr>
        <w:t xml:space="preserve">Effective </w:t>
      </w:r>
      <w:r w:rsidR="00D07DDA" w:rsidRPr="00B66E62">
        <w:rPr>
          <w:rFonts w:ascii="Times New Roman" w:hAnsi="Times New Roman" w:cs="Times New Roman"/>
          <w:sz w:val="24"/>
          <w:szCs w:val="24"/>
        </w:rPr>
        <w:t>teaching and learning</w:t>
      </w:r>
      <w:r w:rsidRPr="00B66E62">
        <w:rPr>
          <w:rFonts w:ascii="Times New Roman" w:hAnsi="Times New Roman" w:cs="Times New Roman"/>
          <w:sz w:val="24"/>
          <w:szCs w:val="24"/>
        </w:rPr>
        <w:t xml:space="preserve"> strategies</w:t>
      </w:r>
      <w:r w:rsidR="0007643B" w:rsidRPr="00B66E62">
        <w:rPr>
          <w:rFonts w:ascii="Times New Roman" w:hAnsi="Times New Roman" w:cs="Times New Roman"/>
          <w:sz w:val="24"/>
          <w:szCs w:val="24"/>
        </w:rPr>
        <w:t>,</w:t>
      </w:r>
      <w:r w:rsidRPr="00B66E62">
        <w:rPr>
          <w:rFonts w:ascii="Times New Roman" w:hAnsi="Times New Roman" w:cs="Times New Roman"/>
          <w:sz w:val="24"/>
          <w:szCs w:val="24"/>
        </w:rPr>
        <w:t xml:space="preserve"> </w:t>
      </w:r>
      <w:r w:rsidR="0007643B" w:rsidRPr="00B66E62">
        <w:rPr>
          <w:rFonts w:ascii="Times New Roman" w:hAnsi="Times New Roman" w:cs="Times New Roman"/>
          <w:sz w:val="24"/>
          <w:szCs w:val="24"/>
        </w:rPr>
        <w:t xml:space="preserve">that include steps to ensure nurses have the confidence to speak out, </w:t>
      </w:r>
      <w:r w:rsidRPr="00B66E62">
        <w:rPr>
          <w:rFonts w:ascii="Times New Roman" w:hAnsi="Times New Roman" w:cs="Times New Roman"/>
          <w:sz w:val="24"/>
          <w:szCs w:val="24"/>
        </w:rPr>
        <w:t xml:space="preserve">are necessary if we are to </w:t>
      </w:r>
      <w:r w:rsidR="007338A3" w:rsidRPr="00B66E62">
        <w:rPr>
          <w:rFonts w:ascii="Times New Roman" w:hAnsi="Times New Roman" w:cs="Times New Roman"/>
          <w:sz w:val="24"/>
          <w:szCs w:val="24"/>
        </w:rPr>
        <w:t>achieve</w:t>
      </w:r>
      <w:r w:rsidRPr="00B66E62">
        <w:rPr>
          <w:rFonts w:ascii="Times New Roman" w:hAnsi="Times New Roman" w:cs="Times New Roman"/>
          <w:sz w:val="24"/>
          <w:szCs w:val="24"/>
        </w:rPr>
        <w:t xml:space="preserve"> meaningful improvements in patient safety, and create harm</w:t>
      </w:r>
      <w:r w:rsidR="007338A3" w:rsidRPr="00B66E62">
        <w:rPr>
          <w:rFonts w:ascii="Times New Roman" w:hAnsi="Times New Roman" w:cs="Times New Roman"/>
          <w:sz w:val="24"/>
          <w:szCs w:val="24"/>
        </w:rPr>
        <w:t xml:space="preserve"> </w:t>
      </w:r>
      <w:r w:rsidRPr="00B66E62">
        <w:rPr>
          <w:rFonts w:ascii="Times New Roman" w:hAnsi="Times New Roman" w:cs="Times New Roman"/>
          <w:sz w:val="24"/>
          <w:szCs w:val="24"/>
        </w:rPr>
        <w:t>free environments for patients</w:t>
      </w:r>
      <w:r w:rsidR="00AE51F7" w:rsidRPr="00B66E62">
        <w:rPr>
          <w:rFonts w:ascii="Times New Roman" w:hAnsi="Times New Roman" w:cs="Times New Roman"/>
          <w:sz w:val="24"/>
          <w:szCs w:val="24"/>
        </w:rPr>
        <w:t xml:space="preserve"> (Faga</w:t>
      </w:r>
      <w:r w:rsidR="006E257A" w:rsidRPr="00B66E62">
        <w:rPr>
          <w:rFonts w:ascii="Times New Roman" w:hAnsi="Times New Roman" w:cs="Times New Roman"/>
          <w:sz w:val="24"/>
          <w:szCs w:val="24"/>
        </w:rPr>
        <w:t>n, Parker &amp; Jackson 2016)</w:t>
      </w:r>
      <w:r w:rsidRPr="00B66E62">
        <w:rPr>
          <w:rFonts w:ascii="Times New Roman" w:hAnsi="Times New Roman" w:cs="Times New Roman"/>
          <w:sz w:val="24"/>
          <w:szCs w:val="24"/>
        </w:rPr>
        <w:t xml:space="preserve">. </w:t>
      </w:r>
      <w:r w:rsidR="006659B6" w:rsidRPr="00B66E62">
        <w:rPr>
          <w:rFonts w:ascii="Times New Roman" w:hAnsi="Times New Roman" w:cs="Times New Roman"/>
          <w:sz w:val="24"/>
          <w:szCs w:val="24"/>
        </w:rPr>
        <w:t xml:space="preserve">However, there is little in the international literature that offers </w:t>
      </w:r>
      <w:r w:rsidR="00541FE6" w:rsidRPr="00B66E62">
        <w:rPr>
          <w:rFonts w:ascii="Times New Roman" w:hAnsi="Times New Roman" w:cs="Times New Roman"/>
          <w:sz w:val="24"/>
          <w:szCs w:val="24"/>
        </w:rPr>
        <w:t xml:space="preserve">concrete </w:t>
      </w:r>
      <w:r w:rsidR="006659B6" w:rsidRPr="00B66E62">
        <w:rPr>
          <w:rFonts w:ascii="Times New Roman" w:hAnsi="Times New Roman" w:cs="Times New Roman"/>
          <w:sz w:val="24"/>
          <w:szCs w:val="24"/>
        </w:rPr>
        <w:t>examples</w:t>
      </w:r>
      <w:r w:rsidR="005F4973" w:rsidRPr="00B66E62">
        <w:rPr>
          <w:rFonts w:ascii="Times New Roman" w:hAnsi="Times New Roman" w:cs="Times New Roman"/>
          <w:sz w:val="24"/>
          <w:szCs w:val="24"/>
        </w:rPr>
        <w:t xml:space="preserve"> to follow</w:t>
      </w:r>
      <w:r w:rsidR="006659B6" w:rsidRPr="00B66E62">
        <w:rPr>
          <w:rFonts w:ascii="Times New Roman" w:hAnsi="Times New Roman" w:cs="Times New Roman"/>
          <w:sz w:val="24"/>
          <w:szCs w:val="24"/>
        </w:rPr>
        <w:t xml:space="preserve">. Much like the current study, the majority of available research is evaluative. </w:t>
      </w:r>
      <w:r w:rsidR="006E257A" w:rsidRPr="00B66E62">
        <w:rPr>
          <w:rFonts w:ascii="Times New Roman" w:hAnsi="Times New Roman" w:cs="Times New Roman"/>
          <w:sz w:val="24"/>
          <w:szCs w:val="24"/>
        </w:rPr>
        <w:t>However, m</w:t>
      </w:r>
      <w:r w:rsidR="006659B6" w:rsidRPr="00B66E62">
        <w:rPr>
          <w:rFonts w:ascii="Times New Roman" w:hAnsi="Times New Roman" w:cs="Times New Roman"/>
          <w:sz w:val="24"/>
          <w:szCs w:val="24"/>
        </w:rPr>
        <w:t xml:space="preserve">any researchers do offer advice and recommendations for further research. In response to evaluating student confidence and competence </w:t>
      </w:r>
      <w:r w:rsidR="005F4973" w:rsidRPr="00B66E62">
        <w:rPr>
          <w:rFonts w:ascii="Times New Roman" w:hAnsi="Times New Roman" w:cs="Times New Roman"/>
          <w:sz w:val="24"/>
          <w:szCs w:val="24"/>
        </w:rPr>
        <w:t>in ensuring</w:t>
      </w:r>
      <w:r w:rsidR="006659B6" w:rsidRPr="00B66E62">
        <w:rPr>
          <w:rFonts w:ascii="Times New Roman" w:hAnsi="Times New Roman" w:cs="Times New Roman"/>
          <w:sz w:val="24"/>
          <w:szCs w:val="24"/>
        </w:rPr>
        <w:t xml:space="preserve"> patient safety, </w:t>
      </w:r>
      <w:r w:rsidR="00647D83" w:rsidRPr="00B66E62">
        <w:rPr>
          <w:rFonts w:ascii="Times New Roman" w:hAnsi="Times New Roman" w:cs="Times New Roman"/>
          <w:sz w:val="24"/>
          <w:szCs w:val="24"/>
        </w:rPr>
        <w:t xml:space="preserve">many </w:t>
      </w:r>
      <w:r w:rsidR="006659B6" w:rsidRPr="00B66E62">
        <w:rPr>
          <w:rFonts w:ascii="Times New Roman" w:hAnsi="Times New Roman" w:cs="Times New Roman"/>
          <w:sz w:val="24"/>
          <w:szCs w:val="24"/>
        </w:rPr>
        <w:t>studies call for a critical examination of curricula to ensure gaps in safety content are identified and rectified</w:t>
      </w:r>
      <w:r w:rsidR="006E257A" w:rsidRPr="00B66E62">
        <w:rPr>
          <w:rFonts w:ascii="Times New Roman" w:hAnsi="Times New Roman" w:cs="Times New Roman"/>
          <w:sz w:val="24"/>
          <w:szCs w:val="24"/>
        </w:rPr>
        <w:t>, and t</w:t>
      </w:r>
      <w:r w:rsidR="00541FE6" w:rsidRPr="00B66E62">
        <w:rPr>
          <w:rFonts w:ascii="Times New Roman" w:hAnsi="Times New Roman" w:cs="Times New Roman"/>
          <w:sz w:val="24"/>
          <w:szCs w:val="24"/>
        </w:rPr>
        <w:t xml:space="preserve">here is a call for core units on patient safety to be included and </w:t>
      </w:r>
      <w:r w:rsidR="000C523D" w:rsidRPr="00B66E62">
        <w:rPr>
          <w:rFonts w:ascii="Times New Roman" w:hAnsi="Times New Roman" w:cs="Times New Roman"/>
          <w:sz w:val="24"/>
          <w:szCs w:val="24"/>
        </w:rPr>
        <w:t>for</w:t>
      </w:r>
      <w:r w:rsidR="00541FE6" w:rsidRPr="00B66E62">
        <w:rPr>
          <w:rFonts w:ascii="Times New Roman" w:hAnsi="Times New Roman" w:cs="Times New Roman"/>
          <w:sz w:val="24"/>
          <w:szCs w:val="24"/>
        </w:rPr>
        <w:t xml:space="preserve"> students </w:t>
      </w:r>
      <w:r w:rsidR="000C523D" w:rsidRPr="00B66E62">
        <w:rPr>
          <w:rFonts w:ascii="Times New Roman" w:hAnsi="Times New Roman" w:cs="Times New Roman"/>
          <w:sz w:val="24"/>
          <w:szCs w:val="24"/>
        </w:rPr>
        <w:t xml:space="preserve">to </w:t>
      </w:r>
      <w:r w:rsidR="00541FE6" w:rsidRPr="00B66E62">
        <w:rPr>
          <w:rFonts w:ascii="Times New Roman" w:hAnsi="Times New Roman" w:cs="Times New Roman"/>
          <w:sz w:val="24"/>
          <w:szCs w:val="24"/>
        </w:rPr>
        <w:t xml:space="preserve">be offered </w:t>
      </w:r>
      <w:r w:rsidR="005127AB" w:rsidRPr="00B66E62">
        <w:rPr>
          <w:rFonts w:ascii="Times New Roman" w:hAnsi="Times New Roman" w:cs="Times New Roman"/>
          <w:sz w:val="24"/>
          <w:szCs w:val="24"/>
        </w:rPr>
        <w:t xml:space="preserve">assessment </w:t>
      </w:r>
      <w:r w:rsidR="00541FE6" w:rsidRPr="00B66E62">
        <w:rPr>
          <w:rFonts w:ascii="Times New Roman" w:hAnsi="Times New Roman" w:cs="Times New Roman"/>
          <w:sz w:val="24"/>
          <w:szCs w:val="24"/>
        </w:rPr>
        <w:t>opportunities to demonstrate confidence and competence (</w:t>
      </w:r>
      <w:r w:rsidR="00D51D3B" w:rsidRPr="00B66E62">
        <w:rPr>
          <w:rFonts w:ascii="Times New Roman" w:hAnsi="Times New Roman" w:cs="Times New Roman"/>
          <w:sz w:val="24"/>
          <w:szCs w:val="24"/>
        </w:rPr>
        <w:t>Mansour 2013</w:t>
      </w:r>
      <w:r w:rsidR="00FA2170" w:rsidRPr="00B66E62">
        <w:rPr>
          <w:rFonts w:ascii="Times New Roman" w:hAnsi="Times New Roman" w:cs="Times New Roman"/>
          <w:sz w:val="24"/>
          <w:szCs w:val="24"/>
        </w:rPr>
        <w:t>,</w:t>
      </w:r>
      <w:r w:rsidR="00D51D3B" w:rsidRPr="00B66E62">
        <w:rPr>
          <w:rFonts w:ascii="Times New Roman" w:hAnsi="Times New Roman" w:cs="Times New Roman"/>
          <w:sz w:val="24"/>
          <w:szCs w:val="24"/>
        </w:rPr>
        <w:t xml:space="preserve"> </w:t>
      </w:r>
      <w:r w:rsidR="006659B6" w:rsidRPr="00B66E62">
        <w:rPr>
          <w:rFonts w:ascii="Times New Roman" w:hAnsi="Times New Roman" w:cs="Times New Roman"/>
          <w:sz w:val="24"/>
          <w:szCs w:val="24"/>
        </w:rPr>
        <w:t xml:space="preserve">Tregunno </w:t>
      </w:r>
      <w:r w:rsidR="006659B6" w:rsidRPr="00B66E62">
        <w:rPr>
          <w:rFonts w:ascii="Times New Roman" w:hAnsi="Times New Roman" w:cs="Times New Roman"/>
          <w:i/>
          <w:sz w:val="24"/>
          <w:szCs w:val="24"/>
        </w:rPr>
        <w:t>et al</w:t>
      </w:r>
      <w:r w:rsidR="006659B6" w:rsidRPr="00B66E62">
        <w:rPr>
          <w:rFonts w:ascii="Times New Roman" w:hAnsi="Times New Roman" w:cs="Times New Roman"/>
          <w:sz w:val="24"/>
          <w:szCs w:val="24"/>
        </w:rPr>
        <w:t>. 2014</w:t>
      </w:r>
      <w:r w:rsidR="00FA2170" w:rsidRPr="00B66E62">
        <w:rPr>
          <w:rFonts w:ascii="Times New Roman" w:hAnsi="Times New Roman" w:cs="Times New Roman"/>
          <w:sz w:val="24"/>
          <w:szCs w:val="24"/>
        </w:rPr>
        <w:t>,</w:t>
      </w:r>
      <w:r w:rsidR="006659B6" w:rsidRPr="00B66E62">
        <w:rPr>
          <w:rFonts w:ascii="Times New Roman" w:hAnsi="Times New Roman" w:cs="Times New Roman"/>
          <w:color w:val="000000"/>
          <w:sz w:val="24"/>
          <w:szCs w:val="24"/>
        </w:rPr>
        <w:t xml:space="preserve"> </w:t>
      </w:r>
      <w:r w:rsidR="005955B1" w:rsidRPr="00B66E62">
        <w:rPr>
          <w:rFonts w:ascii="Times New Roman" w:hAnsi="Times New Roman" w:cs="Times New Roman"/>
          <w:sz w:val="24"/>
          <w:szCs w:val="24"/>
        </w:rPr>
        <w:t xml:space="preserve">Lukewich </w:t>
      </w:r>
      <w:r w:rsidR="005955B1" w:rsidRPr="00B66E62">
        <w:rPr>
          <w:rFonts w:ascii="Times New Roman" w:hAnsi="Times New Roman" w:cs="Times New Roman"/>
          <w:i/>
          <w:sz w:val="24"/>
          <w:szCs w:val="24"/>
        </w:rPr>
        <w:t>et al</w:t>
      </w:r>
      <w:r w:rsidR="005955B1" w:rsidRPr="00B66E62">
        <w:rPr>
          <w:rFonts w:ascii="Times New Roman" w:hAnsi="Times New Roman" w:cs="Times New Roman"/>
          <w:sz w:val="24"/>
          <w:szCs w:val="24"/>
        </w:rPr>
        <w:t xml:space="preserve">. 2015, </w:t>
      </w:r>
      <w:r w:rsidR="006659B6" w:rsidRPr="00B66E62">
        <w:rPr>
          <w:rFonts w:ascii="Times New Roman" w:hAnsi="Times New Roman" w:cs="Times New Roman"/>
          <w:color w:val="000000"/>
          <w:sz w:val="24"/>
          <w:szCs w:val="24"/>
        </w:rPr>
        <w:t>Weatherford &amp; Viveiros 2015</w:t>
      </w:r>
      <w:r w:rsidR="006659B6" w:rsidRPr="00B66E62">
        <w:rPr>
          <w:rFonts w:ascii="Times New Roman" w:hAnsi="Times New Roman" w:cs="Times New Roman"/>
          <w:sz w:val="24"/>
          <w:szCs w:val="24"/>
        </w:rPr>
        <w:t>).</w:t>
      </w:r>
      <w:r w:rsidR="00177F9A" w:rsidRPr="00B66E62">
        <w:rPr>
          <w:rFonts w:ascii="Times New Roman" w:hAnsi="Times New Roman" w:cs="Times New Roman"/>
          <w:sz w:val="24"/>
          <w:szCs w:val="24"/>
        </w:rPr>
        <w:t xml:space="preserve"> </w:t>
      </w:r>
      <w:r w:rsidR="006B46F5" w:rsidRPr="00B66E62">
        <w:rPr>
          <w:rFonts w:ascii="Times New Roman" w:hAnsi="Times New Roman" w:cs="Times New Roman"/>
          <w:sz w:val="24"/>
          <w:szCs w:val="24"/>
        </w:rPr>
        <w:t xml:space="preserve">Tregunno </w:t>
      </w:r>
      <w:r w:rsidR="006B46F5" w:rsidRPr="00B66E62">
        <w:rPr>
          <w:rFonts w:ascii="Times New Roman" w:hAnsi="Times New Roman" w:cs="Times New Roman"/>
          <w:i/>
          <w:sz w:val="24"/>
          <w:szCs w:val="24"/>
        </w:rPr>
        <w:t>et al</w:t>
      </w:r>
      <w:r w:rsidR="006B46F5" w:rsidRPr="00B66E62">
        <w:rPr>
          <w:rFonts w:ascii="Times New Roman" w:hAnsi="Times New Roman" w:cs="Times New Roman"/>
          <w:sz w:val="24"/>
          <w:szCs w:val="24"/>
        </w:rPr>
        <w:t xml:space="preserve">. (2014) identified that faculty may not have the knowledge required to integrate a sustained patient safety focus. Their recommendations included </w:t>
      </w:r>
      <w:r w:rsidR="005F4973" w:rsidRPr="00B66E62">
        <w:rPr>
          <w:rFonts w:ascii="Times New Roman" w:hAnsi="Times New Roman" w:cs="Times New Roman"/>
          <w:sz w:val="24"/>
          <w:szCs w:val="24"/>
        </w:rPr>
        <w:t>viewing</w:t>
      </w:r>
      <w:r w:rsidR="006B46F5" w:rsidRPr="00B66E62">
        <w:rPr>
          <w:rFonts w:ascii="Times New Roman" w:hAnsi="Times New Roman" w:cs="Times New Roman"/>
          <w:sz w:val="24"/>
          <w:szCs w:val="24"/>
        </w:rPr>
        <w:t xml:space="preserve"> current curricula to find appropriate places to embed patient safety content and planning </w:t>
      </w:r>
      <w:r w:rsidR="005F4973" w:rsidRPr="00B66E62">
        <w:rPr>
          <w:rFonts w:ascii="Times New Roman" w:hAnsi="Times New Roman" w:cs="Times New Roman"/>
          <w:sz w:val="24"/>
          <w:szCs w:val="24"/>
        </w:rPr>
        <w:t xml:space="preserve">to implement </w:t>
      </w:r>
      <w:r w:rsidR="006B46F5" w:rsidRPr="00B66E62">
        <w:rPr>
          <w:rFonts w:ascii="Times New Roman" w:hAnsi="Times New Roman" w:cs="Times New Roman"/>
          <w:sz w:val="24"/>
          <w:szCs w:val="24"/>
        </w:rPr>
        <w:t>units of study dedicated to a patient safety agenda in future curricula; incorporating assessment of patient safety competencies; the development of entry to practice patient safety competency standards; and, having a faculty member to act as a curricula champion to embed patient safety content.</w:t>
      </w:r>
      <w:r w:rsidR="00177F9A" w:rsidRPr="00B66E62">
        <w:rPr>
          <w:rFonts w:ascii="Times New Roman" w:hAnsi="Times New Roman" w:cs="Times New Roman"/>
          <w:sz w:val="24"/>
          <w:szCs w:val="24"/>
        </w:rPr>
        <w:t xml:space="preserve"> </w:t>
      </w:r>
    </w:p>
    <w:p w14:paraId="0C159E55" w14:textId="77777777" w:rsidR="004F50CB" w:rsidRPr="00B66E62" w:rsidRDefault="004F50CB" w:rsidP="00A55745">
      <w:pPr>
        <w:spacing w:line="480" w:lineRule="auto"/>
        <w:rPr>
          <w:rFonts w:ascii="Times New Roman" w:hAnsi="Times New Roman" w:cs="Times New Roman"/>
          <w:b/>
          <w:sz w:val="24"/>
          <w:szCs w:val="24"/>
        </w:rPr>
      </w:pPr>
    </w:p>
    <w:p w14:paraId="3467EC4F" w14:textId="77777777" w:rsidR="007338A3" w:rsidRPr="00B66E62" w:rsidRDefault="007338A3"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Limitations</w:t>
      </w:r>
    </w:p>
    <w:p w14:paraId="663D40DB" w14:textId="13467B64" w:rsidR="00593BE0" w:rsidRPr="00B66E62" w:rsidRDefault="003F63FE" w:rsidP="00A55745">
      <w:pPr>
        <w:autoSpaceDE w:val="0"/>
        <w:autoSpaceDN w:val="0"/>
        <w:adjustRightInd w:val="0"/>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This study has several limitations worth noting. </w:t>
      </w:r>
      <w:r w:rsidR="00D07DDA" w:rsidRPr="00B66E62">
        <w:rPr>
          <w:rFonts w:ascii="Times New Roman" w:hAnsi="Times New Roman" w:cs="Times New Roman"/>
          <w:sz w:val="24"/>
          <w:szCs w:val="24"/>
        </w:rPr>
        <w:t>Selection bias is a</w:t>
      </w:r>
      <w:r w:rsidR="009527DC" w:rsidRPr="00B66E62">
        <w:rPr>
          <w:rFonts w:ascii="Times New Roman" w:hAnsi="Times New Roman" w:cs="Times New Roman"/>
          <w:sz w:val="24"/>
          <w:szCs w:val="24"/>
        </w:rPr>
        <w:t xml:space="preserve"> limitation of </w:t>
      </w:r>
      <w:r w:rsidR="00D07DDA" w:rsidRPr="00B66E62">
        <w:rPr>
          <w:rFonts w:ascii="Times New Roman" w:hAnsi="Times New Roman" w:cs="Times New Roman"/>
          <w:sz w:val="24"/>
          <w:szCs w:val="24"/>
        </w:rPr>
        <w:t>cross sectional studies as probability sampling is seldom used (Bü</w:t>
      </w:r>
      <w:r w:rsidR="0044376C" w:rsidRPr="00B66E62">
        <w:rPr>
          <w:rFonts w:ascii="Times New Roman" w:hAnsi="Times New Roman" w:cs="Times New Roman"/>
          <w:sz w:val="24"/>
          <w:szCs w:val="24"/>
        </w:rPr>
        <w:t>e</w:t>
      </w:r>
      <w:r w:rsidR="00D07DDA" w:rsidRPr="00B66E62">
        <w:rPr>
          <w:rFonts w:ascii="Times New Roman" w:hAnsi="Times New Roman" w:cs="Times New Roman"/>
          <w:sz w:val="24"/>
          <w:szCs w:val="24"/>
        </w:rPr>
        <w:t xml:space="preserve">ttner &amp; Muller 2011). </w:t>
      </w:r>
      <w:r w:rsidR="00BA4429" w:rsidRPr="00B66E62">
        <w:rPr>
          <w:rFonts w:ascii="Times New Roman" w:hAnsi="Times New Roman" w:cs="Times New Roman"/>
          <w:sz w:val="24"/>
          <w:szCs w:val="24"/>
        </w:rPr>
        <w:t xml:space="preserve">While we recruited participants from </w:t>
      </w:r>
      <w:r w:rsidR="00077B6F" w:rsidRPr="00B66E62">
        <w:rPr>
          <w:rFonts w:ascii="Times New Roman" w:hAnsi="Times New Roman" w:cs="Times New Roman"/>
          <w:sz w:val="24"/>
          <w:szCs w:val="24"/>
        </w:rPr>
        <w:t xml:space="preserve">seven </w:t>
      </w:r>
      <w:r w:rsidR="00BA4429" w:rsidRPr="00B66E62">
        <w:rPr>
          <w:rFonts w:ascii="Times New Roman" w:hAnsi="Times New Roman" w:cs="Times New Roman"/>
          <w:sz w:val="24"/>
          <w:szCs w:val="24"/>
        </w:rPr>
        <w:t xml:space="preserve">universities, the response rate was low, which has implications for the </w:t>
      </w:r>
      <w:r w:rsidR="00C5079D" w:rsidRPr="00B66E62">
        <w:rPr>
          <w:rFonts w:ascii="Times New Roman" w:hAnsi="Times New Roman" w:cs="Times New Roman"/>
          <w:sz w:val="24"/>
          <w:szCs w:val="24"/>
        </w:rPr>
        <w:t xml:space="preserve">representativeness of the sample and </w:t>
      </w:r>
      <w:r w:rsidR="00BA4429" w:rsidRPr="00B66E62">
        <w:rPr>
          <w:rFonts w:ascii="Times New Roman" w:hAnsi="Times New Roman" w:cs="Times New Roman"/>
          <w:sz w:val="24"/>
          <w:szCs w:val="24"/>
        </w:rPr>
        <w:t>generalizability of the findings. Web surveys are notorious for low response rates, but never the less, the sample size was large</w:t>
      </w:r>
      <w:r w:rsidR="00DD68CA" w:rsidRPr="00B66E62">
        <w:rPr>
          <w:rFonts w:ascii="Times New Roman" w:hAnsi="Times New Roman" w:cs="Times New Roman"/>
          <w:sz w:val="24"/>
          <w:szCs w:val="24"/>
        </w:rPr>
        <w:t xml:space="preserve"> and statistically robust</w:t>
      </w:r>
      <w:r w:rsidR="00BA4429" w:rsidRPr="00B66E62">
        <w:rPr>
          <w:rFonts w:ascii="Times New Roman" w:hAnsi="Times New Roman" w:cs="Times New Roman"/>
          <w:sz w:val="24"/>
          <w:szCs w:val="24"/>
        </w:rPr>
        <w:t xml:space="preserve">. </w:t>
      </w:r>
      <w:r w:rsidRPr="00B66E62">
        <w:rPr>
          <w:rFonts w:ascii="Times New Roman" w:hAnsi="Times New Roman" w:cs="Times New Roman"/>
          <w:sz w:val="24"/>
          <w:szCs w:val="24"/>
        </w:rPr>
        <w:t>However, non-response is a particular problem affecting cross-sectional studies and can result in bias of the measures of outcomes when the characteristics of non-responders differ from responders</w:t>
      </w:r>
      <w:r w:rsidRPr="00B66E62">
        <w:t>.</w:t>
      </w:r>
      <w:r w:rsidRPr="00B66E62">
        <w:rPr>
          <w:rFonts w:ascii="Times New Roman" w:hAnsi="Times New Roman" w:cs="Times New Roman"/>
          <w:sz w:val="24"/>
          <w:szCs w:val="24"/>
        </w:rPr>
        <w:t xml:space="preserve"> </w:t>
      </w:r>
      <w:r w:rsidR="009527DC" w:rsidRPr="00B66E62">
        <w:rPr>
          <w:rFonts w:ascii="Times New Roman" w:hAnsi="Times New Roman" w:cs="Times New Roman"/>
          <w:sz w:val="24"/>
          <w:szCs w:val="24"/>
        </w:rPr>
        <w:t>Further, as the study incorporated self-report measure</w:t>
      </w:r>
      <w:r w:rsidRPr="00B66E62">
        <w:rPr>
          <w:rFonts w:ascii="Times New Roman" w:hAnsi="Times New Roman" w:cs="Times New Roman"/>
          <w:sz w:val="24"/>
          <w:szCs w:val="24"/>
        </w:rPr>
        <w:t>s</w:t>
      </w:r>
      <w:r w:rsidR="009527DC" w:rsidRPr="00B66E62">
        <w:rPr>
          <w:rFonts w:ascii="Times New Roman" w:hAnsi="Times New Roman" w:cs="Times New Roman"/>
          <w:sz w:val="24"/>
          <w:szCs w:val="24"/>
        </w:rPr>
        <w:t xml:space="preserve"> the issue of social desirability may have affected the results. Social desirability may have resulted in patient safety </w:t>
      </w:r>
      <w:r w:rsidR="00422EDC" w:rsidRPr="00B66E62">
        <w:rPr>
          <w:rFonts w:ascii="Times New Roman" w:hAnsi="Times New Roman" w:cs="Times New Roman"/>
          <w:sz w:val="24"/>
          <w:szCs w:val="24"/>
        </w:rPr>
        <w:t>knowledge and co</w:t>
      </w:r>
      <w:r w:rsidRPr="00B66E62">
        <w:rPr>
          <w:rFonts w:ascii="Times New Roman" w:hAnsi="Times New Roman" w:cs="Times New Roman"/>
          <w:sz w:val="24"/>
          <w:szCs w:val="24"/>
        </w:rPr>
        <w:t>nfidence</w:t>
      </w:r>
      <w:r w:rsidR="00422EDC" w:rsidRPr="00B66E62">
        <w:rPr>
          <w:rFonts w:ascii="Times New Roman" w:hAnsi="Times New Roman" w:cs="Times New Roman"/>
          <w:sz w:val="24"/>
          <w:szCs w:val="24"/>
        </w:rPr>
        <w:t xml:space="preserve"> </w:t>
      </w:r>
      <w:r w:rsidR="009527DC" w:rsidRPr="00B66E62">
        <w:rPr>
          <w:rFonts w:ascii="Times New Roman" w:hAnsi="Times New Roman" w:cs="Times New Roman"/>
          <w:sz w:val="24"/>
          <w:szCs w:val="24"/>
        </w:rPr>
        <w:t xml:space="preserve">being under or over reported by the responders. </w:t>
      </w:r>
      <w:r w:rsidR="00593BE0" w:rsidRPr="00B66E62">
        <w:rPr>
          <w:rFonts w:ascii="Times New Roman" w:hAnsi="Times New Roman" w:cs="Times New Roman"/>
          <w:sz w:val="24"/>
          <w:szCs w:val="24"/>
        </w:rPr>
        <w:t>Being a cross-sectional study, students from different academic years were compared. Future research should study a single cohort progressing from first to third academic year to confirm, or not, the findings from this study. These limitations should be addressed in fu</w:t>
      </w:r>
      <w:r w:rsidR="004C4DE4" w:rsidRPr="00B66E62">
        <w:rPr>
          <w:rFonts w:ascii="Times New Roman" w:hAnsi="Times New Roman" w:cs="Times New Roman"/>
          <w:sz w:val="24"/>
          <w:szCs w:val="24"/>
        </w:rPr>
        <w:t>ture</w:t>
      </w:r>
      <w:r w:rsidR="00593BE0" w:rsidRPr="00B66E62">
        <w:rPr>
          <w:rFonts w:ascii="Times New Roman" w:hAnsi="Times New Roman" w:cs="Times New Roman"/>
          <w:sz w:val="24"/>
          <w:szCs w:val="24"/>
        </w:rPr>
        <w:t xml:space="preserve"> research.</w:t>
      </w:r>
      <w:r w:rsidR="004C4DE4" w:rsidRPr="00B66E62">
        <w:rPr>
          <w:rFonts w:ascii="Times New Roman" w:hAnsi="Times New Roman" w:cs="Times New Roman"/>
          <w:sz w:val="24"/>
          <w:szCs w:val="24"/>
        </w:rPr>
        <w:t xml:space="preserve"> </w:t>
      </w:r>
    </w:p>
    <w:p w14:paraId="46BD883B" w14:textId="77777777" w:rsidR="00593BE0" w:rsidRPr="00B66E62" w:rsidRDefault="00593BE0" w:rsidP="00A55745">
      <w:pPr>
        <w:spacing w:line="480" w:lineRule="auto"/>
        <w:rPr>
          <w:rFonts w:ascii="Times New Roman" w:hAnsi="Times New Roman" w:cs="Times New Roman"/>
          <w:b/>
          <w:sz w:val="24"/>
          <w:szCs w:val="24"/>
        </w:rPr>
      </w:pPr>
    </w:p>
    <w:p w14:paraId="33044ECA" w14:textId="77777777" w:rsidR="005649BE" w:rsidRPr="00B66E62" w:rsidRDefault="007E2A32"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Conclusions</w:t>
      </w:r>
    </w:p>
    <w:p w14:paraId="3BB2B0B8" w14:textId="39519121" w:rsidR="00401B14" w:rsidRPr="00B66E62" w:rsidRDefault="00401B14" w:rsidP="00401B14">
      <w:pPr>
        <w:spacing w:line="480" w:lineRule="auto"/>
        <w:rPr>
          <w:rFonts w:ascii="Times New Roman" w:hAnsi="Times New Roman" w:cs="Times New Roman"/>
          <w:sz w:val="24"/>
          <w:szCs w:val="24"/>
        </w:rPr>
      </w:pPr>
      <w:r w:rsidRPr="00B66E62">
        <w:rPr>
          <w:rFonts w:ascii="Times New Roman" w:hAnsi="Times New Roman" w:cs="Times New Roman"/>
          <w:sz w:val="24"/>
          <w:szCs w:val="24"/>
        </w:rPr>
        <w:t>Patient safety voice develops and strengthens over nursing students’ course of study and clinical placements</w:t>
      </w:r>
      <w:r w:rsidR="00AE60F3" w:rsidRPr="00B66E62">
        <w:rPr>
          <w:rFonts w:ascii="Times New Roman" w:hAnsi="Times New Roman" w:cs="Times New Roman"/>
          <w:sz w:val="24"/>
          <w:szCs w:val="24"/>
        </w:rPr>
        <w:t>, however</w:t>
      </w:r>
      <w:r w:rsidRPr="00B66E62">
        <w:rPr>
          <w:rFonts w:ascii="Times New Roman" w:hAnsi="Times New Roman" w:cs="Times New Roman"/>
          <w:sz w:val="24"/>
          <w:szCs w:val="24"/>
        </w:rPr>
        <w:t xml:space="preserve"> it is concerning that a large proportion of students </w:t>
      </w:r>
      <w:r w:rsidR="00AE60F3" w:rsidRPr="00B66E62">
        <w:rPr>
          <w:rFonts w:ascii="Times New Roman" w:hAnsi="Times New Roman" w:cs="Times New Roman"/>
          <w:sz w:val="24"/>
          <w:szCs w:val="24"/>
        </w:rPr>
        <w:t xml:space="preserve">express difficulty in questioning the decisions or actions of those in authority positions and concerns about disciplinary action if errors are made. </w:t>
      </w:r>
      <w:r w:rsidRPr="00B66E62">
        <w:rPr>
          <w:rFonts w:ascii="Times New Roman" w:hAnsi="Times New Roman" w:cs="Times New Roman"/>
          <w:sz w:val="24"/>
          <w:szCs w:val="24"/>
        </w:rPr>
        <w:t xml:space="preserve">The integration of patient safety into nursing curricula and resulting teaching and learning strategies to facilitate student knowledge and competence is still in its infancy. Recommendations from this study include making patient </w:t>
      </w:r>
      <w:r w:rsidRPr="00B66E62">
        <w:rPr>
          <w:rFonts w:ascii="Times New Roman" w:hAnsi="Times New Roman" w:cs="Times New Roman"/>
          <w:sz w:val="24"/>
          <w:szCs w:val="24"/>
        </w:rPr>
        <w:lastRenderedPageBreak/>
        <w:t>safety the keystone of undergraduate nursing curriculum development in both classroom and clinical settings. This focus also needs to sustain through into graduate nurse programs, with a particular emphasis on effectively deploying high-level interprofessional communication skills.</w:t>
      </w:r>
    </w:p>
    <w:p w14:paraId="0B597206" w14:textId="77777777" w:rsidR="00C65BD2" w:rsidRPr="00B66E62" w:rsidRDefault="00C65BD2" w:rsidP="00A55745">
      <w:pPr>
        <w:spacing w:line="480" w:lineRule="auto"/>
        <w:rPr>
          <w:rFonts w:ascii="Times New Roman" w:hAnsi="Times New Roman" w:cs="Times New Roman"/>
          <w:sz w:val="24"/>
          <w:szCs w:val="24"/>
        </w:rPr>
      </w:pPr>
    </w:p>
    <w:p w14:paraId="6EFC0316" w14:textId="0A749DC1" w:rsidR="00982E9A" w:rsidRPr="00B66E62" w:rsidRDefault="003C71E2" w:rsidP="00A55745">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t>Recommendations</w:t>
      </w:r>
    </w:p>
    <w:p w14:paraId="789CD555" w14:textId="77777777" w:rsidR="00B973AC" w:rsidRPr="00B66E62" w:rsidRDefault="00943BA8" w:rsidP="00E21C77">
      <w:pPr>
        <w:spacing w:line="480" w:lineRule="auto"/>
        <w:rPr>
          <w:rFonts w:ascii="Times New Roman" w:hAnsi="Times New Roman" w:cs="Times New Roman"/>
          <w:sz w:val="24"/>
          <w:szCs w:val="24"/>
        </w:rPr>
      </w:pPr>
      <w:r w:rsidRPr="00B66E62">
        <w:rPr>
          <w:rFonts w:ascii="Times New Roman" w:hAnsi="Times New Roman" w:cs="Times New Roman"/>
          <w:sz w:val="24"/>
          <w:szCs w:val="24"/>
        </w:rPr>
        <w:t>Nurse educato</w:t>
      </w:r>
      <w:r w:rsidR="00D71F99" w:rsidRPr="00B66E62">
        <w:rPr>
          <w:rFonts w:ascii="Times New Roman" w:hAnsi="Times New Roman" w:cs="Times New Roman"/>
          <w:sz w:val="24"/>
          <w:szCs w:val="24"/>
        </w:rPr>
        <w:t>rs</w:t>
      </w:r>
      <w:r w:rsidRPr="00B66E62">
        <w:rPr>
          <w:rFonts w:ascii="Times New Roman" w:hAnsi="Times New Roman" w:cs="Times New Roman"/>
          <w:sz w:val="24"/>
          <w:szCs w:val="24"/>
        </w:rPr>
        <w:t xml:space="preserve"> </w:t>
      </w:r>
      <w:r w:rsidR="008548C9" w:rsidRPr="00B66E62">
        <w:rPr>
          <w:rFonts w:ascii="Times New Roman" w:hAnsi="Times New Roman" w:cs="Times New Roman"/>
          <w:sz w:val="24"/>
          <w:szCs w:val="24"/>
        </w:rPr>
        <w:t>have a responsibility to</w:t>
      </w:r>
      <w:r w:rsidRPr="00B66E62">
        <w:rPr>
          <w:rFonts w:ascii="Times New Roman" w:hAnsi="Times New Roman" w:cs="Times New Roman"/>
          <w:sz w:val="24"/>
          <w:szCs w:val="24"/>
        </w:rPr>
        <w:t xml:space="preserve"> ensure that graduating nurses are equipped with the necessary skills</w:t>
      </w:r>
      <w:r w:rsidR="00E149B7" w:rsidRPr="00B66E62">
        <w:rPr>
          <w:rFonts w:ascii="Times New Roman" w:hAnsi="Times New Roman" w:cs="Times New Roman"/>
          <w:sz w:val="24"/>
          <w:szCs w:val="24"/>
        </w:rPr>
        <w:t xml:space="preserve">, knowledge and </w:t>
      </w:r>
      <w:r w:rsidRPr="00B66E62">
        <w:rPr>
          <w:rFonts w:ascii="Times New Roman" w:hAnsi="Times New Roman" w:cs="Times New Roman"/>
          <w:sz w:val="24"/>
          <w:szCs w:val="24"/>
        </w:rPr>
        <w:t>confidence to report errors and near misses in health care</w:t>
      </w:r>
      <w:r w:rsidR="008548C9" w:rsidRPr="00B66E62">
        <w:rPr>
          <w:rFonts w:ascii="Times New Roman" w:hAnsi="Times New Roman" w:cs="Times New Roman"/>
          <w:sz w:val="24"/>
          <w:szCs w:val="24"/>
        </w:rPr>
        <w:t xml:space="preserve">; and </w:t>
      </w:r>
      <w:r w:rsidR="00686390" w:rsidRPr="00B66E62">
        <w:rPr>
          <w:rFonts w:ascii="Times New Roman" w:hAnsi="Times New Roman" w:cs="Times New Roman"/>
          <w:sz w:val="24"/>
          <w:szCs w:val="24"/>
        </w:rPr>
        <w:t xml:space="preserve">are encouraged to build their own knowledge of contemporary approaches to ensuring continuous quality improvement is achieved for quality patient outcomes. </w:t>
      </w:r>
      <w:r w:rsidR="00AB3C36" w:rsidRPr="00B66E62">
        <w:rPr>
          <w:rFonts w:ascii="Times New Roman" w:hAnsi="Times New Roman" w:cs="Times New Roman"/>
          <w:sz w:val="24"/>
          <w:szCs w:val="24"/>
        </w:rPr>
        <w:t xml:space="preserve">Curricula </w:t>
      </w:r>
      <w:r w:rsidR="008548C9" w:rsidRPr="00B66E62">
        <w:rPr>
          <w:rFonts w:ascii="Times New Roman" w:hAnsi="Times New Roman" w:cs="Times New Roman"/>
          <w:sz w:val="24"/>
          <w:szCs w:val="24"/>
        </w:rPr>
        <w:t xml:space="preserve">must </w:t>
      </w:r>
      <w:r w:rsidR="00AB3C36" w:rsidRPr="00B66E62">
        <w:rPr>
          <w:rFonts w:ascii="Times New Roman" w:hAnsi="Times New Roman" w:cs="Times New Roman"/>
          <w:sz w:val="24"/>
          <w:szCs w:val="24"/>
        </w:rPr>
        <w:t xml:space="preserve">include </w:t>
      </w:r>
      <w:r w:rsidR="00541FE6" w:rsidRPr="00B66E62">
        <w:rPr>
          <w:rFonts w:ascii="Times New Roman" w:hAnsi="Times New Roman" w:cs="Times New Roman"/>
          <w:sz w:val="24"/>
          <w:szCs w:val="24"/>
        </w:rPr>
        <w:t>a patient safety agenda</w:t>
      </w:r>
      <w:r w:rsidR="00866436" w:rsidRPr="00B66E62">
        <w:rPr>
          <w:rFonts w:ascii="Times New Roman" w:hAnsi="Times New Roman" w:cs="Times New Roman"/>
          <w:sz w:val="24"/>
          <w:szCs w:val="24"/>
        </w:rPr>
        <w:t xml:space="preserve">, in particular </w:t>
      </w:r>
      <w:r w:rsidR="008548C9" w:rsidRPr="00B66E62">
        <w:rPr>
          <w:rFonts w:ascii="Times New Roman" w:hAnsi="Times New Roman" w:cs="Times New Roman"/>
          <w:sz w:val="24"/>
          <w:szCs w:val="24"/>
        </w:rPr>
        <w:t xml:space="preserve">there is a </w:t>
      </w:r>
      <w:r w:rsidR="00866436" w:rsidRPr="00B66E62">
        <w:rPr>
          <w:rFonts w:ascii="Times New Roman" w:hAnsi="Times New Roman" w:cs="Times New Roman"/>
          <w:sz w:val="24"/>
          <w:szCs w:val="24"/>
        </w:rPr>
        <w:t xml:space="preserve">need to design strategies </w:t>
      </w:r>
      <w:r w:rsidR="008548C9" w:rsidRPr="00B66E62">
        <w:rPr>
          <w:rFonts w:ascii="Times New Roman" w:hAnsi="Times New Roman" w:cs="Times New Roman"/>
          <w:sz w:val="24"/>
          <w:szCs w:val="24"/>
        </w:rPr>
        <w:t>that can</w:t>
      </w:r>
      <w:r w:rsidR="00866436" w:rsidRPr="00B66E62">
        <w:rPr>
          <w:rFonts w:ascii="Times New Roman" w:hAnsi="Times New Roman" w:cs="Times New Roman"/>
          <w:sz w:val="24"/>
          <w:szCs w:val="24"/>
        </w:rPr>
        <w:t xml:space="preserve"> empower students to speak up when patient safety is being compromised. </w:t>
      </w:r>
      <w:r w:rsidR="00AD135F" w:rsidRPr="00B66E62">
        <w:rPr>
          <w:rFonts w:ascii="Times New Roman" w:hAnsi="Times New Roman" w:cs="Times New Roman"/>
          <w:sz w:val="24"/>
          <w:szCs w:val="24"/>
        </w:rPr>
        <w:t>A mandate to include meaningful interprofessional learning experiences and build student’s leadership and communication skills is just the beginning.</w:t>
      </w:r>
      <w:r w:rsidR="00B24E6D" w:rsidRPr="00B66E62">
        <w:rPr>
          <w:rFonts w:ascii="Times New Roman" w:hAnsi="Times New Roman" w:cs="Times New Roman"/>
          <w:sz w:val="24"/>
          <w:szCs w:val="24"/>
        </w:rPr>
        <w:t xml:space="preserve"> This work also needs to be translated to the clinical setting where vary</w:t>
      </w:r>
      <w:r w:rsidR="008C7B27" w:rsidRPr="00B66E62">
        <w:rPr>
          <w:rFonts w:ascii="Times New Roman" w:hAnsi="Times New Roman" w:cs="Times New Roman"/>
          <w:sz w:val="24"/>
          <w:szCs w:val="24"/>
        </w:rPr>
        <w:t xml:space="preserve">ing attitudes regarding patient </w:t>
      </w:r>
      <w:r w:rsidR="00B24E6D" w:rsidRPr="00B66E62">
        <w:rPr>
          <w:rFonts w:ascii="Times New Roman" w:hAnsi="Times New Roman" w:cs="Times New Roman"/>
          <w:sz w:val="24"/>
          <w:szCs w:val="24"/>
        </w:rPr>
        <w:t xml:space="preserve">safety and student advocacy, further impinge on student’s ability to speak up safely. </w:t>
      </w:r>
      <w:r w:rsidR="008548C9" w:rsidRPr="00B66E62">
        <w:rPr>
          <w:rFonts w:ascii="Times New Roman" w:hAnsi="Times New Roman" w:cs="Times New Roman"/>
          <w:sz w:val="24"/>
          <w:szCs w:val="24"/>
        </w:rPr>
        <w:t xml:space="preserve">Nursing faculty have </w:t>
      </w:r>
      <w:r w:rsidR="00746141" w:rsidRPr="00B66E62">
        <w:rPr>
          <w:rFonts w:ascii="Times New Roman" w:hAnsi="Times New Roman" w:cs="Times New Roman"/>
          <w:sz w:val="24"/>
          <w:szCs w:val="24"/>
        </w:rPr>
        <w:t>a responsibility</w:t>
      </w:r>
      <w:r w:rsidR="008548C9" w:rsidRPr="00B66E62">
        <w:rPr>
          <w:rFonts w:ascii="Times New Roman" w:hAnsi="Times New Roman" w:cs="Times New Roman"/>
          <w:sz w:val="24"/>
          <w:szCs w:val="24"/>
        </w:rPr>
        <w:t xml:space="preserve"> </w:t>
      </w:r>
      <w:r w:rsidR="00924181" w:rsidRPr="00B66E62">
        <w:rPr>
          <w:rFonts w:ascii="Times New Roman" w:hAnsi="Times New Roman" w:cs="Times New Roman"/>
          <w:sz w:val="24"/>
          <w:szCs w:val="24"/>
        </w:rPr>
        <w:t>to support student advocacy in</w:t>
      </w:r>
      <w:r w:rsidR="0081400E" w:rsidRPr="00B66E62">
        <w:rPr>
          <w:rFonts w:ascii="Times New Roman" w:hAnsi="Times New Roman" w:cs="Times New Roman"/>
          <w:sz w:val="24"/>
          <w:szCs w:val="24"/>
        </w:rPr>
        <w:t xml:space="preserve"> clinical practice and offer</w:t>
      </w:r>
      <w:r w:rsidR="00924181" w:rsidRPr="00B66E62">
        <w:rPr>
          <w:rFonts w:ascii="Times New Roman" w:hAnsi="Times New Roman" w:cs="Times New Roman"/>
          <w:sz w:val="24"/>
          <w:szCs w:val="24"/>
        </w:rPr>
        <w:t xml:space="preserve"> </w:t>
      </w:r>
      <w:r w:rsidR="0081400E" w:rsidRPr="00B66E62">
        <w:rPr>
          <w:rFonts w:ascii="Times New Roman" w:hAnsi="Times New Roman" w:cs="Times New Roman"/>
          <w:sz w:val="24"/>
          <w:szCs w:val="24"/>
        </w:rPr>
        <w:t>opportunities to debrief about clinical experiences</w:t>
      </w:r>
      <w:r w:rsidR="00433213" w:rsidRPr="00B66E62">
        <w:rPr>
          <w:rFonts w:ascii="Times New Roman" w:hAnsi="Times New Roman" w:cs="Times New Roman"/>
          <w:sz w:val="24"/>
          <w:szCs w:val="24"/>
        </w:rPr>
        <w:t xml:space="preserve"> regarding patient safety issues</w:t>
      </w:r>
      <w:r w:rsidR="00B973AC" w:rsidRPr="00B66E62">
        <w:rPr>
          <w:rFonts w:ascii="Times New Roman" w:hAnsi="Times New Roman" w:cs="Times New Roman"/>
          <w:sz w:val="24"/>
          <w:szCs w:val="24"/>
        </w:rPr>
        <w:t xml:space="preserve">. Furthermore, </w:t>
      </w:r>
      <w:r w:rsidR="00DA7A56" w:rsidRPr="00B66E62">
        <w:rPr>
          <w:rFonts w:ascii="Times New Roman" w:hAnsi="Times New Roman" w:cs="Times New Roman"/>
          <w:sz w:val="24"/>
          <w:szCs w:val="24"/>
        </w:rPr>
        <w:t xml:space="preserve">there is a need for research to highlight any associations between adverse events and </w:t>
      </w:r>
      <w:r w:rsidR="00B973AC" w:rsidRPr="00B66E62">
        <w:rPr>
          <w:rFonts w:ascii="Times New Roman" w:hAnsi="Times New Roman" w:cs="Times New Roman"/>
          <w:sz w:val="24"/>
          <w:szCs w:val="24"/>
        </w:rPr>
        <w:t>nurse perceptions of their patient safety knowledge.</w:t>
      </w:r>
    </w:p>
    <w:p w14:paraId="2B3B1034" w14:textId="77777777" w:rsidR="00B973AC" w:rsidRPr="00B66E62" w:rsidRDefault="00B973AC" w:rsidP="00E21C77">
      <w:pPr>
        <w:spacing w:line="480" w:lineRule="auto"/>
        <w:rPr>
          <w:rFonts w:ascii="Times New Roman" w:hAnsi="Times New Roman" w:cs="Times New Roman"/>
          <w:sz w:val="24"/>
          <w:szCs w:val="24"/>
        </w:rPr>
      </w:pPr>
    </w:p>
    <w:p w14:paraId="3CB024C2" w14:textId="77777777" w:rsidR="00344632" w:rsidRPr="00B66E62" w:rsidRDefault="00344632" w:rsidP="00E21C77">
      <w:pPr>
        <w:spacing w:line="480" w:lineRule="auto"/>
        <w:rPr>
          <w:rFonts w:ascii="Times New Roman" w:hAnsi="Times New Roman" w:cs="Times New Roman"/>
          <w:b/>
          <w:sz w:val="24"/>
          <w:szCs w:val="24"/>
        </w:rPr>
      </w:pPr>
    </w:p>
    <w:p w14:paraId="4C7EF719" w14:textId="77777777" w:rsidR="00344632" w:rsidRPr="00B66E62" w:rsidRDefault="00344632" w:rsidP="00E21C77">
      <w:pPr>
        <w:spacing w:line="480" w:lineRule="auto"/>
        <w:rPr>
          <w:rFonts w:ascii="Times New Roman" w:hAnsi="Times New Roman" w:cs="Times New Roman"/>
          <w:b/>
          <w:sz w:val="24"/>
          <w:szCs w:val="24"/>
        </w:rPr>
      </w:pPr>
    </w:p>
    <w:p w14:paraId="28BCD45E" w14:textId="33B11338" w:rsidR="00E21C77" w:rsidRPr="00B66E62" w:rsidRDefault="00E21C77" w:rsidP="00E21C77">
      <w:pPr>
        <w:spacing w:line="480" w:lineRule="auto"/>
        <w:rPr>
          <w:rFonts w:ascii="Times New Roman" w:hAnsi="Times New Roman" w:cs="Times New Roman"/>
          <w:b/>
          <w:sz w:val="24"/>
          <w:szCs w:val="24"/>
        </w:rPr>
      </w:pPr>
      <w:r w:rsidRPr="00B66E62">
        <w:rPr>
          <w:rFonts w:ascii="Times New Roman" w:hAnsi="Times New Roman" w:cs="Times New Roman"/>
          <w:b/>
          <w:sz w:val="24"/>
          <w:szCs w:val="24"/>
        </w:rPr>
        <w:lastRenderedPageBreak/>
        <w:t>References</w:t>
      </w:r>
    </w:p>
    <w:p w14:paraId="15354173" w14:textId="73CF2F28" w:rsidR="0052196F" w:rsidRPr="00B66E62" w:rsidRDefault="0052196F" w:rsidP="0052196F">
      <w:pPr>
        <w:autoSpaceDE w:val="0"/>
        <w:autoSpaceDN w:val="0"/>
        <w:adjustRightInd w:val="0"/>
        <w:spacing w:after="0" w:line="480" w:lineRule="auto"/>
        <w:rPr>
          <w:rFonts w:ascii="Times New Roman" w:hAnsi="Times New Roman" w:cs="Times New Roman"/>
          <w:noProof/>
          <w:sz w:val="24"/>
          <w:szCs w:val="24"/>
        </w:rPr>
      </w:pPr>
      <w:r w:rsidRPr="00B66E62">
        <w:rPr>
          <w:rFonts w:ascii="Times New Roman" w:hAnsi="Times New Roman" w:cs="Times New Roman"/>
          <w:color w:val="000000"/>
          <w:sz w:val="24"/>
          <w:szCs w:val="24"/>
          <w:lang w:val="en-US"/>
        </w:rPr>
        <w:t xml:space="preserve">Alfredsdottir H &amp; Bjornsdottir K (2008) </w:t>
      </w:r>
      <w:r w:rsidRPr="00B66E62">
        <w:rPr>
          <w:rFonts w:ascii="Times New Roman" w:hAnsi="Times New Roman" w:cs="Times New Roman"/>
          <w:sz w:val="24"/>
          <w:szCs w:val="24"/>
          <w:lang w:val="en-US"/>
        </w:rPr>
        <w:t xml:space="preserve">Nursing and patient safety in the operating room. </w:t>
      </w:r>
      <w:r w:rsidRPr="00B66E62">
        <w:rPr>
          <w:rFonts w:ascii="Times New Roman" w:hAnsi="Times New Roman" w:cs="Times New Roman"/>
          <w:i/>
          <w:sz w:val="24"/>
          <w:szCs w:val="24"/>
          <w:lang w:val="en-US"/>
        </w:rPr>
        <w:t>Journal of Advanced Nursing</w:t>
      </w:r>
      <w:r w:rsidRPr="00B66E62">
        <w:rPr>
          <w:rFonts w:ascii="Times New Roman" w:hAnsi="Times New Roman" w:cs="Times New Roman"/>
          <w:sz w:val="24"/>
          <w:szCs w:val="24"/>
          <w:lang w:val="en-US"/>
        </w:rPr>
        <w:t xml:space="preserve"> </w:t>
      </w:r>
      <w:r w:rsidRPr="00B66E62">
        <w:rPr>
          <w:rFonts w:ascii="Times New Roman" w:hAnsi="Times New Roman" w:cs="Times New Roman"/>
          <w:b/>
          <w:sz w:val="24"/>
          <w:szCs w:val="24"/>
          <w:lang w:val="en-US"/>
        </w:rPr>
        <w:t>61</w:t>
      </w:r>
      <w:r w:rsidRPr="00B66E62">
        <w:rPr>
          <w:rFonts w:ascii="Times New Roman" w:hAnsi="Times New Roman" w:cs="Times New Roman"/>
          <w:sz w:val="24"/>
          <w:szCs w:val="24"/>
          <w:lang w:val="en-US"/>
        </w:rPr>
        <w:t>(1), 29–37.</w:t>
      </w:r>
    </w:p>
    <w:p w14:paraId="17FDC560" w14:textId="735F95DD" w:rsidR="009F26BC" w:rsidRPr="00B66E62" w:rsidRDefault="009F26BC" w:rsidP="00955EAF">
      <w:pPr>
        <w:widowControl w:val="0"/>
        <w:autoSpaceDE w:val="0"/>
        <w:autoSpaceDN w:val="0"/>
        <w:adjustRightInd w:val="0"/>
        <w:spacing w:after="120" w:line="480" w:lineRule="auto"/>
        <w:rPr>
          <w:rFonts w:ascii="Times New Roman" w:eastAsia="Times New Roman" w:hAnsi="Times New Roman" w:cs="Times New Roman"/>
          <w:color w:val="333333"/>
          <w:sz w:val="24"/>
          <w:szCs w:val="24"/>
          <w:lang w:eastAsia="en-AU"/>
        </w:rPr>
      </w:pPr>
      <w:r w:rsidRPr="00B66E62">
        <w:rPr>
          <w:rFonts w:ascii="Times New Roman" w:eastAsia="Times New Roman" w:hAnsi="Times New Roman" w:cs="Times New Roman"/>
          <w:color w:val="333333"/>
          <w:sz w:val="24"/>
          <w:szCs w:val="24"/>
          <w:lang w:eastAsia="en-AU"/>
        </w:rPr>
        <w:t>Ardizzone L</w:t>
      </w:r>
      <w:r w:rsidR="005B1BC3" w:rsidRPr="00B66E62">
        <w:rPr>
          <w:rFonts w:ascii="Times New Roman" w:eastAsia="Times New Roman" w:hAnsi="Times New Roman" w:cs="Times New Roman"/>
          <w:color w:val="333333"/>
          <w:sz w:val="24"/>
          <w:szCs w:val="24"/>
          <w:lang w:eastAsia="en-AU"/>
        </w:rPr>
        <w:t>L</w:t>
      </w:r>
      <w:r w:rsidRPr="00B66E62">
        <w:rPr>
          <w:rFonts w:ascii="Times New Roman" w:eastAsia="Times New Roman" w:hAnsi="Times New Roman" w:cs="Times New Roman"/>
          <w:color w:val="333333"/>
          <w:sz w:val="24"/>
          <w:szCs w:val="24"/>
          <w:lang w:eastAsia="en-AU"/>
        </w:rPr>
        <w:t>, Enlow W</w:t>
      </w:r>
      <w:r w:rsidR="005B1BC3" w:rsidRPr="00B66E62">
        <w:rPr>
          <w:rFonts w:ascii="Times New Roman" w:eastAsia="Times New Roman" w:hAnsi="Times New Roman" w:cs="Times New Roman"/>
          <w:color w:val="333333"/>
          <w:sz w:val="24"/>
          <w:szCs w:val="24"/>
          <w:lang w:eastAsia="en-AU"/>
        </w:rPr>
        <w:t>M</w:t>
      </w:r>
      <w:r w:rsidRPr="00B66E62">
        <w:rPr>
          <w:rFonts w:ascii="Times New Roman" w:eastAsia="Times New Roman" w:hAnsi="Times New Roman" w:cs="Times New Roman"/>
          <w:color w:val="333333"/>
          <w:sz w:val="24"/>
          <w:szCs w:val="24"/>
          <w:lang w:eastAsia="en-AU"/>
        </w:rPr>
        <w:t>, Evanina E</w:t>
      </w:r>
      <w:r w:rsidR="005B1BC3" w:rsidRPr="00B66E62">
        <w:rPr>
          <w:rFonts w:ascii="Times New Roman" w:eastAsia="Times New Roman" w:hAnsi="Times New Roman" w:cs="Times New Roman"/>
          <w:color w:val="333333"/>
          <w:sz w:val="24"/>
          <w:szCs w:val="24"/>
          <w:lang w:eastAsia="en-AU"/>
        </w:rPr>
        <w:t>Y</w:t>
      </w:r>
      <w:r w:rsidRPr="00B66E62">
        <w:rPr>
          <w:rFonts w:ascii="Times New Roman" w:eastAsia="Times New Roman" w:hAnsi="Times New Roman" w:cs="Times New Roman"/>
          <w:color w:val="333333"/>
          <w:sz w:val="24"/>
          <w:szCs w:val="24"/>
          <w:lang w:eastAsia="en-AU"/>
        </w:rPr>
        <w:t>, Schnall R &amp; Currie L (2009) Impact of a patient safety curriculum for nurse anesthesia students.</w:t>
      </w:r>
      <w:r w:rsidRPr="00B66E62">
        <w:rPr>
          <w:rFonts w:ascii="Times New Roman" w:eastAsia="Times New Roman" w:hAnsi="Times New Roman" w:cs="Times New Roman"/>
          <w:i/>
          <w:iCs/>
          <w:color w:val="333333"/>
          <w:sz w:val="24"/>
          <w:szCs w:val="24"/>
          <w:lang w:eastAsia="en-AU"/>
        </w:rPr>
        <w:t> Journal of Nursing Education </w:t>
      </w:r>
      <w:r w:rsidRPr="00B66E62">
        <w:rPr>
          <w:rFonts w:ascii="Times New Roman" w:eastAsia="Times New Roman" w:hAnsi="Times New Roman" w:cs="Times New Roman"/>
          <w:b/>
          <w:iCs/>
          <w:color w:val="333333"/>
          <w:sz w:val="24"/>
          <w:szCs w:val="24"/>
          <w:lang w:eastAsia="en-AU"/>
        </w:rPr>
        <w:t>48</w:t>
      </w:r>
      <w:r w:rsidRPr="00B66E62">
        <w:rPr>
          <w:rFonts w:ascii="Times New Roman" w:eastAsia="Times New Roman" w:hAnsi="Times New Roman" w:cs="Times New Roman"/>
          <w:color w:val="333333"/>
          <w:sz w:val="24"/>
          <w:szCs w:val="24"/>
          <w:lang w:eastAsia="en-AU"/>
        </w:rPr>
        <w:t xml:space="preserve">(12), 706-710. </w:t>
      </w:r>
      <w:r w:rsidR="00824E62" w:rsidRPr="00B66E62">
        <w:rPr>
          <w:rFonts w:ascii="Times New Roman" w:eastAsia="Times New Roman" w:hAnsi="Times New Roman" w:cs="Times New Roman"/>
          <w:color w:val="333333"/>
          <w:sz w:val="24"/>
          <w:szCs w:val="24"/>
          <w:lang w:eastAsia="en-AU"/>
        </w:rPr>
        <w:t>d</w:t>
      </w:r>
      <w:r w:rsidRPr="00B66E62">
        <w:rPr>
          <w:rFonts w:ascii="Times New Roman" w:eastAsia="Times New Roman" w:hAnsi="Times New Roman" w:cs="Times New Roman"/>
          <w:color w:val="333333"/>
          <w:sz w:val="24"/>
          <w:szCs w:val="24"/>
          <w:lang w:eastAsia="en-AU"/>
        </w:rPr>
        <w:t>oi:10.3928/01484834-20091113-01</w:t>
      </w:r>
    </w:p>
    <w:p w14:paraId="71C1A2F3" w14:textId="28DBDB7E" w:rsidR="00E21C77" w:rsidRPr="00B66E62" w:rsidRDefault="00E21C77" w:rsidP="00E21C77">
      <w:pPr>
        <w:spacing w:after="120" w:line="480" w:lineRule="auto"/>
        <w:rPr>
          <w:rFonts w:ascii="Times New Roman" w:eastAsia="Times New Roman" w:hAnsi="Times New Roman" w:cs="Times New Roman"/>
          <w:sz w:val="24"/>
          <w:szCs w:val="24"/>
        </w:rPr>
      </w:pPr>
      <w:r w:rsidRPr="00B66E62">
        <w:rPr>
          <w:rFonts w:ascii="Times New Roman" w:eastAsia="Times New Roman" w:hAnsi="Times New Roman" w:cs="Times New Roman"/>
          <w:sz w:val="24"/>
          <w:szCs w:val="24"/>
        </w:rPr>
        <w:t xml:space="preserve">Attree M, Cooke H &amp; Wakefield A (2008) Patient safety in an English pre-registration nursing curriculum. </w:t>
      </w:r>
      <w:r w:rsidRPr="00B66E62">
        <w:rPr>
          <w:rFonts w:ascii="Times New Roman" w:eastAsia="Times New Roman" w:hAnsi="Times New Roman" w:cs="Times New Roman"/>
          <w:i/>
          <w:iCs/>
          <w:sz w:val="24"/>
          <w:szCs w:val="24"/>
        </w:rPr>
        <w:t>Nurse Education in Practice</w:t>
      </w:r>
      <w:r w:rsidRPr="00B66E62">
        <w:rPr>
          <w:rFonts w:ascii="Times New Roman" w:eastAsia="Times New Roman" w:hAnsi="Times New Roman" w:cs="Times New Roman"/>
          <w:sz w:val="24"/>
          <w:szCs w:val="24"/>
        </w:rPr>
        <w:t xml:space="preserve"> </w:t>
      </w:r>
      <w:r w:rsidRPr="00B66E62">
        <w:rPr>
          <w:rFonts w:ascii="Times New Roman" w:eastAsia="Times New Roman" w:hAnsi="Times New Roman" w:cs="Times New Roman"/>
          <w:b/>
          <w:iCs/>
          <w:sz w:val="24"/>
          <w:szCs w:val="24"/>
        </w:rPr>
        <w:t>8</w:t>
      </w:r>
      <w:r w:rsidRPr="00B66E62">
        <w:rPr>
          <w:rFonts w:ascii="Times New Roman" w:eastAsia="Times New Roman" w:hAnsi="Times New Roman" w:cs="Times New Roman"/>
          <w:sz w:val="24"/>
          <w:szCs w:val="24"/>
        </w:rPr>
        <w:t>(4), 239-248.</w:t>
      </w:r>
      <w:r w:rsidR="00EC4C8B" w:rsidRPr="00B66E62">
        <w:rPr>
          <w:rFonts w:ascii="Helvetica" w:hAnsi="Helvetica" w:cs="Helvetica"/>
          <w:color w:val="333333"/>
          <w:sz w:val="20"/>
          <w:szCs w:val="20"/>
          <w:shd w:val="clear" w:color="auto" w:fill="FFFFFF"/>
        </w:rPr>
        <w:t xml:space="preserve"> </w:t>
      </w:r>
      <w:r w:rsidR="00824E62" w:rsidRPr="00B66E62">
        <w:rPr>
          <w:rFonts w:ascii="Times New Roman" w:hAnsi="Times New Roman" w:cs="Times New Roman"/>
          <w:color w:val="333333"/>
          <w:sz w:val="24"/>
          <w:szCs w:val="24"/>
          <w:shd w:val="clear" w:color="auto" w:fill="FFFFFF"/>
        </w:rPr>
        <w:t>d</w:t>
      </w:r>
      <w:r w:rsidR="00EC4C8B" w:rsidRPr="00B66E62">
        <w:rPr>
          <w:rFonts w:ascii="Times New Roman" w:hAnsi="Times New Roman" w:cs="Times New Roman"/>
          <w:color w:val="333333"/>
          <w:sz w:val="24"/>
          <w:szCs w:val="24"/>
          <w:shd w:val="clear" w:color="auto" w:fill="FFFFFF"/>
        </w:rPr>
        <w:t>oi:10.1016/j.nepr.2007.09.003</w:t>
      </w:r>
    </w:p>
    <w:p w14:paraId="44E7CDB7" w14:textId="23D546DF" w:rsidR="00B54077" w:rsidRPr="00B66E62" w:rsidRDefault="00B54077" w:rsidP="00E21C77">
      <w:pPr>
        <w:autoSpaceDE w:val="0"/>
        <w:autoSpaceDN w:val="0"/>
        <w:adjustRightInd w:val="0"/>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Australian Commission on Safety and Quality in Health Care (2010) </w:t>
      </w:r>
      <w:r w:rsidRPr="00B66E62">
        <w:rPr>
          <w:rFonts w:ascii="Times New Roman" w:hAnsi="Times New Roman" w:cs="Times New Roman"/>
          <w:i/>
          <w:iCs/>
          <w:sz w:val="24"/>
          <w:szCs w:val="24"/>
        </w:rPr>
        <w:t xml:space="preserve">Australian safety and quality framework for health care. </w:t>
      </w:r>
      <w:r w:rsidRPr="00B66E62">
        <w:rPr>
          <w:rFonts w:ascii="Times New Roman" w:hAnsi="Times New Roman" w:cs="Times New Roman"/>
          <w:sz w:val="24"/>
          <w:szCs w:val="24"/>
        </w:rPr>
        <w:t>Available at: https://www.safetyandquality.gov.au/wp-content/uploads/2012/01/32296-Australian-SandQ-Framework1.pdf</w:t>
      </w:r>
    </w:p>
    <w:p w14:paraId="41096A64" w14:textId="0910A17C" w:rsidR="00D34217" w:rsidRPr="00B66E62" w:rsidRDefault="00D34217" w:rsidP="00E21C77">
      <w:pPr>
        <w:autoSpaceDE w:val="0"/>
        <w:autoSpaceDN w:val="0"/>
        <w:adjustRightInd w:val="0"/>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Australian Institute of Health and Welfare (AIHW) (2016). Hospital performance: adverse events treated in hospitals. Available at: </w:t>
      </w:r>
      <w:hyperlink r:id="rId8" w:history="1">
        <w:r w:rsidRPr="00B66E62">
          <w:rPr>
            <w:rStyle w:val="Hyperlink"/>
            <w:rFonts w:ascii="Times New Roman" w:hAnsi="Times New Roman" w:cs="Times New Roman"/>
            <w:sz w:val="24"/>
            <w:szCs w:val="24"/>
          </w:rPr>
          <w:t>http://www.aihw.gov.au/haag11-12/adverse-events/</w:t>
        </w:r>
      </w:hyperlink>
      <w:r w:rsidRPr="00B66E62">
        <w:rPr>
          <w:rFonts w:ascii="Times New Roman" w:hAnsi="Times New Roman" w:cs="Times New Roman"/>
          <w:sz w:val="24"/>
          <w:szCs w:val="24"/>
        </w:rPr>
        <w:t xml:space="preserve"> (accessed 26 October 2016).</w:t>
      </w:r>
    </w:p>
    <w:p w14:paraId="5C5AF3D9" w14:textId="27BA2F4A" w:rsidR="002E7896" w:rsidRPr="00B66E62" w:rsidRDefault="002E7896" w:rsidP="00E21C77">
      <w:pPr>
        <w:autoSpaceDE w:val="0"/>
        <w:autoSpaceDN w:val="0"/>
        <w:adjustRightInd w:val="0"/>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Bandura, A. (1988). Perceived self-efficacy: exercise of control through self-belief. In J. P. Dauwalder, M. Perrez, &amp; V. Hobi (Eds.), </w:t>
      </w:r>
      <w:r w:rsidRPr="00B66E62">
        <w:rPr>
          <w:rFonts w:ascii="Times New Roman" w:hAnsi="Times New Roman" w:cs="Times New Roman"/>
          <w:i/>
          <w:iCs/>
          <w:sz w:val="24"/>
          <w:szCs w:val="24"/>
        </w:rPr>
        <w:t>Annual Series of European Research in Behavior Therapy</w:t>
      </w:r>
      <w:r w:rsidRPr="00B66E62">
        <w:rPr>
          <w:rFonts w:ascii="Times New Roman" w:hAnsi="Times New Roman" w:cs="Times New Roman"/>
          <w:sz w:val="24"/>
          <w:szCs w:val="24"/>
        </w:rPr>
        <w:t xml:space="preserve"> (Vol. 2, pp. 27-59). Amsterdam/Lisse, Netherlands: Swets &amp; Zeitlinger.</w:t>
      </w:r>
    </w:p>
    <w:p w14:paraId="4AEA2404" w14:textId="7B83D52F" w:rsidR="00E21C77" w:rsidRPr="00B66E62" w:rsidRDefault="00E21C77" w:rsidP="00E21C77">
      <w:pPr>
        <w:autoSpaceDE w:val="0"/>
        <w:autoSpaceDN w:val="0"/>
        <w:adjustRightInd w:val="0"/>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Büettner P &amp; Muller R (2011) </w:t>
      </w:r>
      <w:r w:rsidRPr="00B66E62">
        <w:rPr>
          <w:rFonts w:ascii="Times New Roman" w:hAnsi="Times New Roman" w:cs="Times New Roman"/>
          <w:i/>
          <w:sz w:val="24"/>
          <w:szCs w:val="24"/>
        </w:rPr>
        <w:t>Epidemiology</w:t>
      </w:r>
      <w:r w:rsidRPr="00B66E62">
        <w:rPr>
          <w:rFonts w:ascii="Times New Roman" w:hAnsi="Times New Roman" w:cs="Times New Roman"/>
          <w:sz w:val="24"/>
          <w:szCs w:val="24"/>
        </w:rPr>
        <w:t xml:space="preserve">. Oxford University Press, </w:t>
      </w:r>
      <w:r w:rsidR="00E44CAD" w:rsidRPr="00B66E62">
        <w:rPr>
          <w:rFonts w:ascii="Times New Roman" w:hAnsi="Times New Roman" w:cs="Times New Roman"/>
          <w:sz w:val="24"/>
          <w:szCs w:val="24"/>
        </w:rPr>
        <w:t>Melbourne</w:t>
      </w:r>
      <w:r w:rsidRPr="00B66E62">
        <w:rPr>
          <w:rFonts w:ascii="Times New Roman" w:hAnsi="Times New Roman" w:cs="Times New Roman"/>
          <w:sz w:val="24"/>
          <w:szCs w:val="24"/>
        </w:rPr>
        <w:t xml:space="preserve">. </w:t>
      </w:r>
    </w:p>
    <w:p w14:paraId="13747BE8" w14:textId="49E1E428" w:rsidR="00E21C77" w:rsidRPr="00B66E62" w:rsidRDefault="00E21C77" w:rsidP="00E21C77">
      <w:pPr>
        <w:pStyle w:val="EndNoteBibliography"/>
        <w:spacing w:line="480" w:lineRule="auto"/>
        <w:ind w:left="720" w:hanging="720"/>
        <w:rPr>
          <w:rFonts w:ascii="Times New Roman" w:hAnsi="Times New Roman" w:cs="Times New Roman"/>
          <w:sz w:val="24"/>
          <w:szCs w:val="24"/>
        </w:rPr>
      </w:pPr>
      <w:r w:rsidRPr="00B66E62">
        <w:rPr>
          <w:rFonts w:ascii="Times New Roman" w:hAnsi="Times New Roman" w:cs="Times New Roman"/>
          <w:sz w:val="24"/>
          <w:szCs w:val="24"/>
        </w:rPr>
        <w:t xml:space="preserve">Burke RJ (2013) </w:t>
      </w:r>
      <w:r w:rsidRPr="00B66E62">
        <w:rPr>
          <w:rFonts w:ascii="Times New Roman" w:hAnsi="Times New Roman" w:cs="Times New Roman"/>
          <w:i/>
          <w:sz w:val="24"/>
          <w:szCs w:val="24"/>
        </w:rPr>
        <w:t>Encouraging voice: why it matters</w:t>
      </w:r>
      <w:r w:rsidRPr="00B66E62">
        <w:rPr>
          <w:rFonts w:ascii="Times New Roman" w:hAnsi="Times New Roman" w:cs="Times New Roman"/>
          <w:sz w:val="24"/>
          <w:szCs w:val="24"/>
        </w:rPr>
        <w:t>. Deward Elger, Cheltenham</w:t>
      </w:r>
      <w:r w:rsidR="00B72580" w:rsidRPr="00B66E62">
        <w:rPr>
          <w:rFonts w:ascii="Times New Roman" w:hAnsi="Times New Roman" w:cs="Times New Roman"/>
          <w:sz w:val="24"/>
          <w:szCs w:val="24"/>
        </w:rPr>
        <w:t>.</w:t>
      </w:r>
      <w:r w:rsidRPr="00B66E62">
        <w:rPr>
          <w:rFonts w:ascii="Times New Roman" w:hAnsi="Times New Roman" w:cs="Times New Roman"/>
          <w:sz w:val="24"/>
          <w:szCs w:val="24"/>
        </w:rPr>
        <w:t>.</w:t>
      </w:r>
    </w:p>
    <w:p w14:paraId="76C22D93" w14:textId="2E89652D" w:rsidR="00E21C77" w:rsidRPr="00B66E62" w:rsidRDefault="00E21C77" w:rsidP="00E21C77">
      <w:pPr>
        <w:pStyle w:val="EndNoteBibliography"/>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Castel ES, Ginsburg LR, Zaheer S &amp; Tamim H (2015) Understanding nurses’ and physicians’ fear of repercussions for reporting errors: clinician characteristics, organization </w:t>
      </w:r>
      <w:r w:rsidRPr="00B66E62">
        <w:rPr>
          <w:rFonts w:ascii="Times New Roman" w:hAnsi="Times New Roman" w:cs="Times New Roman"/>
          <w:sz w:val="24"/>
          <w:szCs w:val="24"/>
        </w:rPr>
        <w:lastRenderedPageBreak/>
        <w:t xml:space="preserve">demographics, or leadership factors? </w:t>
      </w:r>
      <w:r w:rsidRPr="00B66E62">
        <w:rPr>
          <w:rFonts w:ascii="Times New Roman" w:hAnsi="Times New Roman" w:cs="Times New Roman"/>
          <w:i/>
          <w:sz w:val="24"/>
          <w:szCs w:val="24"/>
        </w:rPr>
        <w:t xml:space="preserve">BMC Health Services Research </w:t>
      </w:r>
      <w:r w:rsidRPr="00B66E62">
        <w:rPr>
          <w:rFonts w:ascii="Times New Roman" w:hAnsi="Times New Roman" w:cs="Times New Roman"/>
          <w:b/>
          <w:sz w:val="24"/>
          <w:szCs w:val="24"/>
        </w:rPr>
        <w:t>15</w:t>
      </w:r>
      <w:r w:rsidRPr="00B66E62">
        <w:rPr>
          <w:rFonts w:ascii="Times New Roman" w:hAnsi="Times New Roman" w:cs="Times New Roman"/>
          <w:sz w:val="24"/>
          <w:szCs w:val="24"/>
        </w:rPr>
        <w:t>(1), 326-335.</w:t>
      </w:r>
      <w:r w:rsidR="00034427" w:rsidRPr="00B66E62">
        <w:rPr>
          <w:rFonts w:ascii="Times New Roman" w:hAnsi="Times New Roman" w:cs="Times New Roman"/>
          <w:sz w:val="24"/>
          <w:szCs w:val="24"/>
        </w:rPr>
        <w:t xml:space="preserve"> </w:t>
      </w:r>
      <w:r w:rsidR="00824E62" w:rsidRPr="00B66E62">
        <w:rPr>
          <w:rFonts w:ascii="Times New Roman" w:hAnsi="Times New Roman" w:cs="Times New Roman"/>
          <w:color w:val="333333"/>
          <w:sz w:val="24"/>
          <w:szCs w:val="24"/>
          <w:shd w:val="clear" w:color="auto" w:fill="FFFFFF"/>
        </w:rPr>
        <w:t>d</w:t>
      </w:r>
      <w:r w:rsidR="00034427" w:rsidRPr="00B66E62">
        <w:rPr>
          <w:rFonts w:ascii="Times New Roman" w:hAnsi="Times New Roman" w:cs="Times New Roman"/>
          <w:color w:val="333333"/>
          <w:sz w:val="24"/>
          <w:szCs w:val="24"/>
          <w:shd w:val="clear" w:color="auto" w:fill="FFFFFF"/>
        </w:rPr>
        <w:t>oi:10.1186/s12913-015-0987-9</w:t>
      </w:r>
      <w:r w:rsidRPr="00B66E62">
        <w:rPr>
          <w:rFonts w:ascii="Times New Roman" w:hAnsi="Times New Roman" w:cs="Times New Roman"/>
          <w:sz w:val="24"/>
          <w:szCs w:val="24"/>
        </w:rPr>
        <w:t xml:space="preserve"> </w:t>
      </w:r>
    </w:p>
    <w:p w14:paraId="125B4662" w14:textId="67FB4E21" w:rsidR="00E21C77" w:rsidRPr="00B66E62" w:rsidRDefault="00E21C77" w:rsidP="00E21C77">
      <w:pPr>
        <w:spacing w:after="0" w:line="480" w:lineRule="auto"/>
        <w:rPr>
          <w:rFonts w:ascii="Times New Roman" w:eastAsia="Times New Roman" w:hAnsi="Times New Roman" w:cs="Times New Roman"/>
          <w:sz w:val="24"/>
          <w:szCs w:val="24"/>
        </w:rPr>
      </w:pPr>
      <w:r w:rsidRPr="00B66E62">
        <w:rPr>
          <w:rFonts w:ascii="Times New Roman" w:eastAsia="Times New Roman" w:hAnsi="Times New Roman" w:cs="Times New Roman"/>
          <w:sz w:val="24"/>
          <w:szCs w:val="24"/>
        </w:rPr>
        <w:t xml:space="preserve">Cooper E (2013) From the school of nursing quality and safety officer: nursing students' use of safety reporting tools and their perception of safety issues in clinical settings. </w:t>
      </w:r>
      <w:r w:rsidRPr="00B66E62">
        <w:rPr>
          <w:rFonts w:ascii="Times New Roman" w:eastAsia="Times New Roman" w:hAnsi="Times New Roman" w:cs="Times New Roman"/>
          <w:i/>
          <w:iCs/>
          <w:sz w:val="24"/>
          <w:szCs w:val="24"/>
        </w:rPr>
        <w:t>Journal of Professional Nursing</w:t>
      </w:r>
      <w:r w:rsidRPr="00B66E62">
        <w:rPr>
          <w:rFonts w:ascii="Times New Roman" w:eastAsia="Times New Roman" w:hAnsi="Times New Roman" w:cs="Times New Roman"/>
          <w:sz w:val="24"/>
          <w:szCs w:val="24"/>
        </w:rPr>
        <w:t xml:space="preserve"> </w:t>
      </w:r>
      <w:r w:rsidRPr="00B66E62">
        <w:rPr>
          <w:rFonts w:ascii="Times New Roman" w:eastAsia="Times New Roman" w:hAnsi="Times New Roman" w:cs="Times New Roman"/>
          <w:b/>
          <w:iCs/>
          <w:sz w:val="24"/>
          <w:szCs w:val="24"/>
        </w:rPr>
        <w:t>29</w:t>
      </w:r>
      <w:r w:rsidRPr="00B66E62">
        <w:rPr>
          <w:rFonts w:ascii="Times New Roman" w:eastAsia="Times New Roman" w:hAnsi="Times New Roman" w:cs="Times New Roman"/>
          <w:sz w:val="24"/>
          <w:szCs w:val="24"/>
        </w:rPr>
        <w:t>(2), 109-116.</w:t>
      </w:r>
      <w:r w:rsidR="00D030BD" w:rsidRPr="00B66E62">
        <w:rPr>
          <w:rFonts w:ascii="Helvetica" w:hAnsi="Helvetica" w:cs="Helvetica"/>
          <w:color w:val="333333"/>
          <w:sz w:val="20"/>
          <w:szCs w:val="20"/>
          <w:shd w:val="clear" w:color="auto" w:fill="FFFFFF"/>
        </w:rPr>
        <w:t xml:space="preserve"> </w:t>
      </w:r>
      <w:r w:rsidR="00D030BD" w:rsidRPr="00B66E62">
        <w:rPr>
          <w:rFonts w:ascii="Times New Roman" w:hAnsi="Times New Roman" w:cs="Times New Roman"/>
          <w:color w:val="333333"/>
          <w:sz w:val="24"/>
          <w:szCs w:val="24"/>
          <w:shd w:val="clear" w:color="auto" w:fill="FFFFFF"/>
        </w:rPr>
        <w:t>doi:10.1016/j.profnurs.2012.12.005</w:t>
      </w:r>
    </w:p>
    <w:p w14:paraId="52A7D952" w14:textId="2EF13F93" w:rsidR="00E21C77" w:rsidRPr="00B66E62" w:rsidRDefault="00E21C77" w:rsidP="00E21C77">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Curtis K (2014) Learning the requirements for compassionate practice: student vulnerability and courage. </w:t>
      </w:r>
      <w:r w:rsidRPr="00B66E62">
        <w:rPr>
          <w:rFonts w:ascii="Times New Roman" w:hAnsi="Times New Roman" w:cs="Times New Roman"/>
          <w:i/>
          <w:sz w:val="24"/>
          <w:szCs w:val="24"/>
        </w:rPr>
        <w:t xml:space="preserve">Nursing Ethics </w:t>
      </w:r>
      <w:r w:rsidRPr="00B66E62">
        <w:rPr>
          <w:rFonts w:ascii="Times New Roman" w:hAnsi="Times New Roman" w:cs="Times New Roman"/>
          <w:b/>
          <w:sz w:val="24"/>
          <w:szCs w:val="24"/>
        </w:rPr>
        <w:t>21</w:t>
      </w:r>
      <w:r w:rsidRPr="00B66E62">
        <w:rPr>
          <w:rFonts w:ascii="Times New Roman" w:hAnsi="Times New Roman" w:cs="Times New Roman"/>
          <w:sz w:val="24"/>
          <w:szCs w:val="24"/>
        </w:rPr>
        <w:t>(2), 210-213.</w:t>
      </w:r>
      <w:r w:rsidR="00034427" w:rsidRPr="00B66E62">
        <w:rPr>
          <w:rFonts w:ascii="Times New Roman" w:hAnsi="Times New Roman" w:cs="Times New Roman"/>
          <w:sz w:val="24"/>
          <w:szCs w:val="24"/>
        </w:rPr>
        <w:t xml:space="preserve"> </w:t>
      </w:r>
      <w:r w:rsidR="00D030BD" w:rsidRPr="00B66E62">
        <w:rPr>
          <w:rFonts w:ascii="Times New Roman" w:hAnsi="Times New Roman" w:cs="Times New Roman"/>
          <w:color w:val="333333"/>
          <w:sz w:val="24"/>
          <w:szCs w:val="24"/>
          <w:shd w:val="clear" w:color="auto" w:fill="FFFFFF"/>
        </w:rPr>
        <w:t>doi:10.1177/0969733013478307</w:t>
      </w:r>
    </w:p>
    <w:p w14:paraId="0C48EFB7" w14:textId="0F2D9345" w:rsidR="00E21C77" w:rsidRPr="00B66E62" w:rsidRDefault="00E21C77" w:rsidP="00E21C77">
      <w:pPr>
        <w:pStyle w:val="EndNoteBibliography"/>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D’Amour D, Dubois CA, Tchouaket E, Clarke S &amp; Blais R (2014) The occurrence of adverse events potentially attributable to nursing care in medical units: cross sectional record reviews. </w:t>
      </w:r>
      <w:r w:rsidRPr="00B66E62">
        <w:rPr>
          <w:rFonts w:ascii="Times New Roman" w:hAnsi="Times New Roman" w:cs="Times New Roman"/>
          <w:i/>
          <w:sz w:val="24"/>
          <w:szCs w:val="24"/>
        </w:rPr>
        <w:t>International Journal of Nursing Studies</w:t>
      </w:r>
      <w:r w:rsidRPr="00B66E62">
        <w:rPr>
          <w:rFonts w:ascii="Times New Roman" w:hAnsi="Times New Roman" w:cs="Times New Roman"/>
          <w:sz w:val="24"/>
          <w:szCs w:val="24"/>
        </w:rPr>
        <w:t xml:space="preserve"> </w:t>
      </w:r>
      <w:r w:rsidRPr="00B66E62">
        <w:rPr>
          <w:rFonts w:ascii="Times New Roman" w:hAnsi="Times New Roman" w:cs="Times New Roman"/>
          <w:b/>
          <w:sz w:val="24"/>
          <w:szCs w:val="24"/>
        </w:rPr>
        <w:t>51</w:t>
      </w:r>
      <w:r w:rsidRPr="00B66E62">
        <w:rPr>
          <w:rFonts w:ascii="Times New Roman" w:hAnsi="Times New Roman" w:cs="Times New Roman"/>
          <w:sz w:val="24"/>
          <w:szCs w:val="24"/>
        </w:rPr>
        <w:t>(6), 882-891. doi: 10.1016/j.ijnurstu.2013.10.017</w:t>
      </w:r>
    </w:p>
    <w:p w14:paraId="58D4E742" w14:textId="576D7B8A" w:rsidR="00E21C77" w:rsidRPr="00B66E62" w:rsidRDefault="00E21C77" w:rsidP="00955EAF">
      <w:pPr>
        <w:spacing w:after="0" w:line="480" w:lineRule="auto"/>
        <w:rPr>
          <w:rFonts w:ascii="Times New Roman" w:hAnsi="Times New Roman" w:cs="Times New Roman"/>
          <w:noProof/>
          <w:sz w:val="24"/>
          <w:szCs w:val="24"/>
        </w:rPr>
      </w:pPr>
      <w:r w:rsidRPr="00B66E62">
        <w:rPr>
          <w:rFonts w:ascii="Times New Roman" w:hAnsi="Times New Roman" w:cs="Times New Roman"/>
          <w:noProof/>
          <w:sz w:val="24"/>
          <w:szCs w:val="24"/>
        </w:rPr>
        <w:t xml:space="preserve">Dankoski ME, Bickel J &amp; Gusic ME (2014) Discussing the undiscussable with the powerful: why and how faculty must learn to counteract organizational silence. </w:t>
      </w:r>
      <w:r w:rsidRPr="00B66E62">
        <w:rPr>
          <w:rFonts w:ascii="Times New Roman" w:hAnsi="Times New Roman" w:cs="Times New Roman"/>
          <w:i/>
          <w:noProof/>
          <w:sz w:val="24"/>
          <w:szCs w:val="24"/>
        </w:rPr>
        <w:t>Acad</w:t>
      </w:r>
      <w:r w:rsidR="004D03C7" w:rsidRPr="00B66E62">
        <w:rPr>
          <w:rFonts w:ascii="Times New Roman" w:hAnsi="Times New Roman" w:cs="Times New Roman"/>
          <w:i/>
          <w:noProof/>
          <w:sz w:val="24"/>
          <w:szCs w:val="24"/>
        </w:rPr>
        <w:t>emic</w:t>
      </w:r>
      <w:r w:rsidRPr="00B66E62">
        <w:rPr>
          <w:rFonts w:ascii="Times New Roman" w:hAnsi="Times New Roman" w:cs="Times New Roman"/>
          <w:i/>
          <w:noProof/>
          <w:sz w:val="24"/>
          <w:szCs w:val="24"/>
        </w:rPr>
        <w:t xml:space="preserve"> Med</w:t>
      </w:r>
      <w:r w:rsidR="004D03C7" w:rsidRPr="00B66E62">
        <w:rPr>
          <w:rFonts w:ascii="Times New Roman" w:hAnsi="Times New Roman" w:cs="Times New Roman"/>
          <w:i/>
          <w:noProof/>
          <w:sz w:val="24"/>
          <w:szCs w:val="24"/>
        </w:rPr>
        <w:t>icine</w:t>
      </w:r>
      <w:r w:rsidRPr="00B66E62">
        <w:rPr>
          <w:rFonts w:ascii="Times New Roman" w:hAnsi="Times New Roman" w:cs="Times New Roman"/>
          <w:noProof/>
          <w:sz w:val="24"/>
          <w:szCs w:val="24"/>
        </w:rPr>
        <w:t xml:space="preserve"> </w:t>
      </w:r>
      <w:r w:rsidRPr="00B66E62">
        <w:rPr>
          <w:rFonts w:ascii="Times New Roman" w:hAnsi="Times New Roman" w:cs="Times New Roman"/>
          <w:b/>
          <w:noProof/>
          <w:sz w:val="24"/>
          <w:szCs w:val="24"/>
        </w:rPr>
        <w:t>89</w:t>
      </w:r>
      <w:r w:rsidRPr="00B66E62">
        <w:rPr>
          <w:rFonts w:ascii="Times New Roman" w:hAnsi="Times New Roman" w:cs="Times New Roman"/>
          <w:noProof/>
          <w:sz w:val="24"/>
          <w:szCs w:val="24"/>
        </w:rPr>
        <w:t>(12), 1610-3.</w:t>
      </w:r>
      <w:r w:rsidR="004D03C7" w:rsidRPr="00B66E62">
        <w:rPr>
          <w:rFonts w:ascii="Times New Roman" w:hAnsi="Times New Roman" w:cs="Times New Roman"/>
          <w:noProof/>
          <w:sz w:val="24"/>
          <w:szCs w:val="24"/>
        </w:rPr>
        <w:t xml:space="preserve"> </w:t>
      </w:r>
      <w:r w:rsidR="004D03C7" w:rsidRPr="00B66E62">
        <w:rPr>
          <w:rFonts w:ascii="Times New Roman" w:hAnsi="Times New Roman" w:cs="Times New Roman"/>
          <w:color w:val="333333"/>
          <w:sz w:val="24"/>
          <w:szCs w:val="24"/>
          <w:shd w:val="clear" w:color="auto" w:fill="FFFFFF"/>
        </w:rPr>
        <w:t>doi:10.1097/ACM.0000000000000428</w:t>
      </w:r>
    </w:p>
    <w:p w14:paraId="3D12674C" w14:textId="435D7B12" w:rsidR="00E21C77" w:rsidRPr="00B66E62" w:rsidRDefault="00E21C77" w:rsidP="00E21C77">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Dekker SWA &amp; Breakey H (2016) ‘Just culture:’ improving safety by achieving substantive, procedural and restorative justice. </w:t>
      </w:r>
      <w:r w:rsidRPr="00B66E62">
        <w:rPr>
          <w:rFonts w:ascii="Times New Roman" w:hAnsi="Times New Roman" w:cs="Times New Roman"/>
          <w:i/>
          <w:sz w:val="24"/>
          <w:szCs w:val="24"/>
        </w:rPr>
        <w:t xml:space="preserve">Safety Science </w:t>
      </w:r>
      <w:r w:rsidRPr="00B66E62">
        <w:rPr>
          <w:rFonts w:ascii="Times New Roman" w:hAnsi="Times New Roman" w:cs="Times New Roman"/>
          <w:b/>
          <w:sz w:val="24"/>
          <w:szCs w:val="24"/>
        </w:rPr>
        <w:t>85</w:t>
      </w:r>
      <w:r w:rsidRPr="00B66E62">
        <w:rPr>
          <w:rFonts w:ascii="Times New Roman" w:hAnsi="Times New Roman" w:cs="Times New Roman"/>
          <w:sz w:val="24"/>
          <w:szCs w:val="24"/>
        </w:rPr>
        <w:t>, 187-193. doi:http://dx.doi.org/10.1016/j.ssci.2016.01.018</w:t>
      </w:r>
    </w:p>
    <w:p w14:paraId="0611969F" w14:textId="1FFF7DAB" w:rsidR="00E21C77" w:rsidRPr="00B66E62" w:rsidRDefault="00E21C77" w:rsidP="00E21C77">
      <w:pPr>
        <w:spacing w:after="120" w:line="480" w:lineRule="auto"/>
        <w:rPr>
          <w:rFonts w:ascii="Times New Roman" w:eastAsia="Times New Roman" w:hAnsi="Times New Roman" w:cs="Times New Roman"/>
          <w:sz w:val="24"/>
          <w:szCs w:val="24"/>
        </w:rPr>
      </w:pPr>
      <w:r w:rsidRPr="00B66E62">
        <w:rPr>
          <w:rFonts w:ascii="Times New Roman" w:eastAsia="Times New Roman" w:hAnsi="Times New Roman" w:cs="Times New Roman"/>
          <w:sz w:val="24"/>
          <w:szCs w:val="24"/>
        </w:rPr>
        <w:t xml:space="preserve">Doyle P, VanDenKerkhof EG, Edge DS, Ginsburg L &amp; Goldstein DH (2015) Self-reported patient safety competence among Canadian medical students and postgraduate trainees: a cross-sectional survey. </w:t>
      </w:r>
      <w:r w:rsidRPr="00B66E62">
        <w:rPr>
          <w:rFonts w:ascii="Times New Roman" w:eastAsia="Times New Roman" w:hAnsi="Times New Roman" w:cs="Times New Roman"/>
          <w:i/>
          <w:iCs/>
          <w:sz w:val="24"/>
          <w:szCs w:val="24"/>
        </w:rPr>
        <w:t>BMJ Quality and Safety</w:t>
      </w:r>
      <w:r w:rsidRPr="00B66E62">
        <w:rPr>
          <w:rFonts w:ascii="Times New Roman" w:eastAsia="Times New Roman" w:hAnsi="Times New Roman" w:cs="Times New Roman"/>
          <w:sz w:val="24"/>
          <w:szCs w:val="24"/>
        </w:rPr>
        <w:t xml:space="preserve"> </w:t>
      </w:r>
      <w:r w:rsidRPr="00B66E62">
        <w:rPr>
          <w:rFonts w:ascii="Times New Roman" w:eastAsia="Times New Roman" w:hAnsi="Times New Roman" w:cs="Times New Roman"/>
          <w:b/>
          <w:iCs/>
          <w:sz w:val="24"/>
          <w:szCs w:val="24"/>
        </w:rPr>
        <w:t>24</w:t>
      </w:r>
      <w:r w:rsidRPr="00B66E62">
        <w:rPr>
          <w:rFonts w:ascii="Times New Roman" w:eastAsia="Times New Roman" w:hAnsi="Times New Roman" w:cs="Times New Roman"/>
          <w:sz w:val="24"/>
          <w:szCs w:val="24"/>
        </w:rPr>
        <w:t>(2), 135-141.</w:t>
      </w:r>
      <w:r w:rsidR="00C30674" w:rsidRPr="00B66E62">
        <w:rPr>
          <w:rFonts w:ascii="Times New Roman" w:hAnsi="Times New Roman" w:cs="Times New Roman"/>
          <w:color w:val="333333"/>
          <w:sz w:val="24"/>
          <w:szCs w:val="24"/>
          <w:shd w:val="clear" w:color="auto" w:fill="FFFFFF"/>
        </w:rPr>
        <w:t xml:space="preserve"> doi:10.1136/bmjqs-2014-003142</w:t>
      </w:r>
    </w:p>
    <w:p w14:paraId="6BCBF43A" w14:textId="26821455" w:rsidR="00E21C77" w:rsidRPr="00B66E62" w:rsidRDefault="00E21C77" w:rsidP="00E21C77">
      <w:pPr>
        <w:spacing w:after="120" w:line="480" w:lineRule="auto"/>
        <w:rPr>
          <w:rFonts w:ascii="Times New Roman" w:eastAsia="Times New Roman" w:hAnsi="Times New Roman" w:cs="Times New Roman"/>
          <w:sz w:val="24"/>
          <w:szCs w:val="24"/>
          <w:lang w:val="en-US" w:eastAsia="en-US"/>
        </w:rPr>
      </w:pPr>
      <w:r w:rsidRPr="00B66E62">
        <w:rPr>
          <w:rFonts w:ascii="Times New Roman" w:eastAsia="Times New Roman" w:hAnsi="Times New Roman" w:cs="Times New Roman"/>
          <w:sz w:val="24"/>
          <w:szCs w:val="24"/>
          <w:lang w:val="en-US" w:eastAsia="en-US"/>
        </w:rPr>
        <w:t xml:space="preserve">Dubois CA, D'amour D, Tchouaket E, Clarke S, Rivard M &amp; Blais R (2013) Associations of patient safety outcomes with models of nursing care organization at unit level in hospitals. </w:t>
      </w:r>
      <w:r w:rsidRPr="00B66E62">
        <w:rPr>
          <w:rFonts w:ascii="Times New Roman" w:eastAsia="Times New Roman" w:hAnsi="Times New Roman" w:cs="Times New Roman"/>
          <w:i/>
          <w:iCs/>
          <w:sz w:val="24"/>
          <w:szCs w:val="24"/>
          <w:lang w:val="en-US" w:eastAsia="en-US"/>
        </w:rPr>
        <w:t>International Journal for Quality in Health Care</w:t>
      </w:r>
      <w:r w:rsidRPr="00B66E62">
        <w:rPr>
          <w:rFonts w:ascii="Times New Roman" w:eastAsia="Times New Roman" w:hAnsi="Times New Roman" w:cs="Times New Roman"/>
          <w:sz w:val="24"/>
          <w:szCs w:val="24"/>
          <w:lang w:val="en-US" w:eastAsia="en-US"/>
        </w:rPr>
        <w:t xml:space="preserve"> </w:t>
      </w:r>
      <w:r w:rsidRPr="00B66E62">
        <w:rPr>
          <w:rFonts w:ascii="Times New Roman" w:eastAsia="Times New Roman" w:hAnsi="Times New Roman" w:cs="Times New Roman"/>
          <w:b/>
          <w:iCs/>
          <w:sz w:val="24"/>
          <w:szCs w:val="24"/>
          <w:lang w:val="en-US" w:eastAsia="en-US"/>
        </w:rPr>
        <w:t>25</w:t>
      </w:r>
      <w:r w:rsidRPr="00B66E62">
        <w:rPr>
          <w:rFonts w:ascii="Times New Roman" w:eastAsia="Times New Roman" w:hAnsi="Times New Roman" w:cs="Times New Roman"/>
          <w:sz w:val="24"/>
          <w:szCs w:val="24"/>
          <w:lang w:val="en-US" w:eastAsia="en-US"/>
        </w:rPr>
        <w:t>(2), 110-117.</w:t>
      </w:r>
      <w:r w:rsidR="00DB162A" w:rsidRPr="00B66E62">
        <w:rPr>
          <w:rFonts w:ascii="Times New Roman" w:eastAsia="Times New Roman" w:hAnsi="Times New Roman" w:cs="Times New Roman"/>
          <w:sz w:val="24"/>
          <w:szCs w:val="24"/>
          <w:lang w:val="en-US" w:eastAsia="en-US"/>
        </w:rPr>
        <w:t xml:space="preserve"> </w:t>
      </w:r>
      <w:r w:rsidR="00DB162A" w:rsidRPr="00B66E62">
        <w:rPr>
          <w:rFonts w:ascii="Times New Roman" w:hAnsi="Times New Roman" w:cs="Times New Roman"/>
          <w:color w:val="333333"/>
          <w:sz w:val="24"/>
          <w:szCs w:val="24"/>
          <w:shd w:val="clear" w:color="auto" w:fill="FFFFFF"/>
        </w:rPr>
        <w:t>doi:10.1093/intqhc/mzt019</w:t>
      </w:r>
    </w:p>
    <w:p w14:paraId="0A654431" w14:textId="3B755B3A" w:rsidR="00E21C77" w:rsidRPr="00B66E62" w:rsidRDefault="00E21C77" w:rsidP="00E21C77">
      <w:pPr>
        <w:spacing w:after="120" w:line="480" w:lineRule="auto"/>
        <w:rPr>
          <w:rFonts w:ascii="Times New Roman" w:eastAsia="Times New Roman" w:hAnsi="Times New Roman" w:cs="Times New Roman"/>
          <w:sz w:val="24"/>
          <w:szCs w:val="24"/>
        </w:rPr>
      </w:pPr>
      <w:r w:rsidRPr="00B66E62">
        <w:rPr>
          <w:rFonts w:ascii="Times New Roman" w:eastAsia="Times New Roman" w:hAnsi="Times New Roman" w:cs="Times New Roman"/>
          <w:sz w:val="24"/>
          <w:szCs w:val="24"/>
        </w:rPr>
        <w:lastRenderedPageBreak/>
        <w:t xml:space="preserve">Duhn L, Karp S, Oni O, Edge D, Ginsburg L &amp; VanDenKerkhof E (2012) Perspectives on patient safety among undergraduate nursing students. </w:t>
      </w:r>
      <w:r w:rsidRPr="00B66E62">
        <w:rPr>
          <w:rFonts w:ascii="Times New Roman" w:eastAsia="Times New Roman" w:hAnsi="Times New Roman" w:cs="Times New Roman"/>
          <w:i/>
          <w:iCs/>
          <w:sz w:val="24"/>
          <w:szCs w:val="24"/>
        </w:rPr>
        <w:t>Journal of Nursing Education</w:t>
      </w:r>
      <w:r w:rsidRPr="00B66E62">
        <w:rPr>
          <w:rFonts w:ascii="Times New Roman" w:eastAsia="Times New Roman" w:hAnsi="Times New Roman" w:cs="Times New Roman"/>
          <w:sz w:val="24"/>
          <w:szCs w:val="24"/>
        </w:rPr>
        <w:t xml:space="preserve"> </w:t>
      </w:r>
      <w:r w:rsidRPr="00B66E62">
        <w:rPr>
          <w:rFonts w:ascii="Times New Roman" w:eastAsia="Times New Roman" w:hAnsi="Times New Roman" w:cs="Times New Roman"/>
          <w:b/>
          <w:iCs/>
          <w:sz w:val="24"/>
          <w:szCs w:val="24"/>
        </w:rPr>
        <w:t>51</w:t>
      </w:r>
      <w:r w:rsidRPr="00B66E62">
        <w:rPr>
          <w:rFonts w:ascii="Times New Roman" w:eastAsia="Times New Roman" w:hAnsi="Times New Roman" w:cs="Times New Roman"/>
          <w:sz w:val="24"/>
          <w:szCs w:val="24"/>
        </w:rPr>
        <w:t>(9), 526-531.</w:t>
      </w:r>
      <w:r w:rsidR="00DB162A" w:rsidRPr="00B66E62">
        <w:rPr>
          <w:rFonts w:ascii="Helvetica" w:hAnsi="Helvetica" w:cs="Helvetica"/>
          <w:color w:val="333333"/>
          <w:sz w:val="20"/>
          <w:szCs w:val="20"/>
          <w:shd w:val="clear" w:color="auto" w:fill="FFFFFF"/>
        </w:rPr>
        <w:t xml:space="preserve"> </w:t>
      </w:r>
      <w:r w:rsidR="00DB162A" w:rsidRPr="00B66E62">
        <w:rPr>
          <w:rFonts w:ascii="Times New Roman" w:hAnsi="Times New Roman" w:cs="Times New Roman"/>
          <w:color w:val="333333"/>
          <w:sz w:val="24"/>
          <w:szCs w:val="24"/>
          <w:shd w:val="clear" w:color="auto" w:fill="FFFFFF"/>
        </w:rPr>
        <w:t>doi:10.3928/01484834-20120706-04</w:t>
      </w:r>
    </w:p>
    <w:p w14:paraId="63ED2C30" w14:textId="36374A31" w:rsidR="00487332" w:rsidRPr="00B66E62" w:rsidRDefault="00487332" w:rsidP="00A642CD">
      <w:pPr>
        <w:spacing w:after="0" w:line="480" w:lineRule="auto"/>
        <w:rPr>
          <w:rFonts w:ascii="Times New Roman" w:eastAsia="Times New Roman" w:hAnsi="Times New Roman" w:cs="Times New Roman"/>
          <w:sz w:val="24"/>
          <w:szCs w:val="24"/>
          <w:lang w:val="en-US" w:eastAsia="en-US"/>
        </w:rPr>
      </w:pPr>
      <w:r w:rsidRPr="00B66E62">
        <w:rPr>
          <w:rFonts w:ascii="Times New Roman" w:eastAsia="Times New Roman" w:hAnsi="Times New Roman" w:cs="Times New Roman"/>
          <w:sz w:val="24"/>
          <w:szCs w:val="24"/>
          <w:lang w:val="en-US" w:eastAsia="en-US"/>
        </w:rPr>
        <w:t xml:space="preserve">Ehsani JP, Jackson T &amp; Duckett SJ (2006) The incidence and cost of adverse events in Victorian hospitals 2003-04. </w:t>
      </w:r>
      <w:r w:rsidRPr="00B66E62">
        <w:rPr>
          <w:rFonts w:ascii="Times New Roman" w:eastAsia="Times New Roman" w:hAnsi="Times New Roman" w:cs="Times New Roman"/>
          <w:i/>
          <w:sz w:val="24"/>
          <w:szCs w:val="24"/>
          <w:lang w:val="en-US" w:eastAsia="en-US"/>
        </w:rPr>
        <w:t xml:space="preserve">Medical Journal of Australia </w:t>
      </w:r>
      <w:r w:rsidRPr="00B66E62">
        <w:rPr>
          <w:rFonts w:ascii="Times New Roman" w:eastAsia="Times New Roman" w:hAnsi="Times New Roman" w:cs="Times New Roman"/>
          <w:b/>
          <w:sz w:val="24"/>
          <w:szCs w:val="24"/>
          <w:lang w:val="en-US" w:eastAsia="en-US"/>
        </w:rPr>
        <w:t>184</w:t>
      </w:r>
      <w:r w:rsidRPr="00B66E62">
        <w:rPr>
          <w:rFonts w:ascii="Times New Roman" w:eastAsia="Times New Roman" w:hAnsi="Times New Roman" w:cs="Times New Roman"/>
          <w:sz w:val="24"/>
          <w:szCs w:val="24"/>
          <w:lang w:val="en-US" w:eastAsia="en-US"/>
        </w:rPr>
        <w:t>(11), 551-55.</w:t>
      </w:r>
    </w:p>
    <w:p w14:paraId="6CFABE9A" w14:textId="3B70D37A" w:rsidR="007A70EE" w:rsidRPr="00B66E62" w:rsidRDefault="007A70EE" w:rsidP="007A70EE">
      <w:pPr>
        <w:autoSpaceDE w:val="0"/>
        <w:autoSpaceDN w:val="0"/>
        <w:adjustRightInd w:val="0"/>
        <w:spacing w:after="120" w:line="480" w:lineRule="auto"/>
        <w:rPr>
          <w:rFonts w:ascii="Times New Roman" w:hAnsi="Times New Roman" w:cs="Times New Roman"/>
          <w:sz w:val="24"/>
          <w:szCs w:val="24"/>
        </w:rPr>
      </w:pPr>
      <w:r w:rsidRPr="00B66E62">
        <w:rPr>
          <w:rFonts w:ascii="Times New Roman" w:hAnsi="Times New Roman" w:cs="Times New Roman"/>
          <w:sz w:val="24"/>
          <w:szCs w:val="24"/>
        </w:rPr>
        <w:t>Fag</w:t>
      </w:r>
      <w:r w:rsidR="00AE51F7" w:rsidRPr="00B66E62">
        <w:rPr>
          <w:rFonts w:ascii="Times New Roman" w:hAnsi="Times New Roman" w:cs="Times New Roman"/>
          <w:sz w:val="24"/>
          <w:szCs w:val="24"/>
        </w:rPr>
        <w:t>a</w:t>
      </w:r>
      <w:r w:rsidRPr="00B66E62">
        <w:rPr>
          <w:rFonts w:ascii="Times New Roman" w:hAnsi="Times New Roman" w:cs="Times New Roman"/>
          <w:sz w:val="24"/>
          <w:szCs w:val="24"/>
        </w:rPr>
        <w:t xml:space="preserve">n, A, Parker V &amp; Jackson D (2016) A concept analysis of pre-registration nursing students speaking up for patient safety in the workplace. </w:t>
      </w:r>
      <w:r w:rsidRPr="00B66E62">
        <w:rPr>
          <w:rFonts w:ascii="Times New Roman" w:hAnsi="Times New Roman" w:cs="Times New Roman"/>
          <w:i/>
          <w:sz w:val="24"/>
          <w:szCs w:val="24"/>
        </w:rPr>
        <w:t>Journal of Advanced Nursing</w:t>
      </w:r>
      <w:r w:rsidRPr="00B66E62">
        <w:rPr>
          <w:rFonts w:ascii="Times New Roman" w:hAnsi="Times New Roman" w:cs="Times New Roman"/>
          <w:sz w:val="24"/>
          <w:szCs w:val="24"/>
        </w:rPr>
        <w:t>. DOI: 10.1111/jan.13028</w:t>
      </w:r>
    </w:p>
    <w:p w14:paraId="43C791A1" w14:textId="68B04949" w:rsidR="00E21C77" w:rsidRPr="00B66E62" w:rsidRDefault="00E21C77" w:rsidP="00E21C77">
      <w:pPr>
        <w:spacing w:after="120" w:line="480" w:lineRule="auto"/>
        <w:rPr>
          <w:rFonts w:ascii="Times New Roman" w:eastAsia="Times New Roman" w:hAnsi="Times New Roman" w:cs="Times New Roman"/>
          <w:sz w:val="24"/>
          <w:szCs w:val="24"/>
        </w:rPr>
      </w:pPr>
      <w:r w:rsidRPr="00B66E62">
        <w:rPr>
          <w:rFonts w:ascii="Times New Roman" w:eastAsia="Times New Roman" w:hAnsi="Times New Roman" w:cs="Times New Roman"/>
          <w:sz w:val="24"/>
          <w:szCs w:val="24"/>
        </w:rPr>
        <w:t xml:space="preserve">Francis RQC (2013) The Mid Staffordshire NHS Foundation Trust </w:t>
      </w:r>
      <w:r w:rsidR="000D4AE1" w:rsidRPr="00B66E62">
        <w:rPr>
          <w:rFonts w:ascii="Times New Roman" w:eastAsia="Times New Roman" w:hAnsi="Times New Roman" w:cs="Times New Roman"/>
          <w:sz w:val="24"/>
          <w:szCs w:val="24"/>
        </w:rPr>
        <w:t>public enquiry press statement</w:t>
      </w:r>
      <w:r w:rsidRPr="00B66E62">
        <w:rPr>
          <w:rFonts w:ascii="Times New Roman" w:eastAsia="Times New Roman" w:hAnsi="Times New Roman" w:cs="Times New Roman"/>
          <w:sz w:val="24"/>
          <w:szCs w:val="24"/>
        </w:rPr>
        <w:t xml:space="preserve">. Available at: www. midstaffspublicinquiry.com/sites/default/files/report. </w:t>
      </w:r>
      <w:r w:rsidRPr="00B66E62">
        <w:rPr>
          <w:rFonts w:ascii="Times New Roman" w:eastAsia="Times New Roman" w:hAnsi="Times New Roman" w:cs="Times New Roman"/>
          <w:iCs/>
          <w:sz w:val="24"/>
          <w:szCs w:val="24"/>
        </w:rPr>
        <w:t xml:space="preserve">Chairman% 27s% 20statement.pdf (accessed 12 February 2016). </w:t>
      </w:r>
    </w:p>
    <w:p w14:paraId="5A2A96EB" w14:textId="7602A147" w:rsidR="00E21C77" w:rsidRPr="00B66E62" w:rsidRDefault="00E21C77" w:rsidP="00E21C77">
      <w:pPr>
        <w:autoSpaceDE w:val="0"/>
        <w:autoSpaceDN w:val="0"/>
        <w:adjustRightInd w:val="0"/>
        <w:spacing w:after="120" w:line="480" w:lineRule="auto"/>
        <w:rPr>
          <w:rFonts w:ascii="Times New Roman" w:hAnsi="Times New Roman" w:cs="Times New Roman"/>
          <w:color w:val="000000"/>
          <w:sz w:val="24"/>
          <w:szCs w:val="24"/>
        </w:rPr>
      </w:pPr>
      <w:r w:rsidRPr="00B66E62">
        <w:rPr>
          <w:rFonts w:ascii="Times New Roman" w:hAnsi="Times New Roman" w:cs="Times New Roman"/>
          <w:color w:val="000000"/>
          <w:sz w:val="24"/>
          <w:szCs w:val="24"/>
        </w:rPr>
        <w:t xml:space="preserve">Ginsburg L, Castel E, Tregunno D </w:t>
      </w:r>
      <w:r w:rsidRPr="00B66E62">
        <w:rPr>
          <w:rFonts w:ascii="Times New Roman" w:eastAsia="Times New Roman" w:hAnsi="Times New Roman" w:cs="Times New Roman"/>
          <w:sz w:val="24"/>
          <w:szCs w:val="24"/>
        </w:rPr>
        <w:t xml:space="preserve">&amp; Norton PG (2012) </w:t>
      </w:r>
      <w:r w:rsidRPr="00B66E62">
        <w:rPr>
          <w:rFonts w:ascii="Times New Roman" w:hAnsi="Times New Roman" w:cs="Times New Roman"/>
          <w:color w:val="000000"/>
          <w:sz w:val="24"/>
          <w:szCs w:val="24"/>
        </w:rPr>
        <w:t xml:space="preserve">The H-PEPSS: an instrument to measure health professionals’ perceptions of patient safety competence at entry into practice. </w:t>
      </w:r>
      <w:r w:rsidRPr="00B66E62">
        <w:rPr>
          <w:rFonts w:ascii="Times New Roman" w:hAnsi="Times New Roman" w:cs="Times New Roman"/>
          <w:i/>
          <w:sz w:val="24"/>
          <w:szCs w:val="24"/>
        </w:rPr>
        <w:t>BMJ Quality and Safety</w:t>
      </w:r>
      <w:r w:rsidRPr="00B66E62">
        <w:rPr>
          <w:rFonts w:ascii="Times New Roman" w:hAnsi="Times New Roman" w:cs="Times New Roman"/>
          <w:sz w:val="24"/>
          <w:szCs w:val="24"/>
        </w:rPr>
        <w:t xml:space="preserve"> </w:t>
      </w:r>
      <w:r w:rsidRPr="00B66E62">
        <w:rPr>
          <w:rFonts w:ascii="Times New Roman" w:hAnsi="Times New Roman" w:cs="Times New Roman"/>
          <w:b/>
          <w:color w:val="000000"/>
          <w:sz w:val="24"/>
          <w:szCs w:val="24"/>
        </w:rPr>
        <w:t>21</w:t>
      </w:r>
      <w:r w:rsidRPr="00B66E62">
        <w:rPr>
          <w:rFonts w:ascii="Times New Roman" w:hAnsi="Times New Roman" w:cs="Times New Roman"/>
          <w:color w:val="000000"/>
          <w:sz w:val="24"/>
          <w:szCs w:val="24"/>
        </w:rPr>
        <w:t>, 676–84.</w:t>
      </w:r>
      <w:r w:rsidR="000D4AE1" w:rsidRPr="00B66E62">
        <w:rPr>
          <w:rFonts w:ascii="Times New Roman" w:hAnsi="Times New Roman" w:cs="Times New Roman"/>
          <w:color w:val="000000"/>
          <w:sz w:val="24"/>
          <w:szCs w:val="24"/>
        </w:rPr>
        <w:t xml:space="preserve"> </w:t>
      </w:r>
      <w:r w:rsidR="000D4AE1" w:rsidRPr="00B66E62">
        <w:rPr>
          <w:rFonts w:ascii="Times New Roman" w:hAnsi="Times New Roman" w:cs="Times New Roman"/>
          <w:color w:val="333333"/>
          <w:sz w:val="24"/>
          <w:szCs w:val="24"/>
          <w:shd w:val="clear" w:color="auto" w:fill="FFFFFF"/>
        </w:rPr>
        <w:t>doi:10.1136/bmjqs-2011-000601</w:t>
      </w:r>
    </w:p>
    <w:p w14:paraId="2EEC8F83" w14:textId="20BE5078" w:rsidR="00E21C77" w:rsidRPr="00B66E62" w:rsidRDefault="00E21C77" w:rsidP="00E21C77">
      <w:pPr>
        <w:spacing w:after="120" w:line="480" w:lineRule="auto"/>
        <w:rPr>
          <w:rFonts w:ascii="Times New Roman" w:hAnsi="Times New Roman" w:cs="Times New Roman"/>
          <w:i/>
          <w:color w:val="000000"/>
          <w:sz w:val="24"/>
          <w:szCs w:val="24"/>
          <w:lang w:val="en-US"/>
        </w:rPr>
      </w:pPr>
      <w:r w:rsidRPr="00B66E62">
        <w:rPr>
          <w:rFonts w:ascii="Times New Roman" w:eastAsia="Times New Roman" w:hAnsi="Times New Roman" w:cs="Times New Roman"/>
          <w:sz w:val="24"/>
          <w:szCs w:val="24"/>
        </w:rPr>
        <w:t xml:space="preserve">Ginsburg LR, Tregunno D &amp; Norton PG (2013) Self-reported patient safety competence among new graduates in medicine, nursing and pharmacy. </w:t>
      </w:r>
      <w:r w:rsidRPr="00B66E62">
        <w:rPr>
          <w:rFonts w:ascii="Times New Roman" w:eastAsia="Times New Roman" w:hAnsi="Times New Roman" w:cs="Times New Roman"/>
          <w:i/>
          <w:iCs/>
          <w:sz w:val="24"/>
          <w:szCs w:val="24"/>
        </w:rPr>
        <w:t>BMJ Quality and Safety</w:t>
      </w:r>
      <w:r w:rsidRPr="00B66E62">
        <w:rPr>
          <w:rFonts w:ascii="Times New Roman" w:eastAsia="Times New Roman" w:hAnsi="Times New Roman" w:cs="Times New Roman"/>
          <w:sz w:val="24"/>
          <w:szCs w:val="24"/>
        </w:rPr>
        <w:t xml:space="preserve"> </w:t>
      </w:r>
      <w:r w:rsidRPr="00B66E62">
        <w:rPr>
          <w:rFonts w:ascii="Times New Roman" w:eastAsia="Times New Roman" w:hAnsi="Times New Roman" w:cs="Times New Roman"/>
          <w:b/>
          <w:iCs/>
          <w:sz w:val="24"/>
          <w:szCs w:val="24"/>
        </w:rPr>
        <w:t>22</w:t>
      </w:r>
      <w:r w:rsidRPr="00B66E62">
        <w:rPr>
          <w:rFonts w:ascii="Times New Roman" w:eastAsia="Times New Roman" w:hAnsi="Times New Roman" w:cs="Times New Roman"/>
          <w:sz w:val="24"/>
          <w:szCs w:val="24"/>
        </w:rPr>
        <w:t>(2), 147-154.</w:t>
      </w:r>
      <w:r w:rsidR="007F445F" w:rsidRPr="00B66E62">
        <w:rPr>
          <w:rFonts w:ascii="Helvetica" w:hAnsi="Helvetica" w:cs="Helvetica"/>
          <w:color w:val="333333"/>
          <w:sz w:val="20"/>
          <w:szCs w:val="20"/>
          <w:shd w:val="clear" w:color="auto" w:fill="FFFFFF"/>
        </w:rPr>
        <w:t xml:space="preserve"> </w:t>
      </w:r>
      <w:r w:rsidR="007F445F" w:rsidRPr="00B66E62">
        <w:rPr>
          <w:rFonts w:ascii="Times New Roman" w:hAnsi="Times New Roman" w:cs="Times New Roman"/>
          <w:color w:val="333333"/>
          <w:sz w:val="24"/>
          <w:szCs w:val="24"/>
          <w:shd w:val="clear" w:color="auto" w:fill="FFFFFF"/>
        </w:rPr>
        <w:t>doi:10.1136/bmjqs-2012-001308</w:t>
      </w:r>
    </w:p>
    <w:p w14:paraId="30A90743" w14:textId="111518BD" w:rsidR="002B36A2" w:rsidRPr="00B66E62" w:rsidRDefault="002B36A2" w:rsidP="00E21C77">
      <w:pPr>
        <w:pStyle w:val="EndNoteBibliography"/>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Hardin JW &amp; Hilbe JM (2003) </w:t>
      </w:r>
      <w:r w:rsidRPr="00B66E62">
        <w:rPr>
          <w:rStyle w:val="Emphasis"/>
          <w:rFonts w:ascii="Times New Roman" w:hAnsi="Times New Roman" w:cs="Times New Roman"/>
          <w:sz w:val="24"/>
          <w:szCs w:val="24"/>
        </w:rPr>
        <w:t xml:space="preserve">Generalized Estimating Equations. </w:t>
      </w:r>
      <w:r w:rsidRPr="00B66E62">
        <w:rPr>
          <w:rFonts w:ascii="Times New Roman" w:hAnsi="Times New Roman" w:cs="Times New Roman"/>
          <w:sz w:val="24"/>
          <w:szCs w:val="24"/>
        </w:rPr>
        <w:t>Chapman &amp; Hall/CRC: New York.</w:t>
      </w:r>
    </w:p>
    <w:p w14:paraId="444A5BC6" w14:textId="6EF8AA2B" w:rsidR="00E21C77" w:rsidRPr="00B66E62" w:rsidRDefault="00E21C77" w:rsidP="00E21C77">
      <w:pPr>
        <w:pStyle w:val="EndNoteBibliography"/>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Hutchinson M &amp; Jackson D (2013) Hostile clinician behaviours in the nursing work environment and implications for patient care: a mixed-methods systematic review. </w:t>
      </w:r>
      <w:r w:rsidRPr="00B66E62">
        <w:rPr>
          <w:rFonts w:ascii="Times New Roman" w:hAnsi="Times New Roman" w:cs="Times New Roman"/>
          <w:i/>
          <w:sz w:val="24"/>
          <w:szCs w:val="24"/>
        </w:rPr>
        <w:t xml:space="preserve">BMC Nursing </w:t>
      </w:r>
      <w:r w:rsidRPr="00B66E62">
        <w:rPr>
          <w:rFonts w:ascii="Times New Roman" w:hAnsi="Times New Roman" w:cs="Times New Roman"/>
          <w:b/>
          <w:sz w:val="24"/>
          <w:szCs w:val="24"/>
        </w:rPr>
        <w:t>12</w:t>
      </w:r>
      <w:r w:rsidRPr="00B66E62">
        <w:rPr>
          <w:rFonts w:ascii="Times New Roman" w:hAnsi="Times New Roman" w:cs="Times New Roman"/>
          <w:sz w:val="24"/>
          <w:szCs w:val="24"/>
        </w:rPr>
        <w:t xml:space="preserve">(25), 1-12. </w:t>
      </w:r>
      <w:r w:rsidR="007F445F" w:rsidRPr="00B66E62">
        <w:rPr>
          <w:rFonts w:ascii="Times New Roman" w:hAnsi="Times New Roman" w:cs="Times New Roman"/>
          <w:color w:val="333333"/>
          <w:sz w:val="24"/>
          <w:szCs w:val="24"/>
          <w:shd w:val="clear" w:color="auto" w:fill="FFFFFF"/>
        </w:rPr>
        <w:t>doi:10.1186/1472-6955-12-25</w:t>
      </w:r>
    </w:p>
    <w:p w14:paraId="2FE0C576" w14:textId="77777777" w:rsidR="006E257A" w:rsidRPr="00B66E62" w:rsidRDefault="007E6C73" w:rsidP="006E257A">
      <w:pPr>
        <w:pStyle w:val="EndNoteBibliography"/>
        <w:spacing w:after="0" w:line="480" w:lineRule="auto"/>
        <w:rPr>
          <w:rFonts w:ascii="Times New Roman" w:hAnsi="Times New Roman" w:cs="Times New Roman"/>
          <w:color w:val="333333"/>
          <w:sz w:val="24"/>
          <w:szCs w:val="24"/>
          <w:shd w:val="clear" w:color="auto" w:fill="FFFFFF"/>
        </w:rPr>
      </w:pPr>
      <w:r w:rsidRPr="00B66E62">
        <w:rPr>
          <w:rFonts w:ascii="Times New Roman" w:hAnsi="Times New Roman" w:cs="Times New Roman"/>
          <w:sz w:val="24"/>
          <w:szCs w:val="24"/>
        </w:rPr>
        <w:lastRenderedPageBreak/>
        <w:t xml:space="preserve">Hutchinson M &amp; Jackson D (2014) Troubling fragments and small stories: an analysis of public commentary on nursing through a web blog. </w:t>
      </w:r>
      <w:r w:rsidRPr="00B66E62">
        <w:rPr>
          <w:rFonts w:ascii="Times New Roman" w:hAnsi="Times New Roman" w:cs="Times New Roman"/>
          <w:i/>
          <w:sz w:val="24"/>
          <w:szCs w:val="24"/>
        </w:rPr>
        <w:t>Collegian</w:t>
      </w:r>
      <w:r w:rsidRPr="00B66E62">
        <w:rPr>
          <w:rFonts w:ascii="Times New Roman" w:hAnsi="Times New Roman" w:cs="Times New Roman"/>
          <w:sz w:val="24"/>
          <w:szCs w:val="24"/>
        </w:rPr>
        <w:t xml:space="preserve"> </w:t>
      </w:r>
      <w:r w:rsidRPr="00B66E62">
        <w:rPr>
          <w:rFonts w:ascii="Times New Roman" w:hAnsi="Times New Roman" w:cs="Times New Roman"/>
          <w:b/>
          <w:sz w:val="24"/>
          <w:szCs w:val="24"/>
        </w:rPr>
        <w:t>21</w:t>
      </w:r>
      <w:r w:rsidRPr="00B66E62">
        <w:rPr>
          <w:rFonts w:ascii="Times New Roman" w:hAnsi="Times New Roman" w:cs="Times New Roman"/>
          <w:sz w:val="24"/>
          <w:szCs w:val="24"/>
        </w:rPr>
        <w:t xml:space="preserve">(2), 81-88. </w:t>
      </w:r>
      <w:r w:rsidRPr="00B66E62">
        <w:rPr>
          <w:rFonts w:ascii="Times New Roman" w:hAnsi="Times New Roman" w:cs="Times New Roman"/>
          <w:color w:val="333333"/>
          <w:sz w:val="24"/>
          <w:szCs w:val="24"/>
          <w:shd w:val="clear" w:color="auto" w:fill="FFFFFF"/>
        </w:rPr>
        <w:t>doi:10.1016/j.colegn.2013.12.002</w:t>
      </w:r>
    </w:p>
    <w:p w14:paraId="1A62289B" w14:textId="0B4FD709" w:rsidR="006E257A" w:rsidRPr="00B66E62" w:rsidRDefault="006E257A" w:rsidP="006E257A">
      <w:pPr>
        <w:pStyle w:val="EndNoteBibliography"/>
        <w:spacing w:after="0" w:line="480" w:lineRule="auto"/>
        <w:rPr>
          <w:rFonts w:ascii="Times New Roman" w:hAnsi="Times New Roman" w:cs="Times New Roman"/>
          <w:sz w:val="24"/>
          <w:szCs w:val="24"/>
        </w:rPr>
      </w:pPr>
      <w:r w:rsidRPr="00B66E62">
        <w:rPr>
          <w:rFonts w:ascii="Times New Roman" w:hAnsi="Times New Roman" w:cs="Times New Roman"/>
          <w:sz w:val="24"/>
          <w:szCs w:val="24"/>
        </w:rPr>
        <w:t xml:space="preserve">Jackson D, Hutchinson M, Peters K, Everett B, Mannix J, Weaver R &amp; Salamonson Y (2011) Struggling for legitimacy: </w:t>
      </w:r>
      <w:r w:rsidR="002E6D98" w:rsidRPr="00B66E62">
        <w:rPr>
          <w:rFonts w:ascii="Times New Roman" w:hAnsi="Times New Roman" w:cs="Times New Roman"/>
          <w:sz w:val="24"/>
          <w:szCs w:val="24"/>
        </w:rPr>
        <w:t>n</w:t>
      </w:r>
      <w:r w:rsidRPr="00B66E62">
        <w:rPr>
          <w:rFonts w:ascii="Times New Roman" w:hAnsi="Times New Roman" w:cs="Times New Roman"/>
          <w:sz w:val="24"/>
          <w:szCs w:val="24"/>
        </w:rPr>
        <w:t xml:space="preserve">ursing students' stories of organisational aggression, resilience and resistance. </w:t>
      </w:r>
      <w:r w:rsidRPr="00B66E62">
        <w:rPr>
          <w:rFonts w:ascii="Times New Roman" w:hAnsi="Times New Roman" w:cs="Times New Roman"/>
          <w:i/>
          <w:sz w:val="24"/>
          <w:szCs w:val="24"/>
        </w:rPr>
        <w:t>Nursing Inquiry</w:t>
      </w:r>
      <w:r w:rsidRPr="00B66E62">
        <w:rPr>
          <w:rFonts w:ascii="Times New Roman" w:hAnsi="Times New Roman" w:cs="Times New Roman"/>
          <w:sz w:val="24"/>
          <w:szCs w:val="24"/>
        </w:rPr>
        <w:t xml:space="preserve"> </w:t>
      </w:r>
      <w:r w:rsidRPr="00B66E62">
        <w:rPr>
          <w:rFonts w:ascii="Times New Roman" w:hAnsi="Times New Roman" w:cs="Times New Roman"/>
          <w:b/>
          <w:sz w:val="24"/>
          <w:szCs w:val="24"/>
        </w:rPr>
        <w:t>18</w:t>
      </w:r>
      <w:r w:rsidRPr="00B66E62">
        <w:rPr>
          <w:rFonts w:ascii="Times New Roman" w:hAnsi="Times New Roman" w:cs="Times New Roman"/>
          <w:sz w:val="24"/>
          <w:szCs w:val="24"/>
        </w:rPr>
        <w:t>(2), 102-110.</w:t>
      </w:r>
    </w:p>
    <w:p w14:paraId="50A9E523" w14:textId="4ACEC8F8" w:rsidR="00E21C77" w:rsidRPr="00B66E62" w:rsidRDefault="00E21C77" w:rsidP="00E21C77">
      <w:pPr>
        <w:pStyle w:val="EndNoteBibliography"/>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Levett-Jones T &amp; Lathlean J (2009) Don't rock the boat: nursing students' experience of conformity and compliance. </w:t>
      </w:r>
      <w:r w:rsidRPr="00B66E62">
        <w:rPr>
          <w:rFonts w:ascii="Times New Roman" w:hAnsi="Times New Roman" w:cs="Times New Roman"/>
          <w:i/>
          <w:sz w:val="24"/>
          <w:szCs w:val="24"/>
        </w:rPr>
        <w:t xml:space="preserve">Nurse Education Today </w:t>
      </w:r>
      <w:r w:rsidRPr="00B66E62">
        <w:rPr>
          <w:rFonts w:ascii="Times New Roman" w:hAnsi="Times New Roman" w:cs="Times New Roman"/>
          <w:b/>
          <w:sz w:val="24"/>
          <w:szCs w:val="24"/>
        </w:rPr>
        <w:t>29</w:t>
      </w:r>
      <w:r w:rsidRPr="00B66E62">
        <w:rPr>
          <w:rFonts w:ascii="Times New Roman" w:hAnsi="Times New Roman" w:cs="Times New Roman"/>
          <w:sz w:val="24"/>
          <w:szCs w:val="24"/>
        </w:rPr>
        <w:t xml:space="preserve">, 342-349. </w:t>
      </w:r>
      <w:r w:rsidR="008756A9" w:rsidRPr="00B66E62">
        <w:rPr>
          <w:rFonts w:ascii="Times New Roman" w:hAnsi="Times New Roman" w:cs="Times New Roman"/>
          <w:color w:val="333333"/>
          <w:sz w:val="24"/>
          <w:szCs w:val="24"/>
          <w:shd w:val="clear" w:color="auto" w:fill="FFFFFF"/>
        </w:rPr>
        <w:t>doi:10.1016/j.nedt.2008.10.009</w:t>
      </w:r>
    </w:p>
    <w:p w14:paraId="7F1E6CA6" w14:textId="0EEBBA50" w:rsidR="009B176C" w:rsidRPr="00B66E62" w:rsidRDefault="009B176C" w:rsidP="00E21C77">
      <w:pPr>
        <w:pStyle w:val="EndNoteBibliography"/>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Lukewich J, Edge DS, Tranmer J, Raymond J, Miron J, Ginsburg L &amp; VanDenKerkhof E (2015) Undergraduate baccalaureate nursing students’ self-reported confidence in learning about patient safety in the classroom and clinical settings: </w:t>
      </w:r>
      <w:r w:rsidR="00DA0DEA" w:rsidRPr="00B66E62">
        <w:rPr>
          <w:rFonts w:ascii="Times New Roman" w:hAnsi="Times New Roman" w:cs="Times New Roman"/>
          <w:sz w:val="24"/>
          <w:szCs w:val="24"/>
        </w:rPr>
        <w:t>a</w:t>
      </w:r>
      <w:r w:rsidRPr="00B66E62">
        <w:rPr>
          <w:rFonts w:ascii="Times New Roman" w:hAnsi="Times New Roman" w:cs="Times New Roman"/>
          <w:sz w:val="24"/>
          <w:szCs w:val="24"/>
        </w:rPr>
        <w:t>n annual cross-sectional study (2010-2013)</w:t>
      </w:r>
      <w:r w:rsidR="00F73F06" w:rsidRPr="00B66E62">
        <w:rPr>
          <w:rFonts w:ascii="Times New Roman" w:hAnsi="Times New Roman" w:cs="Times New Roman"/>
          <w:sz w:val="24"/>
          <w:szCs w:val="24"/>
        </w:rPr>
        <w:t xml:space="preserve">. </w:t>
      </w:r>
      <w:r w:rsidR="00F73F06" w:rsidRPr="00B66E62">
        <w:rPr>
          <w:rFonts w:ascii="Times New Roman" w:hAnsi="Times New Roman" w:cs="Times New Roman"/>
          <w:i/>
          <w:sz w:val="24"/>
          <w:szCs w:val="24"/>
        </w:rPr>
        <w:t>International Journal of Nursing Studies</w:t>
      </w:r>
      <w:r w:rsidR="00F73F06" w:rsidRPr="00B66E62">
        <w:rPr>
          <w:rFonts w:ascii="Times New Roman" w:hAnsi="Times New Roman" w:cs="Times New Roman"/>
          <w:sz w:val="24"/>
          <w:szCs w:val="24"/>
        </w:rPr>
        <w:t xml:space="preserve"> </w:t>
      </w:r>
      <w:r w:rsidR="00F73F06" w:rsidRPr="00B66E62">
        <w:rPr>
          <w:rFonts w:ascii="Times New Roman" w:hAnsi="Times New Roman" w:cs="Times New Roman"/>
          <w:b/>
          <w:sz w:val="24"/>
          <w:szCs w:val="24"/>
        </w:rPr>
        <w:t>52</w:t>
      </w:r>
      <w:r w:rsidR="00F73F06" w:rsidRPr="00B66E62">
        <w:rPr>
          <w:rFonts w:ascii="Times New Roman" w:hAnsi="Times New Roman" w:cs="Times New Roman"/>
          <w:sz w:val="24"/>
          <w:szCs w:val="24"/>
        </w:rPr>
        <w:t>(5), 930-938.</w:t>
      </w:r>
      <w:r w:rsidR="00DA0DEA" w:rsidRPr="00B66E62">
        <w:rPr>
          <w:rFonts w:ascii="Helvetica" w:hAnsi="Helvetica" w:cs="Helvetica"/>
          <w:color w:val="333333"/>
          <w:sz w:val="20"/>
          <w:szCs w:val="20"/>
          <w:shd w:val="clear" w:color="auto" w:fill="FFFFFF"/>
        </w:rPr>
        <w:t xml:space="preserve"> </w:t>
      </w:r>
      <w:r w:rsidR="00DA0DEA" w:rsidRPr="00B66E62">
        <w:rPr>
          <w:rFonts w:ascii="Times New Roman" w:hAnsi="Times New Roman" w:cs="Times New Roman"/>
          <w:color w:val="333333"/>
          <w:sz w:val="24"/>
          <w:szCs w:val="24"/>
          <w:shd w:val="clear" w:color="auto" w:fill="FFFFFF"/>
        </w:rPr>
        <w:t>doi:10.1016/j.ijnurstu.2015.01.010</w:t>
      </w:r>
    </w:p>
    <w:p w14:paraId="19FD7E61" w14:textId="7D76E231" w:rsidR="00B54077" w:rsidRPr="00B66E62" w:rsidRDefault="00B54077" w:rsidP="00B54077">
      <w:pPr>
        <w:spacing w:after="0" w:line="480" w:lineRule="auto"/>
        <w:rPr>
          <w:rFonts w:ascii="Times New Roman" w:eastAsia="Times New Roman" w:hAnsi="Times New Roman" w:cs="Times New Roman"/>
          <w:sz w:val="24"/>
          <w:szCs w:val="24"/>
          <w:lang w:val="en-US" w:eastAsia="en-US"/>
        </w:rPr>
      </w:pPr>
      <w:r w:rsidRPr="00B66E62">
        <w:rPr>
          <w:rFonts w:ascii="Times New Roman" w:eastAsia="Times New Roman" w:hAnsi="Times New Roman" w:cs="Times New Roman"/>
          <w:sz w:val="24"/>
          <w:szCs w:val="24"/>
          <w:lang w:val="en-US" w:eastAsia="en-US"/>
        </w:rPr>
        <w:t xml:space="preserve">Makary MA, Daniel M. (2016) Medical error—the third leading cause of death in the US. </w:t>
      </w:r>
      <w:r w:rsidRPr="00B66E62">
        <w:rPr>
          <w:rFonts w:ascii="Times New Roman" w:eastAsia="Times New Roman" w:hAnsi="Times New Roman" w:cs="Times New Roman"/>
          <w:i/>
          <w:sz w:val="24"/>
          <w:szCs w:val="24"/>
          <w:lang w:val="en-US" w:eastAsia="en-US"/>
        </w:rPr>
        <w:t>BMJ</w:t>
      </w:r>
      <w:r w:rsidRPr="00B66E62">
        <w:rPr>
          <w:rFonts w:ascii="Times New Roman" w:eastAsia="Times New Roman" w:hAnsi="Times New Roman" w:cs="Times New Roman"/>
          <w:sz w:val="24"/>
          <w:szCs w:val="24"/>
          <w:lang w:val="en-US" w:eastAsia="en-US"/>
        </w:rPr>
        <w:t xml:space="preserve"> </w:t>
      </w:r>
      <w:r w:rsidRPr="00B66E62">
        <w:rPr>
          <w:rFonts w:ascii="Times New Roman" w:eastAsia="Times New Roman" w:hAnsi="Times New Roman" w:cs="Times New Roman"/>
          <w:b/>
          <w:sz w:val="24"/>
          <w:szCs w:val="24"/>
          <w:lang w:val="en-US" w:eastAsia="en-US"/>
        </w:rPr>
        <w:t>3</w:t>
      </w:r>
      <w:r w:rsidRPr="00B66E62">
        <w:rPr>
          <w:rFonts w:ascii="Times New Roman" w:eastAsia="Times New Roman" w:hAnsi="Times New Roman" w:cs="Times New Roman"/>
          <w:sz w:val="24"/>
          <w:szCs w:val="24"/>
          <w:lang w:val="en-US" w:eastAsia="en-US"/>
        </w:rPr>
        <w:t>(353), i2139-i1243.</w:t>
      </w:r>
    </w:p>
    <w:p w14:paraId="3EDFFC94" w14:textId="75D668CD" w:rsidR="00E21C77" w:rsidRPr="00B66E62" w:rsidRDefault="00E21C77" w:rsidP="00E21C77">
      <w:pPr>
        <w:spacing w:line="480" w:lineRule="auto"/>
        <w:rPr>
          <w:rFonts w:ascii="Times New Roman" w:eastAsia="Times New Roman" w:hAnsi="Times New Roman" w:cs="Times New Roman"/>
          <w:color w:val="222222"/>
          <w:sz w:val="24"/>
          <w:szCs w:val="24"/>
          <w:lang w:eastAsia="en-AU"/>
        </w:rPr>
      </w:pPr>
      <w:r w:rsidRPr="00B66E62">
        <w:rPr>
          <w:rFonts w:ascii="Times New Roman" w:eastAsia="Times New Roman" w:hAnsi="Times New Roman" w:cs="Times New Roman"/>
          <w:color w:val="222222"/>
          <w:sz w:val="24"/>
          <w:szCs w:val="24"/>
          <w:lang w:eastAsia="en-AU"/>
        </w:rPr>
        <w:t xml:space="preserve">Mannix J, Wilkes L &amp; Daly J (2013) Attributes of clinical leadership in contemporary nursing: an integrative review. </w:t>
      </w:r>
      <w:r w:rsidRPr="00B66E62">
        <w:rPr>
          <w:rFonts w:ascii="Times New Roman" w:eastAsia="Times New Roman" w:hAnsi="Times New Roman" w:cs="Times New Roman"/>
          <w:i/>
          <w:iCs/>
          <w:color w:val="222222"/>
          <w:sz w:val="24"/>
          <w:szCs w:val="24"/>
          <w:lang w:eastAsia="en-AU"/>
        </w:rPr>
        <w:t>Contemporary Nurse</w:t>
      </w:r>
      <w:r w:rsidRPr="00B66E62">
        <w:rPr>
          <w:rFonts w:ascii="Times New Roman" w:eastAsia="Times New Roman" w:hAnsi="Times New Roman" w:cs="Times New Roman"/>
          <w:color w:val="222222"/>
          <w:sz w:val="24"/>
          <w:szCs w:val="24"/>
          <w:lang w:eastAsia="en-AU"/>
        </w:rPr>
        <w:t xml:space="preserve"> </w:t>
      </w:r>
      <w:r w:rsidRPr="00B66E62">
        <w:rPr>
          <w:rFonts w:ascii="Times New Roman" w:eastAsia="Times New Roman" w:hAnsi="Times New Roman" w:cs="Times New Roman"/>
          <w:b/>
          <w:iCs/>
          <w:color w:val="222222"/>
          <w:sz w:val="24"/>
          <w:szCs w:val="24"/>
          <w:lang w:eastAsia="en-AU"/>
        </w:rPr>
        <w:t>45</w:t>
      </w:r>
      <w:r w:rsidRPr="00B66E62">
        <w:rPr>
          <w:rFonts w:ascii="Times New Roman" w:eastAsia="Times New Roman" w:hAnsi="Times New Roman" w:cs="Times New Roman"/>
          <w:color w:val="222222"/>
          <w:sz w:val="24"/>
          <w:szCs w:val="24"/>
          <w:lang w:eastAsia="en-AU"/>
        </w:rPr>
        <w:t>(1), 10-21.</w:t>
      </w:r>
      <w:r w:rsidR="00DA0DEA" w:rsidRPr="00B66E62">
        <w:rPr>
          <w:rFonts w:ascii="Helvetica" w:hAnsi="Helvetica" w:cs="Helvetica"/>
          <w:color w:val="333333"/>
          <w:sz w:val="20"/>
          <w:szCs w:val="20"/>
          <w:shd w:val="clear" w:color="auto" w:fill="FFFFFF"/>
        </w:rPr>
        <w:t xml:space="preserve"> </w:t>
      </w:r>
      <w:r w:rsidR="00DA0DEA" w:rsidRPr="00B66E62">
        <w:rPr>
          <w:rFonts w:ascii="Times New Roman" w:hAnsi="Times New Roman" w:cs="Times New Roman"/>
          <w:color w:val="333333"/>
          <w:sz w:val="24"/>
          <w:szCs w:val="24"/>
          <w:shd w:val="clear" w:color="auto" w:fill="FFFFFF"/>
        </w:rPr>
        <w:t>doi:10.5172/conu.2013.45.1.10</w:t>
      </w:r>
    </w:p>
    <w:p w14:paraId="31E983F2" w14:textId="3D515CED" w:rsidR="00E21C77" w:rsidRPr="00B66E62" w:rsidRDefault="00E21C77" w:rsidP="00E21C77">
      <w:pPr>
        <w:spacing w:line="480" w:lineRule="auto"/>
        <w:rPr>
          <w:rFonts w:ascii="Times New Roman" w:eastAsia="Times New Roman" w:hAnsi="Times New Roman" w:cs="Times New Roman"/>
          <w:color w:val="222222"/>
          <w:sz w:val="24"/>
          <w:szCs w:val="24"/>
          <w:lang w:eastAsia="en-AU"/>
        </w:rPr>
      </w:pPr>
      <w:r w:rsidRPr="00B66E62">
        <w:rPr>
          <w:rFonts w:ascii="Times New Roman" w:eastAsia="Times New Roman" w:hAnsi="Times New Roman" w:cs="Times New Roman"/>
          <w:color w:val="222222"/>
          <w:sz w:val="24"/>
          <w:szCs w:val="24"/>
          <w:lang w:eastAsia="en-AU"/>
        </w:rPr>
        <w:t>Mannix J, Wilkes L &amp; Daly J (2015) ‘Good ethics and moral standing’: a</w:t>
      </w:r>
      <w:r w:rsidRPr="00B66E62">
        <w:rPr>
          <w:rFonts w:ascii="Times New Roman" w:eastAsia="Times New Roman" w:hAnsi="Times New Roman" w:cs="Times New Roman"/>
          <w:color w:val="000000"/>
          <w:sz w:val="24"/>
          <w:szCs w:val="24"/>
          <w:lang w:eastAsia="en-AU"/>
        </w:rPr>
        <w:t xml:space="preserve"> qualitative study of aesthetic leadership in clinical nursing practice.</w:t>
      </w:r>
      <w:r w:rsidRPr="00B66E62">
        <w:rPr>
          <w:rFonts w:ascii="Times New Roman" w:eastAsia="Times New Roman" w:hAnsi="Times New Roman" w:cs="Times New Roman"/>
          <w:color w:val="222222"/>
          <w:sz w:val="24"/>
          <w:szCs w:val="24"/>
          <w:lang w:eastAsia="en-AU"/>
        </w:rPr>
        <w:t xml:space="preserve"> </w:t>
      </w:r>
      <w:r w:rsidRPr="00B66E62">
        <w:rPr>
          <w:rFonts w:ascii="Times New Roman" w:eastAsia="Times New Roman" w:hAnsi="Times New Roman" w:cs="Times New Roman"/>
          <w:i/>
          <w:color w:val="222222"/>
          <w:sz w:val="24"/>
          <w:szCs w:val="24"/>
          <w:lang w:eastAsia="en-AU"/>
        </w:rPr>
        <w:t xml:space="preserve">Journal of Clinical Nursing </w:t>
      </w:r>
      <w:r w:rsidRPr="00B66E62">
        <w:rPr>
          <w:rFonts w:ascii="Times New Roman" w:eastAsia="Times New Roman" w:hAnsi="Times New Roman" w:cs="Times New Roman"/>
          <w:b/>
          <w:color w:val="222222"/>
          <w:sz w:val="24"/>
          <w:szCs w:val="24"/>
          <w:lang w:eastAsia="en-AU"/>
        </w:rPr>
        <w:t>24</w:t>
      </w:r>
      <w:r w:rsidRPr="00B66E62">
        <w:rPr>
          <w:rFonts w:ascii="Times New Roman" w:eastAsia="Times New Roman" w:hAnsi="Times New Roman" w:cs="Times New Roman"/>
          <w:i/>
          <w:color w:val="222222"/>
          <w:sz w:val="24"/>
          <w:szCs w:val="24"/>
          <w:lang w:eastAsia="en-AU"/>
        </w:rPr>
        <w:t xml:space="preserve">, </w:t>
      </w:r>
      <w:r w:rsidRPr="00B66E62">
        <w:rPr>
          <w:rFonts w:ascii="Times New Roman" w:eastAsia="Times New Roman" w:hAnsi="Times New Roman" w:cs="Times New Roman"/>
          <w:color w:val="222222"/>
          <w:sz w:val="24"/>
          <w:szCs w:val="24"/>
          <w:lang w:eastAsia="en-AU"/>
        </w:rPr>
        <w:t>1603-1610.</w:t>
      </w:r>
      <w:r w:rsidR="003E3ACE" w:rsidRPr="00B66E62">
        <w:rPr>
          <w:rFonts w:ascii="Times New Roman" w:eastAsia="Times New Roman" w:hAnsi="Times New Roman" w:cs="Times New Roman"/>
          <w:color w:val="222222"/>
          <w:sz w:val="24"/>
          <w:szCs w:val="24"/>
          <w:lang w:eastAsia="en-AU"/>
        </w:rPr>
        <w:t xml:space="preserve"> </w:t>
      </w:r>
      <w:r w:rsidR="003E3ACE" w:rsidRPr="00B66E62">
        <w:rPr>
          <w:rFonts w:ascii="Times New Roman" w:hAnsi="Times New Roman" w:cs="Times New Roman"/>
          <w:color w:val="333333"/>
          <w:sz w:val="24"/>
          <w:szCs w:val="24"/>
          <w:shd w:val="clear" w:color="auto" w:fill="FFFFFF"/>
        </w:rPr>
        <w:t>doi:10.1111/jocn.12761</w:t>
      </w:r>
    </w:p>
    <w:p w14:paraId="6677AE02" w14:textId="7566CA88" w:rsidR="00E21C77" w:rsidRPr="00B66E62" w:rsidRDefault="00E21C77" w:rsidP="00E21C77">
      <w:pPr>
        <w:spacing w:line="480" w:lineRule="auto"/>
        <w:rPr>
          <w:rFonts w:ascii="Times New Roman" w:eastAsia="Times New Roman" w:hAnsi="Times New Roman" w:cs="Times New Roman"/>
          <w:color w:val="222222"/>
          <w:sz w:val="24"/>
          <w:szCs w:val="24"/>
          <w:lang w:eastAsia="en-AU"/>
        </w:rPr>
      </w:pPr>
      <w:r w:rsidRPr="00B66E62">
        <w:rPr>
          <w:rFonts w:ascii="Times New Roman" w:eastAsia="Times New Roman" w:hAnsi="Times New Roman" w:cs="Times New Roman"/>
          <w:color w:val="222222"/>
          <w:sz w:val="24"/>
          <w:szCs w:val="24"/>
          <w:lang w:eastAsia="en-AU"/>
        </w:rPr>
        <w:t>Mansour M (2013) Examining patient safety education in pre-registration nursing curriculum: qualitative study</w:t>
      </w:r>
      <w:r w:rsidRPr="00B66E62">
        <w:rPr>
          <w:rFonts w:ascii="Times New Roman" w:eastAsia="Times New Roman" w:hAnsi="Times New Roman" w:cs="Times New Roman"/>
          <w:i/>
          <w:color w:val="222222"/>
          <w:sz w:val="24"/>
          <w:szCs w:val="24"/>
          <w:lang w:eastAsia="en-AU"/>
        </w:rPr>
        <w:t>. Journal of Nursing Education and Practice</w:t>
      </w:r>
      <w:r w:rsidRPr="00B66E62">
        <w:rPr>
          <w:rFonts w:ascii="Times New Roman" w:eastAsia="Times New Roman" w:hAnsi="Times New Roman" w:cs="Times New Roman"/>
          <w:color w:val="222222"/>
          <w:sz w:val="24"/>
          <w:szCs w:val="24"/>
          <w:lang w:eastAsia="en-AU"/>
        </w:rPr>
        <w:t xml:space="preserve"> </w:t>
      </w:r>
      <w:r w:rsidRPr="00B66E62">
        <w:rPr>
          <w:rFonts w:ascii="Times New Roman" w:eastAsia="Times New Roman" w:hAnsi="Times New Roman" w:cs="Times New Roman"/>
          <w:b/>
          <w:color w:val="222222"/>
          <w:sz w:val="24"/>
          <w:szCs w:val="24"/>
          <w:lang w:eastAsia="en-AU"/>
        </w:rPr>
        <w:t>3</w:t>
      </w:r>
      <w:r w:rsidRPr="00B66E62">
        <w:rPr>
          <w:rFonts w:ascii="Times New Roman" w:eastAsia="Times New Roman" w:hAnsi="Times New Roman" w:cs="Times New Roman"/>
          <w:color w:val="222222"/>
          <w:sz w:val="24"/>
          <w:szCs w:val="24"/>
          <w:lang w:eastAsia="en-AU"/>
        </w:rPr>
        <w:t>(12), 157-167.</w:t>
      </w:r>
    </w:p>
    <w:p w14:paraId="6E510EBC" w14:textId="06A19E1F" w:rsidR="0052196F" w:rsidRPr="00B66E62" w:rsidRDefault="0052196F" w:rsidP="00A642CD">
      <w:pPr>
        <w:autoSpaceDE w:val="0"/>
        <w:autoSpaceDN w:val="0"/>
        <w:adjustRightInd w:val="0"/>
        <w:spacing w:after="0" w:line="480" w:lineRule="auto"/>
        <w:rPr>
          <w:rFonts w:ascii="Times New Roman" w:hAnsi="Times New Roman" w:cs="Times New Roman"/>
          <w:noProof/>
          <w:sz w:val="24"/>
          <w:szCs w:val="24"/>
        </w:rPr>
      </w:pPr>
      <w:r w:rsidRPr="00B66E62">
        <w:rPr>
          <w:rFonts w:ascii="Times New Roman" w:hAnsi="Times New Roman" w:cs="Times New Roman"/>
          <w:color w:val="000000"/>
          <w:sz w:val="24"/>
          <w:szCs w:val="24"/>
          <w:lang w:val="en-US"/>
        </w:rPr>
        <w:lastRenderedPageBreak/>
        <w:t xml:space="preserve">Mansour M (2014) </w:t>
      </w:r>
      <w:r w:rsidRPr="00B66E62">
        <w:rPr>
          <w:rFonts w:ascii="Times New Roman" w:hAnsi="Times New Roman" w:cs="Times New Roman"/>
          <w:sz w:val="24"/>
          <w:szCs w:val="24"/>
          <w:lang w:val="en-US"/>
        </w:rPr>
        <w:t xml:space="preserve">Factor analysis of nursing students' perception of patient safety education. </w:t>
      </w:r>
      <w:r w:rsidRPr="00B66E62">
        <w:rPr>
          <w:rFonts w:ascii="Times New Roman" w:hAnsi="Times New Roman" w:cs="Times New Roman"/>
          <w:i/>
          <w:sz w:val="24"/>
          <w:szCs w:val="24"/>
          <w:lang w:val="en-US"/>
        </w:rPr>
        <w:t>Nurse Education Today</w:t>
      </w:r>
      <w:r w:rsidRPr="00B66E62">
        <w:rPr>
          <w:rFonts w:ascii="Times New Roman" w:hAnsi="Times New Roman" w:cs="Times New Roman"/>
          <w:sz w:val="24"/>
          <w:szCs w:val="24"/>
          <w:lang w:val="en-US"/>
        </w:rPr>
        <w:t xml:space="preserve"> </w:t>
      </w:r>
      <w:r w:rsidR="00665260" w:rsidRPr="00B66E62">
        <w:rPr>
          <w:rFonts w:ascii="Times New Roman" w:hAnsi="Times New Roman" w:cs="Times New Roman"/>
          <w:b/>
          <w:sz w:val="24"/>
          <w:szCs w:val="24"/>
          <w:lang w:val="en-US"/>
        </w:rPr>
        <w:t>35</w:t>
      </w:r>
      <w:r w:rsidR="00665260" w:rsidRPr="00B66E62">
        <w:rPr>
          <w:rFonts w:ascii="Times New Roman" w:hAnsi="Times New Roman" w:cs="Times New Roman"/>
          <w:sz w:val="24"/>
          <w:szCs w:val="24"/>
          <w:lang w:val="en-US"/>
        </w:rPr>
        <w:t>(1), 32-37</w:t>
      </w:r>
      <w:r w:rsidRPr="00B66E62">
        <w:rPr>
          <w:rFonts w:ascii="Times New Roman" w:hAnsi="Times New Roman" w:cs="Times New Roman"/>
          <w:sz w:val="24"/>
          <w:szCs w:val="24"/>
          <w:lang w:val="en-US"/>
        </w:rPr>
        <w:t>.</w:t>
      </w:r>
    </w:p>
    <w:p w14:paraId="0681BB41" w14:textId="6F053F4F" w:rsidR="00E21C77" w:rsidRPr="00B66E62" w:rsidRDefault="00E21C77" w:rsidP="00E21C77">
      <w:pPr>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National Patient Safety Foundation (NPSF) </w:t>
      </w:r>
      <w:r w:rsidR="00665260" w:rsidRPr="00B66E62">
        <w:rPr>
          <w:rFonts w:ascii="Times New Roman" w:hAnsi="Times New Roman" w:cs="Times New Roman"/>
          <w:sz w:val="24"/>
          <w:szCs w:val="24"/>
        </w:rPr>
        <w:t>(</w:t>
      </w:r>
      <w:r w:rsidRPr="00B66E62">
        <w:rPr>
          <w:rFonts w:ascii="Times New Roman" w:hAnsi="Times New Roman" w:cs="Times New Roman"/>
          <w:sz w:val="24"/>
          <w:szCs w:val="24"/>
        </w:rPr>
        <w:t>2015</w:t>
      </w:r>
      <w:r w:rsidR="00665260" w:rsidRPr="00B66E62">
        <w:rPr>
          <w:rFonts w:ascii="Times New Roman" w:hAnsi="Times New Roman" w:cs="Times New Roman"/>
          <w:sz w:val="24"/>
          <w:szCs w:val="24"/>
        </w:rPr>
        <w:t>)</w:t>
      </w:r>
      <w:r w:rsidRPr="00B66E62">
        <w:rPr>
          <w:rFonts w:ascii="Times New Roman" w:hAnsi="Times New Roman" w:cs="Times New Roman"/>
          <w:sz w:val="24"/>
          <w:szCs w:val="24"/>
        </w:rPr>
        <w:t xml:space="preserve"> </w:t>
      </w:r>
      <w:r w:rsidRPr="00B66E62">
        <w:rPr>
          <w:rFonts w:ascii="Times New Roman" w:hAnsi="Times New Roman" w:cs="Times New Roman"/>
          <w:i/>
          <w:sz w:val="24"/>
          <w:szCs w:val="24"/>
        </w:rPr>
        <w:t>Free from harm: accelerating patient safety improvement fifteen years after To Err is Human</w:t>
      </w:r>
      <w:r w:rsidR="0057361F" w:rsidRPr="00B66E62">
        <w:rPr>
          <w:rFonts w:ascii="Times New Roman" w:hAnsi="Times New Roman" w:cs="Times New Roman"/>
          <w:i/>
          <w:sz w:val="24"/>
          <w:szCs w:val="24"/>
        </w:rPr>
        <w:t>.</w:t>
      </w:r>
      <w:r w:rsidR="0057361F" w:rsidRPr="00B66E62">
        <w:rPr>
          <w:rFonts w:ascii="Times New Roman" w:hAnsi="Times New Roman" w:cs="Times New Roman"/>
          <w:sz w:val="24"/>
          <w:szCs w:val="24"/>
        </w:rPr>
        <w:t xml:space="preserve"> Available at: </w:t>
      </w:r>
      <w:hyperlink r:id="rId9" w:history="1">
        <w:r w:rsidR="0057361F" w:rsidRPr="00B66E62">
          <w:rPr>
            <w:rStyle w:val="Hyperlink"/>
            <w:rFonts w:ascii="Times New Roman" w:hAnsi="Times New Roman" w:cs="Times New Roman"/>
            <w:sz w:val="24"/>
            <w:szCs w:val="24"/>
          </w:rPr>
          <w:t>http://www.npsf.org/?page=freefromharm</w:t>
        </w:r>
      </w:hyperlink>
      <w:r w:rsidR="0057361F" w:rsidRPr="00B66E62">
        <w:rPr>
          <w:rFonts w:ascii="Times New Roman" w:hAnsi="Times New Roman" w:cs="Times New Roman"/>
          <w:sz w:val="24"/>
          <w:szCs w:val="24"/>
        </w:rPr>
        <w:t xml:space="preserve"> (accessed 4 February 2016).</w:t>
      </w:r>
      <w:r w:rsidRPr="00B66E62">
        <w:rPr>
          <w:rFonts w:ascii="Times New Roman" w:hAnsi="Times New Roman" w:cs="Times New Roman"/>
          <w:sz w:val="24"/>
          <w:szCs w:val="24"/>
        </w:rPr>
        <w:t xml:space="preserve"> </w:t>
      </w:r>
    </w:p>
    <w:p w14:paraId="39F9591F" w14:textId="1FBC90B4" w:rsidR="00E21C77" w:rsidRPr="00B66E62" w:rsidRDefault="00E21C77" w:rsidP="00E21C77">
      <w:pPr>
        <w:pStyle w:val="EndNoteBibliography"/>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Nightingale F (1859) </w:t>
      </w:r>
      <w:r w:rsidRPr="00B66E62">
        <w:rPr>
          <w:rFonts w:ascii="Times New Roman" w:hAnsi="Times New Roman" w:cs="Times New Roman"/>
          <w:i/>
          <w:sz w:val="24"/>
          <w:szCs w:val="24"/>
        </w:rPr>
        <w:t>Notes on Hospitals</w:t>
      </w:r>
      <w:r w:rsidR="00E44CAD" w:rsidRPr="00B66E62">
        <w:rPr>
          <w:rFonts w:ascii="Times New Roman" w:hAnsi="Times New Roman" w:cs="Times New Roman"/>
          <w:i/>
          <w:sz w:val="24"/>
          <w:szCs w:val="24"/>
        </w:rPr>
        <w:t>.</w:t>
      </w:r>
      <w:r w:rsidRPr="00B66E62">
        <w:rPr>
          <w:rFonts w:ascii="Times New Roman" w:hAnsi="Times New Roman" w:cs="Times New Roman"/>
          <w:sz w:val="24"/>
          <w:szCs w:val="24"/>
        </w:rPr>
        <w:t xml:space="preserve"> John W. Parker &amp; Son</w:t>
      </w:r>
      <w:r w:rsidR="00E44CAD" w:rsidRPr="00B66E62">
        <w:rPr>
          <w:rFonts w:ascii="Times New Roman" w:hAnsi="Times New Roman" w:cs="Times New Roman"/>
          <w:sz w:val="24"/>
          <w:szCs w:val="24"/>
        </w:rPr>
        <w:t>,</w:t>
      </w:r>
      <w:r w:rsidRPr="00B66E62">
        <w:rPr>
          <w:rFonts w:ascii="Times New Roman" w:hAnsi="Times New Roman" w:cs="Times New Roman"/>
          <w:sz w:val="24"/>
          <w:szCs w:val="24"/>
        </w:rPr>
        <w:t xml:space="preserve"> London.</w:t>
      </w:r>
    </w:p>
    <w:p w14:paraId="2DDCD00E" w14:textId="2F313D5E" w:rsidR="00E21C77" w:rsidRPr="00B66E62" w:rsidRDefault="00E21C77" w:rsidP="00E21C77">
      <w:pPr>
        <w:pStyle w:val="EndNoteBibliography"/>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NHS Scotland </w:t>
      </w:r>
      <w:r w:rsidR="00665260" w:rsidRPr="00B66E62">
        <w:rPr>
          <w:rFonts w:ascii="Times New Roman" w:hAnsi="Times New Roman" w:cs="Times New Roman"/>
          <w:sz w:val="24"/>
          <w:szCs w:val="24"/>
        </w:rPr>
        <w:t>(</w:t>
      </w:r>
      <w:r w:rsidRPr="00B66E62">
        <w:rPr>
          <w:rFonts w:ascii="Times New Roman" w:hAnsi="Times New Roman" w:cs="Times New Roman"/>
          <w:sz w:val="24"/>
          <w:szCs w:val="24"/>
        </w:rPr>
        <w:t>2016</w:t>
      </w:r>
      <w:r w:rsidR="00665260" w:rsidRPr="00B66E62">
        <w:rPr>
          <w:rFonts w:ascii="Times New Roman" w:hAnsi="Times New Roman" w:cs="Times New Roman"/>
          <w:sz w:val="24"/>
          <w:szCs w:val="24"/>
        </w:rPr>
        <w:t>)</w:t>
      </w:r>
      <w:r w:rsidRPr="00B66E62">
        <w:rPr>
          <w:rFonts w:ascii="Times New Roman" w:hAnsi="Times New Roman" w:cs="Times New Roman"/>
          <w:sz w:val="24"/>
          <w:szCs w:val="24"/>
        </w:rPr>
        <w:t xml:space="preserve">. </w:t>
      </w:r>
      <w:r w:rsidRPr="00B66E62">
        <w:rPr>
          <w:rFonts w:ascii="Times New Roman" w:hAnsi="Times New Roman" w:cs="Times New Roman"/>
          <w:i/>
          <w:sz w:val="24"/>
          <w:szCs w:val="24"/>
        </w:rPr>
        <w:t xml:space="preserve">Flying </w:t>
      </w:r>
      <w:r w:rsidR="00BF5A98" w:rsidRPr="00B66E62">
        <w:rPr>
          <w:rFonts w:ascii="Times New Roman" w:hAnsi="Times New Roman" w:cs="Times New Roman"/>
          <w:i/>
          <w:sz w:val="24"/>
          <w:szCs w:val="24"/>
        </w:rPr>
        <w:t xml:space="preserve">start </w:t>
      </w:r>
      <w:r w:rsidRPr="00B66E62">
        <w:rPr>
          <w:rFonts w:ascii="Times New Roman" w:hAnsi="Times New Roman" w:cs="Times New Roman"/>
          <w:i/>
          <w:sz w:val="24"/>
          <w:szCs w:val="24"/>
        </w:rPr>
        <w:t xml:space="preserve">NHS: </w:t>
      </w:r>
      <w:r w:rsidR="00BF5A98" w:rsidRPr="00B66E62">
        <w:rPr>
          <w:rFonts w:ascii="Times New Roman" w:hAnsi="Times New Roman" w:cs="Times New Roman"/>
          <w:i/>
          <w:sz w:val="24"/>
          <w:szCs w:val="24"/>
        </w:rPr>
        <w:t>patient client safety</w:t>
      </w:r>
      <w:r w:rsidRPr="00B66E62">
        <w:rPr>
          <w:rFonts w:ascii="Times New Roman" w:hAnsi="Times New Roman" w:cs="Times New Roman"/>
          <w:sz w:val="24"/>
          <w:szCs w:val="24"/>
        </w:rPr>
        <w:t xml:space="preserve">. </w:t>
      </w:r>
      <w:r w:rsidR="005D7844" w:rsidRPr="00B66E62">
        <w:rPr>
          <w:rFonts w:ascii="Times New Roman" w:hAnsi="Times New Roman" w:cs="Times New Roman"/>
          <w:sz w:val="24"/>
          <w:szCs w:val="24"/>
        </w:rPr>
        <w:t>Available</w:t>
      </w:r>
      <w:r w:rsidR="005D7844" w:rsidRPr="00B66E62">
        <w:rPr>
          <w:rFonts w:ascii="Times New Roman" w:hAnsi="Times New Roman" w:cs="Times New Roman"/>
          <w:i/>
          <w:sz w:val="24"/>
          <w:szCs w:val="24"/>
        </w:rPr>
        <w:t xml:space="preserve"> </w:t>
      </w:r>
      <w:r w:rsidRPr="00B66E62">
        <w:rPr>
          <w:rFonts w:ascii="Times New Roman" w:hAnsi="Times New Roman" w:cs="Times New Roman"/>
          <w:sz w:val="24"/>
          <w:szCs w:val="24"/>
        </w:rPr>
        <w:t xml:space="preserve">at </w:t>
      </w:r>
      <w:hyperlink r:id="rId10" w:history="1">
        <w:r w:rsidR="005D7844" w:rsidRPr="00B66E62">
          <w:rPr>
            <w:rStyle w:val="Hyperlink"/>
            <w:rFonts w:ascii="Times New Roman" w:hAnsi="Times New Roman" w:cs="Times New Roman"/>
            <w:sz w:val="24"/>
            <w:szCs w:val="24"/>
          </w:rPr>
          <w:t>http://www.flyingstart.scot.nhs.uk/learning-programmes/safe-practice/patientclient-safety/</w:t>
        </w:r>
      </w:hyperlink>
      <w:r w:rsidR="005D7844" w:rsidRPr="00B66E62">
        <w:rPr>
          <w:rFonts w:ascii="Times New Roman" w:hAnsi="Times New Roman" w:cs="Times New Roman"/>
          <w:sz w:val="24"/>
          <w:szCs w:val="24"/>
        </w:rPr>
        <w:t xml:space="preserve"> (accessed 28 July 2016).</w:t>
      </w:r>
    </w:p>
    <w:p w14:paraId="0B26821B" w14:textId="464CEEAF" w:rsidR="00E21C77" w:rsidRPr="00B66E62" w:rsidRDefault="00E21C77" w:rsidP="00E21C77">
      <w:pPr>
        <w:pStyle w:val="EndNoteBibliography"/>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Rosenstein AH &amp; O'Daniel M (2008) A survey of the impact of disruptive behaviors and communication defects on patient safety. </w:t>
      </w:r>
      <w:r w:rsidRPr="00B66E62">
        <w:rPr>
          <w:rFonts w:ascii="Times New Roman" w:hAnsi="Times New Roman" w:cs="Times New Roman"/>
          <w:i/>
          <w:sz w:val="24"/>
          <w:szCs w:val="24"/>
        </w:rPr>
        <w:t xml:space="preserve">The Joint Commission Journal on Quality and Patient Safety </w:t>
      </w:r>
      <w:r w:rsidRPr="00B66E62">
        <w:rPr>
          <w:rFonts w:ascii="Times New Roman" w:hAnsi="Times New Roman" w:cs="Times New Roman"/>
          <w:b/>
          <w:sz w:val="24"/>
          <w:szCs w:val="24"/>
        </w:rPr>
        <w:t>34</w:t>
      </w:r>
      <w:r w:rsidRPr="00B66E62">
        <w:rPr>
          <w:rFonts w:ascii="Times New Roman" w:hAnsi="Times New Roman" w:cs="Times New Roman"/>
          <w:sz w:val="24"/>
          <w:szCs w:val="24"/>
        </w:rPr>
        <w:t xml:space="preserve">(8), 464-471. </w:t>
      </w:r>
    </w:p>
    <w:p w14:paraId="5F59F131" w14:textId="0F29C119" w:rsidR="00E21C77" w:rsidRPr="00B66E62" w:rsidRDefault="00E21C77" w:rsidP="00E21C77">
      <w:pPr>
        <w:pStyle w:val="EndNoteBibliography"/>
        <w:spacing w:line="480" w:lineRule="auto"/>
        <w:rPr>
          <w:rFonts w:ascii="Times New Roman" w:hAnsi="Times New Roman" w:cs="Times New Roman"/>
          <w:sz w:val="24"/>
          <w:szCs w:val="24"/>
        </w:rPr>
      </w:pPr>
      <w:r w:rsidRPr="00B66E62">
        <w:rPr>
          <w:rFonts w:ascii="Times New Roman" w:hAnsi="Times New Roman" w:cs="Times New Roman"/>
          <w:sz w:val="24"/>
          <w:szCs w:val="24"/>
        </w:rPr>
        <w:t xml:space="preserve">Sahay A, Hutchinson M &amp; East L (2015) Exploring the influence of workplace supports and relationships on safe medication practice: a pilot study of Australian graduate nurses. </w:t>
      </w:r>
      <w:r w:rsidRPr="00B66E62">
        <w:rPr>
          <w:rFonts w:ascii="Times New Roman" w:hAnsi="Times New Roman" w:cs="Times New Roman"/>
          <w:i/>
          <w:sz w:val="24"/>
          <w:szCs w:val="24"/>
        </w:rPr>
        <w:t xml:space="preserve">Nurse Education Today </w:t>
      </w:r>
      <w:r w:rsidRPr="00B66E62">
        <w:rPr>
          <w:rFonts w:ascii="Times New Roman" w:hAnsi="Times New Roman" w:cs="Times New Roman"/>
          <w:b/>
          <w:sz w:val="24"/>
          <w:szCs w:val="24"/>
        </w:rPr>
        <w:t>35</w:t>
      </w:r>
      <w:r w:rsidRPr="00B66E62">
        <w:rPr>
          <w:rFonts w:ascii="Times New Roman" w:hAnsi="Times New Roman" w:cs="Times New Roman"/>
          <w:sz w:val="24"/>
          <w:szCs w:val="24"/>
        </w:rPr>
        <w:t>(5), e21-26. doi:10.1016/j.nedt.2015.01.012</w:t>
      </w:r>
    </w:p>
    <w:p w14:paraId="3498B1EB" w14:textId="54BCF53B" w:rsidR="0067796E" w:rsidRPr="00B66E62" w:rsidRDefault="0067796E" w:rsidP="0067796E">
      <w:pPr>
        <w:autoSpaceDE w:val="0"/>
        <w:autoSpaceDN w:val="0"/>
        <w:adjustRightInd w:val="0"/>
        <w:spacing w:after="0" w:line="480" w:lineRule="auto"/>
        <w:rPr>
          <w:rFonts w:ascii="Times New Roman" w:eastAsia="Times New Roman" w:hAnsi="Times New Roman" w:cs="Times New Roman"/>
          <w:sz w:val="24"/>
          <w:szCs w:val="24"/>
        </w:rPr>
      </w:pPr>
      <w:r w:rsidRPr="00B66E62">
        <w:rPr>
          <w:rFonts w:ascii="Times New Roman" w:hAnsi="Times New Roman" w:cs="Times New Roman"/>
          <w:color w:val="000000"/>
          <w:sz w:val="24"/>
          <w:szCs w:val="24"/>
          <w:lang w:val="en-US"/>
        </w:rPr>
        <w:t xml:space="preserve">Slater BL, Lawton R, Armitage G, Bibby J &amp; Wright J (2012) </w:t>
      </w:r>
      <w:r w:rsidRPr="00B66E62">
        <w:rPr>
          <w:rFonts w:ascii="Times New Roman" w:hAnsi="Times New Roman" w:cs="Times New Roman"/>
          <w:sz w:val="24"/>
          <w:szCs w:val="24"/>
          <w:lang w:val="en-US"/>
        </w:rPr>
        <w:t xml:space="preserve">Training and action for patient safety: embedding interprofessional education for patient safety within an improvement methodology. </w:t>
      </w:r>
      <w:r w:rsidRPr="00B66E62">
        <w:rPr>
          <w:rFonts w:ascii="Times New Roman" w:hAnsi="Times New Roman" w:cs="Times New Roman"/>
          <w:i/>
          <w:sz w:val="24"/>
          <w:szCs w:val="24"/>
          <w:lang w:val="en-US"/>
        </w:rPr>
        <w:t>Journal of Continuing Education in the Health Professions</w:t>
      </w:r>
      <w:r w:rsidRPr="00B66E62">
        <w:rPr>
          <w:rFonts w:ascii="Times New Roman" w:hAnsi="Times New Roman" w:cs="Times New Roman"/>
          <w:sz w:val="24"/>
          <w:szCs w:val="24"/>
          <w:lang w:val="en-US"/>
        </w:rPr>
        <w:t xml:space="preserve"> </w:t>
      </w:r>
      <w:r w:rsidRPr="00B66E62">
        <w:rPr>
          <w:rFonts w:ascii="Times New Roman" w:hAnsi="Times New Roman" w:cs="Times New Roman"/>
          <w:b/>
          <w:sz w:val="24"/>
          <w:szCs w:val="24"/>
          <w:lang w:val="en-US"/>
        </w:rPr>
        <w:t>32</w:t>
      </w:r>
      <w:r w:rsidRPr="00B66E62">
        <w:rPr>
          <w:rFonts w:ascii="Times New Roman" w:hAnsi="Times New Roman" w:cs="Times New Roman"/>
          <w:sz w:val="24"/>
          <w:szCs w:val="24"/>
          <w:lang w:val="en-US"/>
        </w:rPr>
        <w:t>(2), 80–89.</w:t>
      </w:r>
    </w:p>
    <w:p w14:paraId="1886C529" w14:textId="1C46B9F8" w:rsidR="00E21C77" w:rsidRPr="00B66E62" w:rsidRDefault="00E21C77" w:rsidP="00E21C77">
      <w:pPr>
        <w:spacing w:after="0" w:line="480" w:lineRule="auto"/>
        <w:rPr>
          <w:rFonts w:ascii="Times New Roman" w:eastAsia="Times New Roman" w:hAnsi="Times New Roman" w:cs="Times New Roman"/>
          <w:sz w:val="24"/>
          <w:szCs w:val="24"/>
        </w:rPr>
      </w:pPr>
      <w:r w:rsidRPr="00B66E62">
        <w:rPr>
          <w:rFonts w:ascii="Times New Roman" w:eastAsia="Times New Roman" w:hAnsi="Times New Roman" w:cs="Times New Roman"/>
          <w:sz w:val="24"/>
          <w:szCs w:val="24"/>
        </w:rPr>
        <w:t xml:space="preserve">Stevanin S, Bressan V, Bulfone G, Zanini A, Dante A &amp; Palese A (2015) Knowledge and competence with patient safety as perceived by nursing students: the findings of a cross-sectional study. </w:t>
      </w:r>
      <w:r w:rsidRPr="00B66E62">
        <w:rPr>
          <w:rFonts w:ascii="Times New Roman" w:eastAsia="Times New Roman" w:hAnsi="Times New Roman" w:cs="Times New Roman"/>
          <w:i/>
          <w:iCs/>
          <w:sz w:val="24"/>
          <w:szCs w:val="24"/>
        </w:rPr>
        <w:t>Nurse Education Today</w:t>
      </w:r>
      <w:r w:rsidRPr="00B66E62">
        <w:rPr>
          <w:rFonts w:ascii="Times New Roman" w:eastAsia="Times New Roman" w:hAnsi="Times New Roman" w:cs="Times New Roman"/>
          <w:sz w:val="24"/>
          <w:szCs w:val="24"/>
        </w:rPr>
        <w:t xml:space="preserve"> </w:t>
      </w:r>
      <w:r w:rsidRPr="00B66E62">
        <w:rPr>
          <w:rFonts w:ascii="Times New Roman" w:eastAsia="Times New Roman" w:hAnsi="Times New Roman" w:cs="Times New Roman"/>
          <w:b/>
          <w:iCs/>
          <w:sz w:val="24"/>
          <w:szCs w:val="24"/>
        </w:rPr>
        <w:t>35</w:t>
      </w:r>
      <w:r w:rsidRPr="00B66E62">
        <w:rPr>
          <w:rFonts w:ascii="Times New Roman" w:eastAsia="Times New Roman" w:hAnsi="Times New Roman" w:cs="Times New Roman"/>
          <w:sz w:val="24"/>
          <w:szCs w:val="24"/>
        </w:rPr>
        <w:t>(8), 926-934.</w:t>
      </w:r>
    </w:p>
    <w:p w14:paraId="05468001" w14:textId="424287E6" w:rsidR="00E21C77" w:rsidRPr="00B66E62" w:rsidRDefault="00E21C77" w:rsidP="00E21C77">
      <w:pPr>
        <w:spacing w:line="480" w:lineRule="auto"/>
        <w:rPr>
          <w:rFonts w:ascii="Times New Roman" w:hAnsi="Times New Roman" w:cs="Times New Roman"/>
          <w:sz w:val="24"/>
          <w:szCs w:val="24"/>
        </w:rPr>
      </w:pPr>
      <w:r w:rsidRPr="00B66E62">
        <w:rPr>
          <w:rFonts w:ascii="Times New Roman" w:eastAsia="Times New Roman" w:hAnsi="Times New Roman" w:cs="Times New Roman"/>
          <w:color w:val="222222"/>
          <w:sz w:val="24"/>
          <w:szCs w:val="24"/>
          <w:lang w:eastAsia="en-AU"/>
        </w:rPr>
        <w:t xml:space="preserve">Steven A, Magnusson C, Smith P &amp; Pearson PH (2014) Patient safety in nursing education: contexts, tensions and feeling safe to learn. </w:t>
      </w:r>
      <w:r w:rsidRPr="00B66E62">
        <w:rPr>
          <w:rFonts w:ascii="Times New Roman" w:eastAsia="Times New Roman" w:hAnsi="Times New Roman" w:cs="Times New Roman"/>
          <w:i/>
          <w:color w:val="222222"/>
          <w:sz w:val="24"/>
          <w:szCs w:val="24"/>
          <w:lang w:eastAsia="en-AU"/>
        </w:rPr>
        <w:t xml:space="preserve">Nurse Education Today </w:t>
      </w:r>
      <w:r w:rsidRPr="00B66E62">
        <w:rPr>
          <w:rFonts w:ascii="Times New Roman" w:eastAsia="Times New Roman" w:hAnsi="Times New Roman" w:cs="Times New Roman"/>
          <w:b/>
          <w:color w:val="222222"/>
          <w:sz w:val="24"/>
          <w:szCs w:val="24"/>
          <w:lang w:eastAsia="en-AU"/>
        </w:rPr>
        <w:t>34</w:t>
      </w:r>
      <w:r w:rsidRPr="00B66E62">
        <w:rPr>
          <w:rFonts w:ascii="Times New Roman" w:eastAsia="Times New Roman" w:hAnsi="Times New Roman" w:cs="Times New Roman"/>
          <w:color w:val="222222"/>
          <w:sz w:val="24"/>
          <w:szCs w:val="24"/>
          <w:lang w:eastAsia="en-AU"/>
        </w:rPr>
        <w:t>, 277-284.</w:t>
      </w:r>
      <w:r w:rsidR="00EB7D7C" w:rsidRPr="00B66E62">
        <w:rPr>
          <w:rFonts w:ascii="Times New Roman" w:eastAsia="Times New Roman" w:hAnsi="Times New Roman" w:cs="Times New Roman"/>
          <w:color w:val="222222"/>
          <w:sz w:val="24"/>
          <w:szCs w:val="24"/>
          <w:lang w:eastAsia="en-AU"/>
        </w:rPr>
        <w:t xml:space="preserve"> </w:t>
      </w:r>
      <w:r w:rsidR="00EB7D7C" w:rsidRPr="00B66E62">
        <w:rPr>
          <w:rFonts w:ascii="Times New Roman" w:hAnsi="Times New Roman" w:cs="Times New Roman"/>
          <w:color w:val="333333"/>
          <w:sz w:val="24"/>
          <w:szCs w:val="24"/>
          <w:shd w:val="clear" w:color="auto" w:fill="FFFFFF"/>
        </w:rPr>
        <w:t>doi:10.1016/j.nedt.2013.04.025</w:t>
      </w:r>
    </w:p>
    <w:p w14:paraId="6CA62BB5" w14:textId="77777777" w:rsidR="00F23CF5" w:rsidRPr="00B66E62" w:rsidRDefault="00E21C77" w:rsidP="00E21C77">
      <w:pPr>
        <w:autoSpaceDE w:val="0"/>
        <w:autoSpaceDN w:val="0"/>
        <w:adjustRightInd w:val="0"/>
        <w:spacing w:after="120" w:line="480" w:lineRule="auto"/>
        <w:rPr>
          <w:rFonts w:ascii="Times New Roman" w:hAnsi="Times New Roman" w:cs="Times New Roman"/>
          <w:sz w:val="24"/>
          <w:szCs w:val="24"/>
        </w:rPr>
      </w:pPr>
      <w:r w:rsidRPr="00B66E62">
        <w:rPr>
          <w:rFonts w:ascii="Times New Roman" w:hAnsi="Times New Roman" w:cs="Times New Roman"/>
          <w:sz w:val="24"/>
          <w:szCs w:val="24"/>
        </w:rPr>
        <w:lastRenderedPageBreak/>
        <w:t xml:space="preserve">Tregunno D, Ginsburg L, Clarke B &amp; Norton P (2014) Integrating patient safety into health professional’s curricula: a qualitative study of medical, nursing and pharmacy faculty perspectives. </w:t>
      </w:r>
      <w:r w:rsidRPr="00B66E62">
        <w:rPr>
          <w:rFonts w:ascii="Times New Roman" w:hAnsi="Times New Roman" w:cs="Times New Roman"/>
          <w:i/>
          <w:sz w:val="24"/>
          <w:szCs w:val="24"/>
        </w:rPr>
        <w:t>BMJ Quality and Safety</w:t>
      </w:r>
      <w:r w:rsidRPr="00B66E62">
        <w:rPr>
          <w:rFonts w:ascii="Times New Roman" w:hAnsi="Times New Roman" w:cs="Times New Roman"/>
          <w:sz w:val="24"/>
          <w:szCs w:val="24"/>
        </w:rPr>
        <w:t xml:space="preserve"> </w:t>
      </w:r>
      <w:r w:rsidRPr="00B66E62">
        <w:rPr>
          <w:rFonts w:ascii="Times New Roman" w:hAnsi="Times New Roman" w:cs="Times New Roman"/>
          <w:b/>
          <w:sz w:val="24"/>
          <w:szCs w:val="24"/>
        </w:rPr>
        <w:t>23</w:t>
      </w:r>
      <w:r w:rsidRPr="00B66E62">
        <w:rPr>
          <w:rFonts w:ascii="Times New Roman" w:hAnsi="Times New Roman" w:cs="Times New Roman"/>
          <w:sz w:val="24"/>
          <w:szCs w:val="24"/>
        </w:rPr>
        <w:t xml:space="preserve">, 257-264. </w:t>
      </w:r>
      <w:r w:rsidR="0090420D" w:rsidRPr="00B66E62">
        <w:rPr>
          <w:rFonts w:ascii="Times New Roman" w:hAnsi="Times New Roman" w:cs="Times New Roman"/>
          <w:sz w:val="24"/>
          <w:szCs w:val="24"/>
        </w:rPr>
        <w:t>doi</w:t>
      </w:r>
      <w:r w:rsidRPr="00B66E62">
        <w:rPr>
          <w:rFonts w:ascii="Times New Roman" w:hAnsi="Times New Roman" w:cs="Times New Roman"/>
          <w:sz w:val="24"/>
          <w:szCs w:val="24"/>
        </w:rPr>
        <w:t xml:space="preserve">.10.1136/bmjqs-2013-001900 </w:t>
      </w:r>
    </w:p>
    <w:p w14:paraId="58567F90" w14:textId="4EB3A8F4" w:rsidR="00E21C77" w:rsidRPr="00B66E62" w:rsidRDefault="00E21C77" w:rsidP="00E21C77">
      <w:pPr>
        <w:spacing w:after="120" w:line="480" w:lineRule="auto"/>
        <w:rPr>
          <w:rFonts w:ascii="Times New Roman" w:hAnsi="Times New Roman" w:cs="Times New Roman"/>
          <w:color w:val="000000"/>
          <w:sz w:val="24"/>
          <w:szCs w:val="24"/>
        </w:rPr>
      </w:pPr>
      <w:r w:rsidRPr="00B66E62">
        <w:rPr>
          <w:rFonts w:ascii="Times New Roman" w:hAnsi="Times New Roman" w:cs="Times New Roman"/>
          <w:color w:val="000000"/>
          <w:sz w:val="24"/>
          <w:szCs w:val="24"/>
        </w:rPr>
        <w:t>Waterson P. (2014)</w:t>
      </w:r>
      <w:r w:rsidRPr="00B66E62">
        <w:rPr>
          <w:rFonts w:ascii="Times New Roman" w:hAnsi="Times New Roman" w:cs="Times New Roman"/>
          <w:i/>
          <w:color w:val="000000"/>
          <w:sz w:val="24"/>
          <w:szCs w:val="24"/>
        </w:rPr>
        <w:t xml:space="preserve"> </w:t>
      </w:r>
      <w:r w:rsidR="002226A1" w:rsidRPr="00B66E62">
        <w:rPr>
          <w:rFonts w:ascii="Times New Roman" w:hAnsi="Times New Roman" w:cs="Times New Roman"/>
          <w:color w:val="000000"/>
          <w:sz w:val="24"/>
          <w:szCs w:val="24"/>
        </w:rPr>
        <w:t>Patient safety culture-setting the scene.</w:t>
      </w:r>
      <w:r w:rsidR="002226A1" w:rsidRPr="00B66E62">
        <w:rPr>
          <w:rFonts w:ascii="Times New Roman" w:hAnsi="Times New Roman" w:cs="Times New Roman"/>
          <w:i/>
          <w:color w:val="000000"/>
          <w:sz w:val="24"/>
          <w:szCs w:val="24"/>
        </w:rPr>
        <w:t xml:space="preserve"> In </w:t>
      </w:r>
      <w:r w:rsidRPr="00B66E62">
        <w:rPr>
          <w:rFonts w:ascii="Times New Roman" w:hAnsi="Times New Roman" w:cs="Times New Roman"/>
          <w:i/>
          <w:color w:val="000000"/>
          <w:sz w:val="24"/>
          <w:szCs w:val="24"/>
        </w:rPr>
        <w:t>Patient safety culture: theory, methods and application</w:t>
      </w:r>
      <w:r w:rsidR="002226A1" w:rsidRPr="00B66E62">
        <w:rPr>
          <w:rFonts w:ascii="Times New Roman" w:hAnsi="Times New Roman" w:cs="Times New Roman"/>
          <w:i/>
          <w:color w:val="000000"/>
          <w:sz w:val="24"/>
          <w:szCs w:val="24"/>
        </w:rPr>
        <w:t xml:space="preserve"> </w:t>
      </w:r>
      <w:r w:rsidR="002226A1" w:rsidRPr="00B66E62">
        <w:rPr>
          <w:rFonts w:ascii="Times New Roman" w:hAnsi="Times New Roman" w:cs="Times New Roman"/>
          <w:color w:val="000000"/>
          <w:sz w:val="24"/>
          <w:szCs w:val="24"/>
        </w:rPr>
        <w:t>(Waterson P</w:t>
      </w:r>
      <w:r w:rsidR="0052465A" w:rsidRPr="00B66E62">
        <w:rPr>
          <w:rFonts w:ascii="Times New Roman" w:hAnsi="Times New Roman" w:cs="Times New Roman"/>
          <w:color w:val="000000"/>
          <w:sz w:val="24"/>
          <w:szCs w:val="24"/>
        </w:rPr>
        <w:t xml:space="preserve"> ed.</w:t>
      </w:r>
      <w:r w:rsidR="002226A1" w:rsidRPr="00B66E62">
        <w:rPr>
          <w:rFonts w:ascii="Times New Roman" w:hAnsi="Times New Roman" w:cs="Times New Roman"/>
          <w:color w:val="000000"/>
          <w:sz w:val="24"/>
          <w:szCs w:val="24"/>
        </w:rPr>
        <w:t>)</w:t>
      </w:r>
      <w:r w:rsidR="0052465A" w:rsidRPr="00B66E62">
        <w:rPr>
          <w:rFonts w:ascii="Times New Roman" w:hAnsi="Times New Roman" w:cs="Times New Roman"/>
          <w:color w:val="000000"/>
          <w:sz w:val="24"/>
          <w:szCs w:val="24"/>
        </w:rPr>
        <w:t>,</w:t>
      </w:r>
      <w:r w:rsidRPr="00B66E62">
        <w:rPr>
          <w:rFonts w:ascii="Times New Roman" w:hAnsi="Times New Roman" w:cs="Times New Roman"/>
          <w:i/>
          <w:color w:val="000000"/>
          <w:sz w:val="24"/>
          <w:szCs w:val="24"/>
        </w:rPr>
        <w:t xml:space="preserve"> </w:t>
      </w:r>
      <w:r w:rsidRPr="00B66E62">
        <w:rPr>
          <w:rFonts w:ascii="Times New Roman" w:hAnsi="Times New Roman" w:cs="Times New Roman"/>
          <w:color w:val="000000"/>
          <w:sz w:val="24"/>
          <w:szCs w:val="24"/>
        </w:rPr>
        <w:t>Ashgate Publishing, Surrey.</w:t>
      </w:r>
    </w:p>
    <w:p w14:paraId="09689D98" w14:textId="1F17246C" w:rsidR="00E21C77" w:rsidRPr="00B66E62" w:rsidRDefault="00E21C77" w:rsidP="00E21C77">
      <w:pPr>
        <w:spacing w:after="120" w:line="480" w:lineRule="auto"/>
        <w:rPr>
          <w:rFonts w:ascii="Times New Roman" w:hAnsi="Times New Roman" w:cs="Times New Roman"/>
          <w:color w:val="000000"/>
          <w:sz w:val="24"/>
          <w:szCs w:val="24"/>
        </w:rPr>
      </w:pPr>
      <w:r w:rsidRPr="00B66E62">
        <w:rPr>
          <w:rFonts w:ascii="Times New Roman" w:hAnsi="Times New Roman" w:cs="Times New Roman"/>
          <w:color w:val="000000"/>
          <w:sz w:val="24"/>
          <w:szCs w:val="24"/>
        </w:rPr>
        <w:t xml:space="preserve">Weatherford BH &amp; Viveiros JA (2015) Senior nursing students’ perspectives on safety competencies: an end of program outcome evaluation. </w:t>
      </w:r>
      <w:r w:rsidRPr="00B66E62">
        <w:rPr>
          <w:rFonts w:ascii="Times New Roman" w:hAnsi="Times New Roman" w:cs="Times New Roman"/>
          <w:i/>
          <w:color w:val="000000"/>
          <w:sz w:val="24"/>
          <w:szCs w:val="24"/>
        </w:rPr>
        <w:t>Nursing Education Perspectives</w:t>
      </w:r>
      <w:r w:rsidRPr="00B66E62">
        <w:rPr>
          <w:rFonts w:ascii="Times New Roman" w:hAnsi="Times New Roman" w:cs="Times New Roman"/>
          <w:color w:val="000000"/>
          <w:sz w:val="24"/>
          <w:szCs w:val="24"/>
        </w:rPr>
        <w:t xml:space="preserve"> </w:t>
      </w:r>
      <w:r w:rsidRPr="00B66E62">
        <w:rPr>
          <w:rFonts w:ascii="Times New Roman" w:hAnsi="Times New Roman" w:cs="Times New Roman"/>
          <w:b/>
          <w:color w:val="000000"/>
          <w:sz w:val="24"/>
          <w:szCs w:val="24"/>
        </w:rPr>
        <w:t>36</w:t>
      </w:r>
      <w:r w:rsidRPr="00B66E62">
        <w:rPr>
          <w:rFonts w:ascii="Times New Roman" w:hAnsi="Times New Roman" w:cs="Times New Roman"/>
          <w:color w:val="000000"/>
          <w:sz w:val="24"/>
          <w:szCs w:val="24"/>
        </w:rPr>
        <w:t xml:space="preserve">(3), 182-184. </w:t>
      </w:r>
      <w:r w:rsidR="00AE1310" w:rsidRPr="00B66E62">
        <w:rPr>
          <w:rFonts w:ascii="Times New Roman" w:hAnsi="Times New Roman" w:cs="Times New Roman"/>
          <w:color w:val="000000"/>
          <w:sz w:val="24"/>
          <w:szCs w:val="24"/>
        </w:rPr>
        <w:t>doi</w:t>
      </w:r>
      <w:r w:rsidRPr="00B66E62">
        <w:rPr>
          <w:rFonts w:ascii="Times New Roman" w:hAnsi="Times New Roman" w:cs="Times New Roman"/>
          <w:color w:val="000000"/>
          <w:sz w:val="24"/>
          <w:szCs w:val="24"/>
        </w:rPr>
        <w:t>.10.5480/13-1182</w:t>
      </w:r>
    </w:p>
    <w:p w14:paraId="0D728160" w14:textId="29BD9DDD" w:rsidR="00E21C77" w:rsidRPr="00B66E62" w:rsidRDefault="00E21C77" w:rsidP="00E21C77">
      <w:pPr>
        <w:autoSpaceDE w:val="0"/>
        <w:autoSpaceDN w:val="0"/>
        <w:adjustRightInd w:val="0"/>
        <w:spacing w:after="120" w:line="480" w:lineRule="auto"/>
        <w:rPr>
          <w:rFonts w:ascii="Times New Roman" w:hAnsi="Times New Roman" w:cs="Times New Roman"/>
          <w:color w:val="000000"/>
          <w:sz w:val="24"/>
          <w:szCs w:val="24"/>
        </w:rPr>
      </w:pPr>
      <w:r w:rsidRPr="00B66E62">
        <w:rPr>
          <w:rFonts w:ascii="Times New Roman" w:hAnsi="Times New Roman" w:cs="Times New Roman"/>
          <w:color w:val="000000"/>
          <w:sz w:val="24"/>
          <w:szCs w:val="24"/>
        </w:rPr>
        <w:t>World Health Organization</w:t>
      </w:r>
      <w:r w:rsidR="00792E7E" w:rsidRPr="00B66E62">
        <w:rPr>
          <w:rFonts w:ascii="Times New Roman" w:hAnsi="Times New Roman" w:cs="Times New Roman"/>
          <w:color w:val="000000"/>
          <w:sz w:val="24"/>
          <w:szCs w:val="24"/>
        </w:rPr>
        <w:t xml:space="preserve"> (WHO)</w:t>
      </w:r>
      <w:r w:rsidRPr="00B66E62">
        <w:rPr>
          <w:rFonts w:ascii="Times New Roman" w:hAnsi="Times New Roman" w:cs="Times New Roman"/>
          <w:color w:val="000000"/>
          <w:sz w:val="24"/>
          <w:szCs w:val="24"/>
        </w:rPr>
        <w:t xml:space="preserve"> (2009</w:t>
      </w:r>
      <w:r w:rsidR="006B35D6" w:rsidRPr="00B66E62">
        <w:rPr>
          <w:rFonts w:ascii="Times New Roman" w:hAnsi="Times New Roman" w:cs="Times New Roman"/>
          <w:color w:val="000000"/>
          <w:sz w:val="24"/>
          <w:szCs w:val="24"/>
        </w:rPr>
        <w:t>a</w:t>
      </w:r>
      <w:r w:rsidRPr="00B66E62">
        <w:rPr>
          <w:rFonts w:ascii="Times New Roman" w:hAnsi="Times New Roman" w:cs="Times New Roman"/>
          <w:color w:val="000000"/>
          <w:sz w:val="24"/>
          <w:szCs w:val="24"/>
        </w:rPr>
        <w:t>)</w:t>
      </w:r>
      <w:r w:rsidRPr="00B66E62">
        <w:rPr>
          <w:rFonts w:ascii="Times New Roman" w:hAnsi="Times New Roman" w:cs="Times New Roman"/>
          <w:i/>
          <w:color w:val="000000"/>
          <w:sz w:val="24"/>
          <w:szCs w:val="24"/>
        </w:rPr>
        <w:t xml:space="preserve"> WHO patient safety curriculum guide for medical schools</w:t>
      </w:r>
      <w:r w:rsidR="001C7DFE" w:rsidRPr="00B66E62">
        <w:rPr>
          <w:rFonts w:ascii="Times New Roman" w:hAnsi="Times New Roman" w:cs="Times New Roman"/>
          <w:i/>
          <w:color w:val="000000"/>
          <w:sz w:val="24"/>
          <w:szCs w:val="24"/>
        </w:rPr>
        <w:t>.</w:t>
      </w:r>
      <w:r w:rsidR="00A642CD" w:rsidRPr="00B66E62">
        <w:rPr>
          <w:rFonts w:ascii="Times New Roman" w:hAnsi="Times New Roman" w:cs="Times New Roman"/>
          <w:i/>
          <w:color w:val="000000"/>
          <w:sz w:val="24"/>
          <w:szCs w:val="24"/>
        </w:rPr>
        <w:t xml:space="preserve"> </w:t>
      </w:r>
      <w:r w:rsidR="001C7DFE" w:rsidRPr="00B66E62">
        <w:rPr>
          <w:rFonts w:ascii="Times New Roman" w:hAnsi="Times New Roman" w:cs="Times New Roman"/>
          <w:color w:val="000000"/>
          <w:sz w:val="24"/>
          <w:szCs w:val="24"/>
        </w:rPr>
        <w:t>W</w:t>
      </w:r>
      <w:r w:rsidR="00342D08" w:rsidRPr="00B66E62">
        <w:rPr>
          <w:rFonts w:ascii="Times New Roman" w:hAnsi="Times New Roman" w:cs="Times New Roman"/>
          <w:color w:val="000000"/>
          <w:sz w:val="24"/>
          <w:szCs w:val="24"/>
        </w:rPr>
        <w:t>HO</w:t>
      </w:r>
      <w:r w:rsidR="001C7DFE" w:rsidRPr="00B66E62">
        <w:rPr>
          <w:rFonts w:ascii="Times New Roman" w:hAnsi="Times New Roman" w:cs="Times New Roman"/>
          <w:color w:val="000000"/>
          <w:sz w:val="24"/>
          <w:szCs w:val="24"/>
        </w:rPr>
        <w:t>, United Kingdom</w:t>
      </w:r>
      <w:r w:rsidR="001C7DFE" w:rsidRPr="00B66E62">
        <w:rPr>
          <w:rFonts w:ascii="Times New Roman" w:hAnsi="Times New Roman" w:cs="Times New Roman"/>
          <w:i/>
          <w:color w:val="000000"/>
          <w:sz w:val="24"/>
          <w:szCs w:val="24"/>
        </w:rPr>
        <w:t>.</w:t>
      </w:r>
      <w:r w:rsidRPr="00B66E62">
        <w:rPr>
          <w:rFonts w:ascii="Times New Roman" w:hAnsi="Times New Roman" w:cs="Times New Roman"/>
          <w:i/>
          <w:color w:val="000000"/>
          <w:sz w:val="24"/>
          <w:szCs w:val="24"/>
        </w:rPr>
        <w:t xml:space="preserve"> </w:t>
      </w:r>
      <w:r w:rsidRPr="00B66E62">
        <w:rPr>
          <w:rFonts w:ascii="Times New Roman" w:hAnsi="Times New Roman" w:cs="Times New Roman"/>
          <w:color w:val="000000"/>
          <w:sz w:val="24"/>
          <w:szCs w:val="24"/>
        </w:rPr>
        <w:t>Available at:</w:t>
      </w:r>
      <w:r w:rsidRPr="00B66E62">
        <w:rPr>
          <w:rFonts w:ascii="Times New Roman" w:hAnsi="Times New Roman" w:cs="Times New Roman"/>
          <w:i/>
          <w:color w:val="000000"/>
          <w:sz w:val="24"/>
          <w:szCs w:val="24"/>
        </w:rPr>
        <w:t xml:space="preserve"> </w:t>
      </w:r>
      <w:hyperlink r:id="rId11" w:history="1">
        <w:r w:rsidRPr="00B66E62">
          <w:rPr>
            <w:rStyle w:val="Hyperlink"/>
            <w:rFonts w:ascii="Times New Roman" w:hAnsi="Times New Roman" w:cs="Times New Roman"/>
            <w:sz w:val="24"/>
            <w:szCs w:val="24"/>
          </w:rPr>
          <w:t>http://www.who.int/patientsafety/information_centre/documents/who_ps_curriculum_summary.pdf?ua=1</w:t>
        </w:r>
      </w:hyperlink>
      <w:r w:rsidRPr="00B66E62">
        <w:rPr>
          <w:rStyle w:val="Hyperlink"/>
          <w:rFonts w:ascii="Times New Roman" w:hAnsi="Times New Roman" w:cs="Times New Roman"/>
          <w:i/>
          <w:sz w:val="24"/>
          <w:szCs w:val="24"/>
        </w:rPr>
        <w:t xml:space="preserve"> </w:t>
      </w:r>
      <w:r w:rsidRPr="00B66E62">
        <w:rPr>
          <w:rStyle w:val="Hyperlink"/>
          <w:rFonts w:ascii="Times New Roman" w:hAnsi="Times New Roman" w:cs="Times New Roman"/>
          <w:color w:val="auto"/>
          <w:sz w:val="24"/>
          <w:szCs w:val="24"/>
          <w:u w:val="none"/>
        </w:rPr>
        <w:t>(accessed 10 January 2016).</w:t>
      </w:r>
    </w:p>
    <w:p w14:paraId="7CD9F957" w14:textId="4CF4C056" w:rsidR="00E21C77" w:rsidRDefault="00E21C77" w:rsidP="00E21C77">
      <w:pPr>
        <w:autoSpaceDE w:val="0"/>
        <w:autoSpaceDN w:val="0"/>
        <w:adjustRightInd w:val="0"/>
        <w:spacing w:after="120" w:line="480" w:lineRule="auto"/>
        <w:rPr>
          <w:rFonts w:ascii="Times New Roman" w:hAnsi="Times New Roman" w:cs="Times New Roman"/>
          <w:sz w:val="24"/>
          <w:szCs w:val="24"/>
        </w:rPr>
      </w:pPr>
      <w:r w:rsidRPr="00B66E62">
        <w:rPr>
          <w:rFonts w:ascii="Times New Roman" w:hAnsi="Times New Roman" w:cs="Times New Roman"/>
          <w:sz w:val="24"/>
          <w:szCs w:val="24"/>
        </w:rPr>
        <w:t>World Health Organization</w:t>
      </w:r>
      <w:r w:rsidR="00792E7E" w:rsidRPr="00B66E62">
        <w:rPr>
          <w:rFonts w:ascii="Times New Roman" w:hAnsi="Times New Roman" w:cs="Times New Roman"/>
          <w:sz w:val="24"/>
          <w:szCs w:val="24"/>
        </w:rPr>
        <w:t xml:space="preserve"> (WHO)</w:t>
      </w:r>
      <w:r w:rsidRPr="00B66E62">
        <w:rPr>
          <w:rFonts w:ascii="Times New Roman" w:hAnsi="Times New Roman" w:cs="Times New Roman"/>
          <w:sz w:val="24"/>
          <w:szCs w:val="24"/>
        </w:rPr>
        <w:t xml:space="preserve"> (2009</w:t>
      </w:r>
      <w:r w:rsidR="006B35D6" w:rsidRPr="00B66E62">
        <w:rPr>
          <w:rFonts w:ascii="Times New Roman" w:hAnsi="Times New Roman" w:cs="Times New Roman"/>
          <w:sz w:val="24"/>
          <w:szCs w:val="24"/>
        </w:rPr>
        <w:t>b</w:t>
      </w:r>
      <w:r w:rsidRPr="00B66E62">
        <w:rPr>
          <w:rFonts w:ascii="Times New Roman" w:hAnsi="Times New Roman" w:cs="Times New Roman"/>
          <w:sz w:val="24"/>
          <w:szCs w:val="24"/>
        </w:rPr>
        <w:t xml:space="preserve">). </w:t>
      </w:r>
      <w:r w:rsidRPr="00B66E62">
        <w:rPr>
          <w:rFonts w:ascii="Times New Roman" w:hAnsi="Times New Roman" w:cs="Times New Roman"/>
          <w:i/>
          <w:sz w:val="24"/>
          <w:szCs w:val="24"/>
        </w:rPr>
        <w:t>Global priorities for patient safety research</w:t>
      </w:r>
      <w:r w:rsidRPr="00B66E62">
        <w:rPr>
          <w:rFonts w:ascii="Times New Roman" w:hAnsi="Times New Roman" w:cs="Times New Roman"/>
          <w:sz w:val="24"/>
          <w:szCs w:val="24"/>
        </w:rPr>
        <w:t>. W</w:t>
      </w:r>
      <w:r w:rsidR="00342D08" w:rsidRPr="00B66E62">
        <w:rPr>
          <w:rFonts w:ascii="Times New Roman" w:hAnsi="Times New Roman" w:cs="Times New Roman"/>
          <w:sz w:val="24"/>
          <w:szCs w:val="24"/>
        </w:rPr>
        <w:t>HO</w:t>
      </w:r>
      <w:r w:rsidRPr="00B66E62">
        <w:rPr>
          <w:rFonts w:ascii="Times New Roman" w:hAnsi="Times New Roman" w:cs="Times New Roman"/>
          <w:sz w:val="24"/>
          <w:szCs w:val="24"/>
        </w:rPr>
        <w:t>, Geneva.</w:t>
      </w:r>
      <w:r w:rsidR="006B35D6" w:rsidRPr="00B66E62">
        <w:rPr>
          <w:rFonts w:ascii="Times New Roman" w:hAnsi="Times New Roman" w:cs="Times New Roman"/>
          <w:sz w:val="24"/>
          <w:szCs w:val="24"/>
        </w:rPr>
        <w:t xml:space="preserve"> Available at: </w:t>
      </w:r>
      <w:hyperlink r:id="rId12" w:history="1">
        <w:r w:rsidR="001C7DFE" w:rsidRPr="00B66E62">
          <w:rPr>
            <w:rStyle w:val="Hyperlink"/>
            <w:rFonts w:ascii="Times New Roman" w:hAnsi="Times New Roman" w:cs="Times New Roman"/>
            <w:sz w:val="24"/>
            <w:szCs w:val="24"/>
          </w:rPr>
          <w:t>http://apps.who.int/iris/bitstream/10665/44205/1/9789241598620_eng.pdf</w:t>
        </w:r>
      </w:hyperlink>
      <w:r w:rsidR="001C7DFE" w:rsidRPr="00B66E62">
        <w:rPr>
          <w:rFonts w:ascii="Times New Roman" w:hAnsi="Times New Roman" w:cs="Times New Roman"/>
          <w:sz w:val="24"/>
          <w:szCs w:val="24"/>
        </w:rPr>
        <w:t xml:space="preserve"> </w:t>
      </w:r>
      <w:r w:rsidR="001C7DFE" w:rsidRPr="00B66E62">
        <w:rPr>
          <w:rStyle w:val="Hyperlink"/>
          <w:rFonts w:ascii="Times New Roman" w:hAnsi="Times New Roman" w:cs="Times New Roman"/>
          <w:color w:val="auto"/>
          <w:sz w:val="24"/>
          <w:szCs w:val="24"/>
          <w:u w:val="none"/>
        </w:rPr>
        <w:t>(accessed 10 January 2016).</w:t>
      </w:r>
      <w:bookmarkStart w:id="0" w:name="_GoBack"/>
      <w:bookmarkEnd w:id="0"/>
    </w:p>
    <w:p w14:paraId="31E59CAC" w14:textId="77777777" w:rsidR="00E21C77" w:rsidRDefault="00E21C77" w:rsidP="00A5391A">
      <w:pPr>
        <w:autoSpaceDE w:val="0"/>
        <w:autoSpaceDN w:val="0"/>
        <w:adjustRightInd w:val="0"/>
        <w:spacing w:after="120" w:line="480" w:lineRule="auto"/>
        <w:rPr>
          <w:rFonts w:ascii="Times New Roman" w:hAnsi="Times New Roman" w:cs="Times New Roman"/>
          <w:sz w:val="24"/>
          <w:szCs w:val="24"/>
        </w:rPr>
      </w:pPr>
    </w:p>
    <w:p w14:paraId="171C90FF" w14:textId="77777777" w:rsidR="00955EAF" w:rsidRDefault="00955EAF" w:rsidP="00A5391A">
      <w:pPr>
        <w:autoSpaceDE w:val="0"/>
        <w:autoSpaceDN w:val="0"/>
        <w:adjustRightInd w:val="0"/>
        <w:spacing w:after="120" w:line="480" w:lineRule="auto"/>
        <w:rPr>
          <w:rFonts w:ascii="Times New Roman" w:hAnsi="Times New Roman" w:cs="Times New Roman"/>
          <w:sz w:val="24"/>
          <w:szCs w:val="24"/>
        </w:rPr>
      </w:pPr>
    </w:p>
    <w:p w14:paraId="391A2469" w14:textId="77777777" w:rsidR="00955EAF" w:rsidRDefault="00955EAF" w:rsidP="00A5391A">
      <w:pPr>
        <w:autoSpaceDE w:val="0"/>
        <w:autoSpaceDN w:val="0"/>
        <w:adjustRightInd w:val="0"/>
        <w:spacing w:after="120" w:line="480" w:lineRule="auto"/>
        <w:rPr>
          <w:rFonts w:ascii="Times New Roman" w:hAnsi="Times New Roman" w:cs="Times New Roman"/>
          <w:sz w:val="24"/>
          <w:szCs w:val="24"/>
        </w:rPr>
      </w:pPr>
    </w:p>
    <w:p w14:paraId="0B521234" w14:textId="37548253" w:rsidR="00FA2170" w:rsidRDefault="00FA2170" w:rsidP="00A5391A">
      <w:pPr>
        <w:autoSpaceDE w:val="0"/>
        <w:autoSpaceDN w:val="0"/>
        <w:adjustRightInd w:val="0"/>
        <w:spacing w:after="120" w:line="480" w:lineRule="auto"/>
        <w:rPr>
          <w:rFonts w:ascii="Times New Roman" w:hAnsi="Times New Roman" w:cs="Times New Roman"/>
          <w:sz w:val="24"/>
          <w:szCs w:val="24"/>
        </w:rPr>
      </w:pPr>
    </w:p>
    <w:sectPr w:rsidR="00FA217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4E59C" w14:textId="77777777" w:rsidR="001F38C0" w:rsidRDefault="001F38C0" w:rsidP="00BD6D07">
      <w:pPr>
        <w:spacing w:after="0" w:line="240" w:lineRule="auto"/>
      </w:pPr>
      <w:r>
        <w:separator/>
      </w:r>
    </w:p>
  </w:endnote>
  <w:endnote w:type="continuationSeparator" w:id="0">
    <w:p w14:paraId="4148D2FC" w14:textId="77777777" w:rsidR="001F38C0" w:rsidRDefault="001F38C0" w:rsidP="00BD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ovanniStd-Book">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04152"/>
      <w:docPartObj>
        <w:docPartGallery w:val="Page Numbers (Bottom of Page)"/>
        <w:docPartUnique/>
      </w:docPartObj>
    </w:sdtPr>
    <w:sdtEndPr>
      <w:rPr>
        <w:noProof/>
      </w:rPr>
    </w:sdtEndPr>
    <w:sdtContent>
      <w:p w14:paraId="5B0FDC88" w14:textId="6F0A8AF3" w:rsidR="00A33401" w:rsidRDefault="00A33401">
        <w:pPr>
          <w:pStyle w:val="Footer"/>
          <w:jc w:val="right"/>
        </w:pPr>
        <w:r>
          <w:fldChar w:fldCharType="begin"/>
        </w:r>
        <w:r>
          <w:instrText xml:space="preserve"> PAGE   \* MERGEFORMAT </w:instrText>
        </w:r>
        <w:r>
          <w:fldChar w:fldCharType="separate"/>
        </w:r>
        <w:r w:rsidR="00B66E62">
          <w:rPr>
            <w:noProof/>
          </w:rPr>
          <w:t>26</w:t>
        </w:r>
        <w:r>
          <w:rPr>
            <w:noProof/>
          </w:rPr>
          <w:fldChar w:fldCharType="end"/>
        </w:r>
      </w:p>
    </w:sdtContent>
  </w:sdt>
  <w:p w14:paraId="03EE727E" w14:textId="77777777" w:rsidR="00A33401" w:rsidRDefault="00A3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06177" w14:textId="77777777" w:rsidR="001F38C0" w:rsidRDefault="001F38C0" w:rsidP="00BD6D07">
      <w:pPr>
        <w:spacing w:after="0" w:line="240" w:lineRule="auto"/>
      </w:pPr>
      <w:r>
        <w:separator/>
      </w:r>
    </w:p>
  </w:footnote>
  <w:footnote w:type="continuationSeparator" w:id="0">
    <w:p w14:paraId="43452EAE" w14:textId="77777777" w:rsidR="001F38C0" w:rsidRDefault="001F38C0" w:rsidP="00BD6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7A9"/>
    <w:multiLevelType w:val="hybridMultilevel"/>
    <w:tmpl w:val="D7C2B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57C07"/>
    <w:multiLevelType w:val="multilevel"/>
    <w:tmpl w:val="F2F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73201"/>
    <w:multiLevelType w:val="hybridMultilevel"/>
    <w:tmpl w:val="806E8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480E06"/>
    <w:multiLevelType w:val="hybridMultilevel"/>
    <w:tmpl w:val="65282BB0"/>
    <w:lvl w:ilvl="0" w:tplc="4F68B056">
      <w:start w:val="1"/>
      <w:numFmt w:val="bullet"/>
      <w:lvlText w:val=""/>
      <w:lvlJc w:val="left"/>
      <w:pPr>
        <w:tabs>
          <w:tab w:val="num" w:pos="720"/>
        </w:tabs>
        <w:ind w:left="720" w:hanging="360"/>
      </w:pPr>
      <w:rPr>
        <w:rFonts w:ascii="Wingdings" w:hAnsi="Wingdings" w:hint="default"/>
      </w:rPr>
    </w:lvl>
    <w:lvl w:ilvl="1" w:tplc="574C692C" w:tentative="1">
      <w:start w:val="1"/>
      <w:numFmt w:val="bullet"/>
      <w:lvlText w:val=""/>
      <w:lvlJc w:val="left"/>
      <w:pPr>
        <w:tabs>
          <w:tab w:val="num" w:pos="1440"/>
        </w:tabs>
        <w:ind w:left="1440" w:hanging="360"/>
      </w:pPr>
      <w:rPr>
        <w:rFonts w:ascii="Wingdings" w:hAnsi="Wingdings" w:hint="default"/>
      </w:rPr>
    </w:lvl>
    <w:lvl w:ilvl="2" w:tplc="3C12043A" w:tentative="1">
      <w:start w:val="1"/>
      <w:numFmt w:val="bullet"/>
      <w:lvlText w:val=""/>
      <w:lvlJc w:val="left"/>
      <w:pPr>
        <w:tabs>
          <w:tab w:val="num" w:pos="2160"/>
        </w:tabs>
        <w:ind w:left="2160" w:hanging="360"/>
      </w:pPr>
      <w:rPr>
        <w:rFonts w:ascii="Wingdings" w:hAnsi="Wingdings" w:hint="default"/>
      </w:rPr>
    </w:lvl>
    <w:lvl w:ilvl="3" w:tplc="9A66D8CE" w:tentative="1">
      <w:start w:val="1"/>
      <w:numFmt w:val="bullet"/>
      <w:lvlText w:val=""/>
      <w:lvlJc w:val="left"/>
      <w:pPr>
        <w:tabs>
          <w:tab w:val="num" w:pos="2880"/>
        </w:tabs>
        <w:ind w:left="2880" w:hanging="360"/>
      </w:pPr>
      <w:rPr>
        <w:rFonts w:ascii="Wingdings" w:hAnsi="Wingdings" w:hint="default"/>
      </w:rPr>
    </w:lvl>
    <w:lvl w:ilvl="4" w:tplc="171CE4FE" w:tentative="1">
      <w:start w:val="1"/>
      <w:numFmt w:val="bullet"/>
      <w:lvlText w:val=""/>
      <w:lvlJc w:val="left"/>
      <w:pPr>
        <w:tabs>
          <w:tab w:val="num" w:pos="3600"/>
        </w:tabs>
        <w:ind w:left="3600" w:hanging="360"/>
      </w:pPr>
      <w:rPr>
        <w:rFonts w:ascii="Wingdings" w:hAnsi="Wingdings" w:hint="default"/>
      </w:rPr>
    </w:lvl>
    <w:lvl w:ilvl="5" w:tplc="7C46E704" w:tentative="1">
      <w:start w:val="1"/>
      <w:numFmt w:val="bullet"/>
      <w:lvlText w:val=""/>
      <w:lvlJc w:val="left"/>
      <w:pPr>
        <w:tabs>
          <w:tab w:val="num" w:pos="4320"/>
        </w:tabs>
        <w:ind w:left="4320" w:hanging="360"/>
      </w:pPr>
      <w:rPr>
        <w:rFonts w:ascii="Wingdings" w:hAnsi="Wingdings" w:hint="default"/>
      </w:rPr>
    </w:lvl>
    <w:lvl w:ilvl="6" w:tplc="26223096" w:tentative="1">
      <w:start w:val="1"/>
      <w:numFmt w:val="bullet"/>
      <w:lvlText w:val=""/>
      <w:lvlJc w:val="left"/>
      <w:pPr>
        <w:tabs>
          <w:tab w:val="num" w:pos="5040"/>
        </w:tabs>
        <w:ind w:left="5040" w:hanging="360"/>
      </w:pPr>
      <w:rPr>
        <w:rFonts w:ascii="Wingdings" w:hAnsi="Wingdings" w:hint="default"/>
      </w:rPr>
    </w:lvl>
    <w:lvl w:ilvl="7" w:tplc="73668824" w:tentative="1">
      <w:start w:val="1"/>
      <w:numFmt w:val="bullet"/>
      <w:lvlText w:val=""/>
      <w:lvlJc w:val="left"/>
      <w:pPr>
        <w:tabs>
          <w:tab w:val="num" w:pos="5760"/>
        </w:tabs>
        <w:ind w:left="5760" w:hanging="360"/>
      </w:pPr>
      <w:rPr>
        <w:rFonts w:ascii="Wingdings" w:hAnsi="Wingdings" w:hint="default"/>
      </w:rPr>
    </w:lvl>
    <w:lvl w:ilvl="8" w:tplc="4A74C7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EF189A"/>
    <w:multiLevelType w:val="hybridMultilevel"/>
    <w:tmpl w:val="E46C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F351B"/>
    <w:multiLevelType w:val="hybridMultilevel"/>
    <w:tmpl w:val="4B8829DE"/>
    <w:lvl w:ilvl="0" w:tplc="700AC4AA">
      <w:start w:val="1"/>
      <w:numFmt w:val="decimal"/>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6" w15:restartNumberingAfterBreak="0">
    <w:nsid w:val="5F883B76"/>
    <w:multiLevelType w:val="hybridMultilevel"/>
    <w:tmpl w:val="C802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16E39"/>
    <w:multiLevelType w:val="hybridMultilevel"/>
    <w:tmpl w:val="AF4A1B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dvanced Nursin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6666B0"/>
    <w:rsid w:val="00000A7C"/>
    <w:rsid w:val="000137EC"/>
    <w:rsid w:val="00017242"/>
    <w:rsid w:val="0002187F"/>
    <w:rsid w:val="00021A13"/>
    <w:rsid w:val="00021A60"/>
    <w:rsid w:val="0002561F"/>
    <w:rsid w:val="00030E4E"/>
    <w:rsid w:val="00034427"/>
    <w:rsid w:val="00035D92"/>
    <w:rsid w:val="00044A17"/>
    <w:rsid w:val="00045D2F"/>
    <w:rsid w:val="0005080D"/>
    <w:rsid w:val="000514B9"/>
    <w:rsid w:val="00053876"/>
    <w:rsid w:val="0005455A"/>
    <w:rsid w:val="00070DD6"/>
    <w:rsid w:val="0007643B"/>
    <w:rsid w:val="00077B6F"/>
    <w:rsid w:val="00081CD3"/>
    <w:rsid w:val="000911B1"/>
    <w:rsid w:val="000912D2"/>
    <w:rsid w:val="000926A8"/>
    <w:rsid w:val="0009437C"/>
    <w:rsid w:val="000950BC"/>
    <w:rsid w:val="000A3DD2"/>
    <w:rsid w:val="000A7856"/>
    <w:rsid w:val="000B0703"/>
    <w:rsid w:val="000B10ED"/>
    <w:rsid w:val="000B1FE5"/>
    <w:rsid w:val="000B2BE3"/>
    <w:rsid w:val="000C131B"/>
    <w:rsid w:val="000C510B"/>
    <w:rsid w:val="000C523D"/>
    <w:rsid w:val="000D3466"/>
    <w:rsid w:val="000D4AE1"/>
    <w:rsid w:val="000E44A0"/>
    <w:rsid w:val="000F4DDC"/>
    <w:rsid w:val="000F5FD2"/>
    <w:rsid w:val="000F76D9"/>
    <w:rsid w:val="001017B3"/>
    <w:rsid w:val="001051A1"/>
    <w:rsid w:val="001069F9"/>
    <w:rsid w:val="001070CA"/>
    <w:rsid w:val="00110E81"/>
    <w:rsid w:val="00112105"/>
    <w:rsid w:val="00115A54"/>
    <w:rsid w:val="00116193"/>
    <w:rsid w:val="001166D7"/>
    <w:rsid w:val="00121750"/>
    <w:rsid w:val="00130D5E"/>
    <w:rsid w:val="001346E6"/>
    <w:rsid w:val="00135423"/>
    <w:rsid w:val="00142755"/>
    <w:rsid w:val="00143623"/>
    <w:rsid w:val="001518FB"/>
    <w:rsid w:val="001535C5"/>
    <w:rsid w:val="00153874"/>
    <w:rsid w:val="00160282"/>
    <w:rsid w:val="0016096A"/>
    <w:rsid w:val="00161197"/>
    <w:rsid w:val="00161C24"/>
    <w:rsid w:val="00161E66"/>
    <w:rsid w:val="00163DAF"/>
    <w:rsid w:val="0016482B"/>
    <w:rsid w:val="00165302"/>
    <w:rsid w:val="00167D37"/>
    <w:rsid w:val="00170252"/>
    <w:rsid w:val="00177767"/>
    <w:rsid w:val="00177F41"/>
    <w:rsid w:val="00177F9A"/>
    <w:rsid w:val="00184004"/>
    <w:rsid w:val="00184D53"/>
    <w:rsid w:val="00185C6A"/>
    <w:rsid w:val="00193317"/>
    <w:rsid w:val="001940BD"/>
    <w:rsid w:val="001945F0"/>
    <w:rsid w:val="001967A5"/>
    <w:rsid w:val="001974D7"/>
    <w:rsid w:val="001A1FAD"/>
    <w:rsid w:val="001A3BD8"/>
    <w:rsid w:val="001A47AC"/>
    <w:rsid w:val="001A6CDB"/>
    <w:rsid w:val="001A7221"/>
    <w:rsid w:val="001A77AC"/>
    <w:rsid w:val="001A788D"/>
    <w:rsid w:val="001B3D75"/>
    <w:rsid w:val="001B4DB2"/>
    <w:rsid w:val="001B508E"/>
    <w:rsid w:val="001B6EC7"/>
    <w:rsid w:val="001C2097"/>
    <w:rsid w:val="001C7B28"/>
    <w:rsid w:val="001C7DFE"/>
    <w:rsid w:val="001D0AA0"/>
    <w:rsid w:val="001D5A14"/>
    <w:rsid w:val="001E0496"/>
    <w:rsid w:val="001E12AE"/>
    <w:rsid w:val="001E237A"/>
    <w:rsid w:val="001E321A"/>
    <w:rsid w:val="001E3A20"/>
    <w:rsid w:val="001E5D30"/>
    <w:rsid w:val="001E5DC5"/>
    <w:rsid w:val="001F0746"/>
    <w:rsid w:val="001F38C0"/>
    <w:rsid w:val="001F5494"/>
    <w:rsid w:val="00204B0C"/>
    <w:rsid w:val="002110FB"/>
    <w:rsid w:val="002126DE"/>
    <w:rsid w:val="00217CC1"/>
    <w:rsid w:val="00220D5C"/>
    <w:rsid w:val="002226A1"/>
    <w:rsid w:val="0022527F"/>
    <w:rsid w:val="00232FA6"/>
    <w:rsid w:val="0023763E"/>
    <w:rsid w:val="002460B7"/>
    <w:rsid w:val="00250608"/>
    <w:rsid w:val="00251F34"/>
    <w:rsid w:val="00252BF0"/>
    <w:rsid w:val="0025670E"/>
    <w:rsid w:val="002660C0"/>
    <w:rsid w:val="00274D2F"/>
    <w:rsid w:val="00276E97"/>
    <w:rsid w:val="00277B88"/>
    <w:rsid w:val="002820CC"/>
    <w:rsid w:val="00285FA2"/>
    <w:rsid w:val="0029120E"/>
    <w:rsid w:val="00293742"/>
    <w:rsid w:val="00293DC0"/>
    <w:rsid w:val="00295E3B"/>
    <w:rsid w:val="002960A6"/>
    <w:rsid w:val="0029669B"/>
    <w:rsid w:val="002A2ED5"/>
    <w:rsid w:val="002A5CEB"/>
    <w:rsid w:val="002B2631"/>
    <w:rsid w:val="002B36A2"/>
    <w:rsid w:val="002B4A03"/>
    <w:rsid w:val="002C3518"/>
    <w:rsid w:val="002C4114"/>
    <w:rsid w:val="002C502C"/>
    <w:rsid w:val="002D1357"/>
    <w:rsid w:val="002D13D9"/>
    <w:rsid w:val="002D2F0D"/>
    <w:rsid w:val="002D332E"/>
    <w:rsid w:val="002E0F41"/>
    <w:rsid w:val="002E1545"/>
    <w:rsid w:val="002E33FF"/>
    <w:rsid w:val="002E6D98"/>
    <w:rsid w:val="002E7896"/>
    <w:rsid w:val="00300B36"/>
    <w:rsid w:val="003027B9"/>
    <w:rsid w:val="00303924"/>
    <w:rsid w:val="00304A20"/>
    <w:rsid w:val="00311625"/>
    <w:rsid w:val="00316578"/>
    <w:rsid w:val="00320E79"/>
    <w:rsid w:val="00321DDD"/>
    <w:rsid w:val="00323534"/>
    <w:rsid w:val="003239BD"/>
    <w:rsid w:val="0033016E"/>
    <w:rsid w:val="00331781"/>
    <w:rsid w:val="003348D7"/>
    <w:rsid w:val="003414FC"/>
    <w:rsid w:val="00342D08"/>
    <w:rsid w:val="00343F59"/>
    <w:rsid w:val="00344632"/>
    <w:rsid w:val="00344EE8"/>
    <w:rsid w:val="00352B79"/>
    <w:rsid w:val="00354B67"/>
    <w:rsid w:val="0035624C"/>
    <w:rsid w:val="00360687"/>
    <w:rsid w:val="00364713"/>
    <w:rsid w:val="00365793"/>
    <w:rsid w:val="00367796"/>
    <w:rsid w:val="00367D7B"/>
    <w:rsid w:val="00380558"/>
    <w:rsid w:val="00384542"/>
    <w:rsid w:val="003914CB"/>
    <w:rsid w:val="003914E8"/>
    <w:rsid w:val="0039307F"/>
    <w:rsid w:val="003951CE"/>
    <w:rsid w:val="00395D8E"/>
    <w:rsid w:val="00395DCD"/>
    <w:rsid w:val="003A21F0"/>
    <w:rsid w:val="003A554B"/>
    <w:rsid w:val="003A626D"/>
    <w:rsid w:val="003A75F1"/>
    <w:rsid w:val="003B30B1"/>
    <w:rsid w:val="003C5DE0"/>
    <w:rsid w:val="003C71E2"/>
    <w:rsid w:val="003D1DB2"/>
    <w:rsid w:val="003D38EA"/>
    <w:rsid w:val="003E3ACE"/>
    <w:rsid w:val="003E44AB"/>
    <w:rsid w:val="003E7FDF"/>
    <w:rsid w:val="003F1529"/>
    <w:rsid w:val="003F3665"/>
    <w:rsid w:val="003F4530"/>
    <w:rsid w:val="003F63FE"/>
    <w:rsid w:val="00400300"/>
    <w:rsid w:val="00400847"/>
    <w:rsid w:val="00401B14"/>
    <w:rsid w:val="00404FE3"/>
    <w:rsid w:val="00407B5B"/>
    <w:rsid w:val="004110E2"/>
    <w:rsid w:val="00414C4E"/>
    <w:rsid w:val="00415C4A"/>
    <w:rsid w:val="00422EDC"/>
    <w:rsid w:val="00423919"/>
    <w:rsid w:val="0042575C"/>
    <w:rsid w:val="00426EF2"/>
    <w:rsid w:val="00430B12"/>
    <w:rsid w:val="00433213"/>
    <w:rsid w:val="00433FDE"/>
    <w:rsid w:val="0043766E"/>
    <w:rsid w:val="0044376C"/>
    <w:rsid w:val="00446F08"/>
    <w:rsid w:val="004507A2"/>
    <w:rsid w:val="00451221"/>
    <w:rsid w:val="00451475"/>
    <w:rsid w:val="00454877"/>
    <w:rsid w:val="00461168"/>
    <w:rsid w:val="004643DA"/>
    <w:rsid w:val="004655DF"/>
    <w:rsid w:val="0046686D"/>
    <w:rsid w:val="00466B44"/>
    <w:rsid w:val="00466E0B"/>
    <w:rsid w:val="0047023E"/>
    <w:rsid w:val="00474154"/>
    <w:rsid w:val="00474809"/>
    <w:rsid w:val="00475338"/>
    <w:rsid w:val="004771AF"/>
    <w:rsid w:val="00484CD2"/>
    <w:rsid w:val="00485F3C"/>
    <w:rsid w:val="004871BE"/>
    <w:rsid w:val="00487332"/>
    <w:rsid w:val="004950B0"/>
    <w:rsid w:val="00496F1E"/>
    <w:rsid w:val="004A0D78"/>
    <w:rsid w:val="004A1B39"/>
    <w:rsid w:val="004A1F51"/>
    <w:rsid w:val="004B2149"/>
    <w:rsid w:val="004B3C4B"/>
    <w:rsid w:val="004B53AE"/>
    <w:rsid w:val="004B5E3F"/>
    <w:rsid w:val="004B6F78"/>
    <w:rsid w:val="004B781A"/>
    <w:rsid w:val="004C2653"/>
    <w:rsid w:val="004C4DE4"/>
    <w:rsid w:val="004C77F7"/>
    <w:rsid w:val="004D03C7"/>
    <w:rsid w:val="004D257C"/>
    <w:rsid w:val="004D51BA"/>
    <w:rsid w:val="004E01F2"/>
    <w:rsid w:val="004E0C5F"/>
    <w:rsid w:val="004E3B7A"/>
    <w:rsid w:val="004E540C"/>
    <w:rsid w:val="004F09B7"/>
    <w:rsid w:val="004F1AED"/>
    <w:rsid w:val="004F4DD7"/>
    <w:rsid w:val="004F50CB"/>
    <w:rsid w:val="004F5AFA"/>
    <w:rsid w:val="004F660A"/>
    <w:rsid w:val="0050180B"/>
    <w:rsid w:val="005127AB"/>
    <w:rsid w:val="00514C48"/>
    <w:rsid w:val="00515A21"/>
    <w:rsid w:val="00515F88"/>
    <w:rsid w:val="00516360"/>
    <w:rsid w:val="0052196F"/>
    <w:rsid w:val="005226B8"/>
    <w:rsid w:val="0052465A"/>
    <w:rsid w:val="00526FBB"/>
    <w:rsid w:val="0052761E"/>
    <w:rsid w:val="005333B8"/>
    <w:rsid w:val="0054065C"/>
    <w:rsid w:val="00541FE6"/>
    <w:rsid w:val="00545C0F"/>
    <w:rsid w:val="005531FD"/>
    <w:rsid w:val="00553379"/>
    <w:rsid w:val="00556443"/>
    <w:rsid w:val="005578E3"/>
    <w:rsid w:val="005649BE"/>
    <w:rsid w:val="00566043"/>
    <w:rsid w:val="00571224"/>
    <w:rsid w:val="005716CC"/>
    <w:rsid w:val="00573127"/>
    <w:rsid w:val="0057361F"/>
    <w:rsid w:val="0057756B"/>
    <w:rsid w:val="005810E4"/>
    <w:rsid w:val="00583D99"/>
    <w:rsid w:val="00584B8B"/>
    <w:rsid w:val="005877DD"/>
    <w:rsid w:val="00593B31"/>
    <w:rsid w:val="00593BE0"/>
    <w:rsid w:val="005955B1"/>
    <w:rsid w:val="005A0D6F"/>
    <w:rsid w:val="005A0E87"/>
    <w:rsid w:val="005A4AB8"/>
    <w:rsid w:val="005A4D03"/>
    <w:rsid w:val="005B03D7"/>
    <w:rsid w:val="005B1BC3"/>
    <w:rsid w:val="005B2384"/>
    <w:rsid w:val="005C0DD0"/>
    <w:rsid w:val="005C43BA"/>
    <w:rsid w:val="005C4666"/>
    <w:rsid w:val="005C4DE9"/>
    <w:rsid w:val="005C58C5"/>
    <w:rsid w:val="005C7887"/>
    <w:rsid w:val="005C7D1F"/>
    <w:rsid w:val="005D121D"/>
    <w:rsid w:val="005D5B17"/>
    <w:rsid w:val="005D7844"/>
    <w:rsid w:val="005E008C"/>
    <w:rsid w:val="005E5728"/>
    <w:rsid w:val="005F0657"/>
    <w:rsid w:val="005F4973"/>
    <w:rsid w:val="005F4A2B"/>
    <w:rsid w:val="005F5FBD"/>
    <w:rsid w:val="005F604D"/>
    <w:rsid w:val="005F74C0"/>
    <w:rsid w:val="005F7CC5"/>
    <w:rsid w:val="00603387"/>
    <w:rsid w:val="00603F3B"/>
    <w:rsid w:val="00611A71"/>
    <w:rsid w:val="00615E7F"/>
    <w:rsid w:val="00621FB7"/>
    <w:rsid w:val="006227D5"/>
    <w:rsid w:val="00623188"/>
    <w:rsid w:val="00630DA7"/>
    <w:rsid w:val="00631FA6"/>
    <w:rsid w:val="0063634D"/>
    <w:rsid w:val="00637FAB"/>
    <w:rsid w:val="00644B90"/>
    <w:rsid w:val="00647D83"/>
    <w:rsid w:val="00657F91"/>
    <w:rsid w:val="006608BC"/>
    <w:rsid w:val="00662E83"/>
    <w:rsid w:val="00665205"/>
    <w:rsid w:val="00665260"/>
    <w:rsid w:val="006659B6"/>
    <w:rsid w:val="00665DCF"/>
    <w:rsid w:val="006666B0"/>
    <w:rsid w:val="006725AC"/>
    <w:rsid w:val="006764C5"/>
    <w:rsid w:val="00676613"/>
    <w:rsid w:val="0067796E"/>
    <w:rsid w:val="006816C5"/>
    <w:rsid w:val="00684B2C"/>
    <w:rsid w:val="00685243"/>
    <w:rsid w:val="00686390"/>
    <w:rsid w:val="00686CE4"/>
    <w:rsid w:val="00687C6F"/>
    <w:rsid w:val="00694574"/>
    <w:rsid w:val="006972CB"/>
    <w:rsid w:val="00697DA0"/>
    <w:rsid w:val="006A0576"/>
    <w:rsid w:val="006A514E"/>
    <w:rsid w:val="006A55E2"/>
    <w:rsid w:val="006A7490"/>
    <w:rsid w:val="006B012D"/>
    <w:rsid w:val="006B35D6"/>
    <w:rsid w:val="006B46F5"/>
    <w:rsid w:val="006B666F"/>
    <w:rsid w:val="006C2F72"/>
    <w:rsid w:val="006C3056"/>
    <w:rsid w:val="006C74C1"/>
    <w:rsid w:val="006C7546"/>
    <w:rsid w:val="006D067D"/>
    <w:rsid w:val="006D10A0"/>
    <w:rsid w:val="006E22C9"/>
    <w:rsid w:val="006E257A"/>
    <w:rsid w:val="006F0D8A"/>
    <w:rsid w:val="006F314C"/>
    <w:rsid w:val="006F4F79"/>
    <w:rsid w:val="006F6AC3"/>
    <w:rsid w:val="007006AB"/>
    <w:rsid w:val="0070138C"/>
    <w:rsid w:val="007020FA"/>
    <w:rsid w:val="007023C7"/>
    <w:rsid w:val="00702E12"/>
    <w:rsid w:val="0070474E"/>
    <w:rsid w:val="00704E55"/>
    <w:rsid w:val="0070643E"/>
    <w:rsid w:val="007100A7"/>
    <w:rsid w:val="00710516"/>
    <w:rsid w:val="007111E6"/>
    <w:rsid w:val="00713B58"/>
    <w:rsid w:val="007157E7"/>
    <w:rsid w:val="00715E75"/>
    <w:rsid w:val="00721574"/>
    <w:rsid w:val="00721DC6"/>
    <w:rsid w:val="0072424D"/>
    <w:rsid w:val="00724DB4"/>
    <w:rsid w:val="00725FF2"/>
    <w:rsid w:val="00727100"/>
    <w:rsid w:val="00727FE1"/>
    <w:rsid w:val="007338A3"/>
    <w:rsid w:val="00733C91"/>
    <w:rsid w:val="00734261"/>
    <w:rsid w:val="00734E38"/>
    <w:rsid w:val="0073590B"/>
    <w:rsid w:val="0074149C"/>
    <w:rsid w:val="007446E5"/>
    <w:rsid w:val="007447E6"/>
    <w:rsid w:val="00746141"/>
    <w:rsid w:val="0075379E"/>
    <w:rsid w:val="00761571"/>
    <w:rsid w:val="007659F5"/>
    <w:rsid w:val="00773DB7"/>
    <w:rsid w:val="00774E28"/>
    <w:rsid w:val="0078121E"/>
    <w:rsid w:val="0078182C"/>
    <w:rsid w:val="007821B8"/>
    <w:rsid w:val="00791EC0"/>
    <w:rsid w:val="00792E7E"/>
    <w:rsid w:val="007958B4"/>
    <w:rsid w:val="007A228C"/>
    <w:rsid w:val="007A5DB7"/>
    <w:rsid w:val="007A708A"/>
    <w:rsid w:val="007A70EE"/>
    <w:rsid w:val="007B0E3E"/>
    <w:rsid w:val="007B14C8"/>
    <w:rsid w:val="007B315C"/>
    <w:rsid w:val="007B4BA9"/>
    <w:rsid w:val="007B5BA6"/>
    <w:rsid w:val="007B6442"/>
    <w:rsid w:val="007B7850"/>
    <w:rsid w:val="007C1228"/>
    <w:rsid w:val="007D0C34"/>
    <w:rsid w:val="007D31A9"/>
    <w:rsid w:val="007E0F9D"/>
    <w:rsid w:val="007E11EC"/>
    <w:rsid w:val="007E2A32"/>
    <w:rsid w:val="007E3AAF"/>
    <w:rsid w:val="007E58BF"/>
    <w:rsid w:val="007E5D80"/>
    <w:rsid w:val="007E6ADC"/>
    <w:rsid w:val="007E6C73"/>
    <w:rsid w:val="007E7F6A"/>
    <w:rsid w:val="007F445F"/>
    <w:rsid w:val="007F6F2C"/>
    <w:rsid w:val="007F71DE"/>
    <w:rsid w:val="007F73E4"/>
    <w:rsid w:val="00800A2F"/>
    <w:rsid w:val="008051BD"/>
    <w:rsid w:val="00813249"/>
    <w:rsid w:val="0081400E"/>
    <w:rsid w:val="00815871"/>
    <w:rsid w:val="008177C5"/>
    <w:rsid w:val="00817B2A"/>
    <w:rsid w:val="008208E6"/>
    <w:rsid w:val="00821881"/>
    <w:rsid w:val="0082250D"/>
    <w:rsid w:val="00824E62"/>
    <w:rsid w:val="00830DDE"/>
    <w:rsid w:val="0083271C"/>
    <w:rsid w:val="00833211"/>
    <w:rsid w:val="00841988"/>
    <w:rsid w:val="00842178"/>
    <w:rsid w:val="00842B9E"/>
    <w:rsid w:val="00845983"/>
    <w:rsid w:val="00847200"/>
    <w:rsid w:val="008503E7"/>
    <w:rsid w:val="00852E97"/>
    <w:rsid w:val="008548C9"/>
    <w:rsid w:val="00854ECD"/>
    <w:rsid w:val="008614D9"/>
    <w:rsid w:val="00861EC1"/>
    <w:rsid w:val="008626AD"/>
    <w:rsid w:val="00862E01"/>
    <w:rsid w:val="00863D05"/>
    <w:rsid w:val="00864221"/>
    <w:rsid w:val="00866436"/>
    <w:rsid w:val="008706FA"/>
    <w:rsid w:val="008756A9"/>
    <w:rsid w:val="008773CB"/>
    <w:rsid w:val="00877EBD"/>
    <w:rsid w:val="00882296"/>
    <w:rsid w:val="008831AE"/>
    <w:rsid w:val="00883735"/>
    <w:rsid w:val="008A1CBA"/>
    <w:rsid w:val="008A55A1"/>
    <w:rsid w:val="008A797E"/>
    <w:rsid w:val="008A7B5C"/>
    <w:rsid w:val="008B0E26"/>
    <w:rsid w:val="008B507C"/>
    <w:rsid w:val="008C09F0"/>
    <w:rsid w:val="008C55D6"/>
    <w:rsid w:val="008C7B27"/>
    <w:rsid w:val="008D22ED"/>
    <w:rsid w:val="008D6B02"/>
    <w:rsid w:val="008E1C95"/>
    <w:rsid w:val="008E1D0C"/>
    <w:rsid w:val="008E1E0A"/>
    <w:rsid w:val="008E5CB2"/>
    <w:rsid w:val="008F129C"/>
    <w:rsid w:val="008F164B"/>
    <w:rsid w:val="008F226D"/>
    <w:rsid w:val="008F35D3"/>
    <w:rsid w:val="008F5959"/>
    <w:rsid w:val="008F621B"/>
    <w:rsid w:val="008F72E1"/>
    <w:rsid w:val="0090175A"/>
    <w:rsid w:val="009018C8"/>
    <w:rsid w:val="00903230"/>
    <w:rsid w:val="0090420D"/>
    <w:rsid w:val="00904D7E"/>
    <w:rsid w:val="00906ED2"/>
    <w:rsid w:val="00912541"/>
    <w:rsid w:val="00916381"/>
    <w:rsid w:val="00916EDB"/>
    <w:rsid w:val="00917296"/>
    <w:rsid w:val="00921ECD"/>
    <w:rsid w:val="009222C2"/>
    <w:rsid w:val="009222E7"/>
    <w:rsid w:val="009233FE"/>
    <w:rsid w:val="00924135"/>
    <w:rsid w:val="00924181"/>
    <w:rsid w:val="00924F1E"/>
    <w:rsid w:val="00927271"/>
    <w:rsid w:val="0094354A"/>
    <w:rsid w:val="00943BA8"/>
    <w:rsid w:val="00945C6E"/>
    <w:rsid w:val="00946B5B"/>
    <w:rsid w:val="00950BF2"/>
    <w:rsid w:val="009527DC"/>
    <w:rsid w:val="00955C5E"/>
    <w:rsid w:val="00955EAF"/>
    <w:rsid w:val="009607D6"/>
    <w:rsid w:val="0096207B"/>
    <w:rsid w:val="0096459C"/>
    <w:rsid w:val="00965DB1"/>
    <w:rsid w:val="00966624"/>
    <w:rsid w:val="00966B96"/>
    <w:rsid w:val="00966E8F"/>
    <w:rsid w:val="00982E9A"/>
    <w:rsid w:val="00982F8C"/>
    <w:rsid w:val="00986B65"/>
    <w:rsid w:val="00987D87"/>
    <w:rsid w:val="0099285B"/>
    <w:rsid w:val="00995BA3"/>
    <w:rsid w:val="00995F43"/>
    <w:rsid w:val="00996C33"/>
    <w:rsid w:val="00996EE4"/>
    <w:rsid w:val="009A0665"/>
    <w:rsid w:val="009A0AF6"/>
    <w:rsid w:val="009A0C3E"/>
    <w:rsid w:val="009A14F7"/>
    <w:rsid w:val="009A416D"/>
    <w:rsid w:val="009A644C"/>
    <w:rsid w:val="009B1485"/>
    <w:rsid w:val="009B176C"/>
    <w:rsid w:val="009B45E5"/>
    <w:rsid w:val="009B4927"/>
    <w:rsid w:val="009B5082"/>
    <w:rsid w:val="009B652B"/>
    <w:rsid w:val="009B6667"/>
    <w:rsid w:val="009C0098"/>
    <w:rsid w:val="009C09F5"/>
    <w:rsid w:val="009C32C3"/>
    <w:rsid w:val="009C38FF"/>
    <w:rsid w:val="009C55CC"/>
    <w:rsid w:val="009C64E6"/>
    <w:rsid w:val="009D0AAE"/>
    <w:rsid w:val="009D468C"/>
    <w:rsid w:val="009F26BC"/>
    <w:rsid w:val="009F79D4"/>
    <w:rsid w:val="00A03368"/>
    <w:rsid w:val="00A04ED2"/>
    <w:rsid w:val="00A1312D"/>
    <w:rsid w:val="00A171DC"/>
    <w:rsid w:val="00A21606"/>
    <w:rsid w:val="00A22A0C"/>
    <w:rsid w:val="00A243D1"/>
    <w:rsid w:val="00A262ED"/>
    <w:rsid w:val="00A30260"/>
    <w:rsid w:val="00A324FB"/>
    <w:rsid w:val="00A33401"/>
    <w:rsid w:val="00A33E72"/>
    <w:rsid w:val="00A34972"/>
    <w:rsid w:val="00A37834"/>
    <w:rsid w:val="00A43B55"/>
    <w:rsid w:val="00A44357"/>
    <w:rsid w:val="00A45139"/>
    <w:rsid w:val="00A4571A"/>
    <w:rsid w:val="00A5391A"/>
    <w:rsid w:val="00A54A79"/>
    <w:rsid w:val="00A55745"/>
    <w:rsid w:val="00A62C10"/>
    <w:rsid w:val="00A642CD"/>
    <w:rsid w:val="00A65BCF"/>
    <w:rsid w:val="00A677A8"/>
    <w:rsid w:val="00A67C05"/>
    <w:rsid w:val="00A70685"/>
    <w:rsid w:val="00A71F3D"/>
    <w:rsid w:val="00A753CF"/>
    <w:rsid w:val="00A776A9"/>
    <w:rsid w:val="00A77B89"/>
    <w:rsid w:val="00A923CA"/>
    <w:rsid w:val="00A92B99"/>
    <w:rsid w:val="00A943AE"/>
    <w:rsid w:val="00A96E2B"/>
    <w:rsid w:val="00A97A13"/>
    <w:rsid w:val="00AA1183"/>
    <w:rsid w:val="00AA573A"/>
    <w:rsid w:val="00AB26AC"/>
    <w:rsid w:val="00AB34CA"/>
    <w:rsid w:val="00AB3C36"/>
    <w:rsid w:val="00AB4B6E"/>
    <w:rsid w:val="00AC504B"/>
    <w:rsid w:val="00AD135F"/>
    <w:rsid w:val="00AD1A2C"/>
    <w:rsid w:val="00AD2C60"/>
    <w:rsid w:val="00AD49ED"/>
    <w:rsid w:val="00AD4C1D"/>
    <w:rsid w:val="00AE1310"/>
    <w:rsid w:val="00AE1644"/>
    <w:rsid w:val="00AE2CEC"/>
    <w:rsid w:val="00AE51F7"/>
    <w:rsid w:val="00AE60F3"/>
    <w:rsid w:val="00AE6241"/>
    <w:rsid w:val="00AF2726"/>
    <w:rsid w:val="00AF3F17"/>
    <w:rsid w:val="00AF5399"/>
    <w:rsid w:val="00AF5B06"/>
    <w:rsid w:val="00B01DD6"/>
    <w:rsid w:val="00B022A3"/>
    <w:rsid w:val="00B065EE"/>
    <w:rsid w:val="00B12B86"/>
    <w:rsid w:val="00B177BE"/>
    <w:rsid w:val="00B20CCB"/>
    <w:rsid w:val="00B24E6D"/>
    <w:rsid w:val="00B3040A"/>
    <w:rsid w:val="00B31CF5"/>
    <w:rsid w:val="00B320E4"/>
    <w:rsid w:val="00B35D56"/>
    <w:rsid w:val="00B37C82"/>
    <w:rsid w:val="00B45952"/>
    <w:rsid w:val="00B50D9E"/>
    <w:rsid w:val="00B528B6"/>
    <w:rsid w:val="00B54077"/>
    <w:rsid w:val="00B57D54"/>
    <w:rsid w:val="00B617A6"/>
    <w:rsid w:val="00B667FC"/>
    <w:rsid w:val="00B669C8"/>
    <w:rsid w:val="00B66CCF"/>
    <w:rsid w:val="00B66E62"/>
    <w:rsid w:val="00B72580"/>
    <w:rsid w:val="00B72B0E"/>
    <w:rsid w:val="00B73D72"/>
    <w:rsid w:val="00B74980"/>
    <w:rsid w:val="00B848B3"/>
    <w:rsid w:val="00B84C72"/>
    <w:rsid w:val="00B867D6"/>
    <w:rsid w:val="00B9021E"/>
    <w:rsid w:val="00B95C23"/>
    <w:rsid w:val="00B96976"/>
    <w:rsid w:val="00B973AC"/>
    <w:rsid w:val="00BA3307"/>
    <w:rsid w:val="00BA4429"/>
    <w:rsid w:val="00BA72AC"/>
    <w:rsid w:val="00BA7C15"/>
    <w:rsid w:val="00BB075C"/>
    <w:rsid w:val="00BB152C"/>
    <w:rsid w:val="00BB1817"/>
    <w:rsid w:val="00BB187C"/>
    <w:rsid w:val="00BB1E37"/>
    <w:rsid w:val="00BB286C"/>
    <w:rsid w:val="00BB2D79"/>
    <w:rsid w:val="00BC3C3B"/>
    <w:rsid w:val="00BC454B"/>
    <w:rsid w:val="00BC7C91"/>
    <w:rsid w:val="00BD0F6A"/>
    <w:rsid w:val="00BD46D1"/>
    <w:rsid w:val="00BD6D07"/>
    <w:rsid w:val="00BE0E01"/>
    <w:rsid w:val="00BE3AD7"/>
    <w:rsid w:val="00BE7179"/>
    <w:rsid w:val="00BE76CA"/>
    <w:rsid w:val="00BF0CEF"/>
    <w:rsid w:val="00BF2A48"/>
    <w:rsid w:val="00BF3B0E"/>
    <w:rsid w:val="00BF5A98"/>
    <w:rsid w:val="00BF6C4C"/>
    <w:rsid w:val="00C0225C"/>
    <w:rsid w:val="00C07164"/>
    <w:rsid w:val="00C145E8"/>
    <w:rsid w:val="00C21380"/>
    <w:rsid w:val="00C244D3"/>
    <w:rsid w:val="00C30674"/>
    <w:rsid w:val="00C319A2"/>
    <w:rsid w:val="00C32B63"/>
    <w:rsid w:val="00C332B4"/>
    <w:rsid w:val="00C3668D"/>
    <w:rsid w:val="00C36B88"/>
    <w:rsid w:val="00C37199"/>
    <w:rsid w:val="00C41754"/>
    <w:rsid w:val="00C424CE"/>
    <w:rsid w:val="00C44DFA"/>
    <w:rsid w:val="00C47439"/>
    <w:rsid w:val="00C500DA"/>
    <w:rsid w:val="00C5079D"/>
    <w:rsid w:val="00C51C84"/>
    <w:rsid w:val="00C608C3"/>
    <w:rsid w:val="00C65459"/>
    <w:rsid w:val="00C65BD2"/>
    <w:rsid w:val="00C70242"/>
    <w:rsid w:val="00C73AE2"/>
    <w:rsid w:val="00C740F5"/>
    <w:rsid w:val="00C74A06"/>
    <w:rsid w:val="00C7711A"/>
    <w:rsid w:val="00C805EB"/>
    <w:rsid w:val="00C80A7B"/>
    <w:rsid w:val="00C868D3"/>
    <w:rsid w:val="00C873D4"/>
    <w:rsid w:val="00C87E54"/>
    <w:rsid w:val="00C96C36"/>
    <w:rsid w:val="00C97023"/>
    <w:rsid w:val="00CA2D2F"/>
    <w:rsid w:val="00CA6AB3"/>
    <w:rsid w:val="00CA6E55"/>
    <w:rsid w:val="00CB37A4"/>
    <w:rsid w:val="00CC1274"/>
    <w:rsid w:val="00CC24D5"/>
    <w:rsid w:val="00CC7F0D"/>
    <w:rsid w:val="00CD0D54"/>
    <w:rsid w:val="00CD1231"/>
    <w:rsid w:val="00CD2F46"/>
    <w:rsid w:val="00CD49EE"/>
    <w:rsid w:val="00CD6C4D"/>
    <w:rsid w:val="00CE5379"/>
    <w:rsid w:val="00CE6A4E"/>
    <w:rsid w:val="00CF0835"/>
    <w:rsid w:val="00CF102A"/>
    <w:rsid w:val="00CF2608"/>
    <w:rsid w:val="00CF45E9"/>
    <w:rsid w:val="00CF4973"/>
    <w:rsid w:val="00CF6959"/>
    <w:rsid w:val="00D02476"/>
    <w:rsid w:val="00D030BD"/>
    <w:rsid w:val="00D039DD"/>
    <w:rsid w:val="00D05503"/>
    <w:rsid w:val="00D06224"/>
    <w:rsid w:val="00D07BDB"/>
    <w:rsid w:val="00D07DDA"/>
    <w:rsid w:val="00D117CE"/>
    <w:rsid w:val="00D12925"/>
    <w:rsid w:val="00D13D7E"/>
    <w:rsid w:val="00D1402B"/>
    <w:rsid w:val="00D172DA"/>
    <w:rsid w:val="00D2020E"/>
    <w:rsid w:val="00D26527"/>
    <w:rsid w:val="00D317F8"/>
    <w:rsid w:val="00D32432"/>
    <w:rsid w:val="00D34217"/>
    <w:rsid w:val="00D35EB7"/>
    <w:rsid w:val="00D431AC"/>
    <w:rsid w:val="00D443C2"/>
    <w:rsid w:val="00D444C4"/>
    <w:rsid w:val="00D4597D"/>
    <w:rsid w:val="00D46EFE"/>
    <w:rsid w:val="00D51D3B"/>
    <w:rsid w:val="00D56171"/>
    <w:rsid w:val="00D63E3F"/>
    <w:rsid w:val="00D71F99"/>
    <w:rsid w:val="00D81D8C"/>
    <w:rsid w:val="00D825EC"/>
    <w:rsid w:val="00D90D9F"/>
    <w:rsid w:val="00D95192"/>
    <w:rsid w:val="00D9668F"/>
    <w:rsid w:val="00DA0DEA"/>
    <w:rsid w:val="00DA1EBD"/>
    <w:rsid w:val="00DA41F6"/>
    <w:rsid w:val="00DA7A56"/>
    <w:rsid w:val="00DB01C3"/>
    <w:rsid w:val="00DB162A"/>
    <w:rsid w:val="00DB2795"/>
    <w:rsid w:val="00DC05A0"/>
    <w:rsid w:val="00DC1723"/>
    <w:rsid w:val="00DC2468"/>
    <w:rsid w:val="00DC700A"/>
    <w:rsid w:val="00DD1A21"/>
    <w:rsid w:val="00DD4052"/>
    <w:rsid w:val="00DD4428"/>
    <w:rsid w:val="00DD4836"/>
    <w:rsid w:val="00DD5437"/>
    <w:rsid w:val="00DD5A35"/>
    <w:rsid w:val="00DD655A"/>
    <w:rsid w:val="00DD68CA"/>
    <w:rsid w:val="00DD7CED"/>
    <w:rsid w:val="00DE2E1F"/>
    <w:rsid w:val="00DF1703"/>
    <w:rsid w:val="00DF5441"/>
    <w:rsid w:val="00E01BE0"/>
    <w:rsid w:val="00E07837"/>
    <w:rsid w:val="00E105A2"/>
    <w:rsid w:val="00E130F4"/>
    <w:rsid w:val="00E13A4D"/>
    <w:rsid w:val="00E13F4F"/>
    <w:rsid w:val="00E149B7"/>
    <w:rsid w:val="00E212BE"/>
    <w:rsid w:val="00E21AB5"/>
    <w:rsid w:val="00E21C77"/>
    <w:rsid w:val="00E220DB"/>
    <w:rsid w:val="00E22184"/>
    <w:rsid w:val="00E24406"/>
    <w:rsid w:val="00E2592F"/>
    <w:rsid w:val="00E3006F"/>
    <w:rsid w:val="00E323A1"/>
    <w:rsid w:val="00E35541"/>
    <w:rsid w:val="00E40A83"/>
    <w:rsid w:val="00E44CAD"/>
    <w:rsid w:val="00E52983"/>
    <w:rsid w:val="00E54A0F"/>
    <w:rsid w:val="00E57DDE"/>
    <w:rsid w:val="00E70C5B"/>
    <w:rsid w:val="00E74E39"/>
    <w:rsid w:val="00E76F8C"/>
    <w:rsid w:val="00E770B4"/>
    <w:rsid w:val="00E80F7A"/>
    <w:rsid w:val="00E8242B"/>
    <w:rsid w:val="00E83296"/>
    <w:rsid w:val="00E8576C"/>
    <w:rsid w:val="00E86251"/>
    <w:rsid w:val="00E87F3E"/>
    <w:rsid w:val="00E916DC"/>
    <w:rsid w:val="00E929FC"/>
    <w:rsid w:val="00E965C6"/>
    <w:rsid w:val="00E9738D"/>
    <w:rsid w:val="00EA09AB"/>
    <w:rsid w:val="00EA1AD0"/>
    <w:rsid w:val="00EB02D6"/>
    <w:rsid w:val="00EB2A43"/>
    <w:rsid w:val="00EB3081"/>
    <w:rsid w:val="00EB38C7"/>
    <w:rsid w:val="00EB7D7C"/>
    <w:rsid w:val="00EC3291"/>
    <w:rsid w:val="00EC4C8B"/>
    <w:rsid w:val="00EC645E"/>
    <w:rsid w:val="00ED2E93"/>
    <w:rsid w:val="00ED49E1"/>
    <w:rsid w:val="00ED6BD3"/>
    <w:rsid w:val="00EE0FE6"/>
    <w:rsid w:val="00EF3FC6"/>
    <w:rsid w:val="00F006C7"/>
    <w:rsid w:val="00F00D52"/>
    <w:rsid w:val="00F00D58"/>
    <w:rsid w:val="00F02B28"/>
    <w:rsid w:val="00F04199"/>
    <w:rsid w:val="00F15105"/>
    <w:rsid w:val="00F152B5"/>
    <w:rsid w:val="00F1623D"/>
    <w:rsid w:val="00F2328F"/>
    <w:rsid w:val="00F23CF5"/>
    <w:rsid w:val="00F2597F"/>
    <w:rsid w:val="00F26C40"/>
    <w:rsid w:val="00F30081"/>
    <w:rsid w:val="00F31A50"/>
    <w:rsid w:val="00F36633"/>
    <w:rsid w:val="00F433AB"/>
    <w:rsid w:val="00F47F93"/>
    <w:rsid w:val="00F5046D"/>
    <w:rsid w:val="00F53059"/>
    <w:rsid w:val="00F56C1A"/>
    <w:rsid w:val="00F65093"/>
    <w:rsid w:val="00F70E5C"/>
    <w:rsid w:val="00F73F06"/>
    <w:rsid w:val="00F744FD"/>
    <w:rsid w:val="00F81401"/>
    <w:rsid w:val="00F8293D"/>
    <w:rsid w:val="00F839CB"/>
    <w:rsid w:val="00F84087"/>
    <w:rsid w:val="00F94950"/>
    <w:rsid w:val="00FA0034"/>
    <w:rsid w:val="00FA2170"/>
    <w:rsid w:val="00FA7722"/>
    <w:rsid w:val="00FB4C8B"/>
    <w:rsid w:val="00FB5189"/>
    <w:rsid w:val="00FB5690"/>
    <w:rsid w:val="00FB64F2"/>
    <w:rsid w:val="00FB75AF"/>
    <w:rsid w:val="00FB7A86"/>
    <w:rsid w:val="00FC178A"/>
    <w:rsid w:val="00FC27EA"/>
    <w:rsid w:val="00FC392B"/>
    <w:rsid w:val="00FC5955"/>
    <w:rsid w:val="00FD1BEC"/>
    <w:rsid w:val="00FD3B16"/>
    <w:rsid w:val="00FD585C"/>
    <w:rsid w:val="00FD6894"/>
    <w:rsid w:val="00FD6D00"/>
    <w:rsid w:val="00FD7F84"/>
    <w:rsid w:val="00FE15BF"/>
    <w:rsid w:val="00FE1FAC"/>
    <w:rsid w:val="00FF22C1"/>
    <w:rsid w:val="00FF64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8ACA0"/>
  <w15:docId w15:val="{7A690EF6-648E-4346-8140-F66AFEB5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53AE"/>
  </w:style>
  <w:style w:type="paragraph" w:styleId="Heading1">
    <w:name w:val="heading 1"/>
    <w:basedOn w:val="Normal"/>
    <w:link w:val="Heading1Char"/>
    <w:uiPriority w:val="9"/>
    <w:qFormat/>
    <w:rsid w:val="00466B44"/>
    <w:pPr>
      <w:spacing w:before="240" w:after="120" w:line="240" w:lineRule="auto"/>
      <w:outlineLvl w:val="0"/>
    </w:pPr>
    <w:rPr>
      <w:rFonts w:ascii="Times New Roman" w:eastAsia="Times New Roman" w:hAnsi="Times New Roman" w:cs="Times New Roman"/>
      <w:b/>
      <w:bCs/>
      <w:color w:val="000000"/>
      <w:kern w:val="36"/>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C4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33FE"/>
    <w:rPr>
      <w:color w:val="0563C1" w:themeColor="hyperlink"/>
      <w:u w:val="single"/>
    </w:rPr>
  </w:style>
  <w:style w:type="paragraph" w:styleId="BalloonText">
    <w:name w:val="Balloon Text"/>
    <w:basedOn w:val="Normal"/>
    <w:link w:val="BalloonTextChar"/>
    <w:uiPriority w:val="99"/>
    <w:semiHidden/>
    <w:unhideWhenUsed/>
    <w:rsid w:val="00044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A17"/>
    <w:rPr>
      <w:rFonts w:ascii="Tahoma" w:hAnsi="Tahoma" w:cs="Tahoma"/>
      <w:sz w:val="16"/>
      <w:szCs w:val="16"/>
    </w:rPr>
  </w:style>
  <w:style w:type="character" w:customStyle="1" w:styleId="commentary">
    <w:name w:val="commentary"/>
    <w:basedOn w:val="DefaultParagraphFont"/>
    <w:rsid w:val="002A2ED5"/>
  </w:style>
  <w:style w:type="paragraph" w:styleId="NormalWeb">
    <w:name w:val="Normal (Web)"/>
    <w:basedOn w:val="Normal"/>
    <w:uiPriority w:val="99"/>
    <w:semiHidden/>
    <w:unhideWhenUsed/>
    <w:rsid w:val="004008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77EBD"/>
    <w:pPr>
      <w:ind w:left="720"/>
      <w:contextualSpacing/>
    </w:pPr>
  </w:style>
  <w:style w:type="character" w:customStyle="1" w:styleId="Heading1Char">
    <w:name w:val="Heading 1 Char"/>
    <w:basedOn w:val="DefaultParagraphFont"/>
    <w:link w:val="Heading1"/>
    <w:uiPriority w:val="9"/>
    <w:rsid w:val="00466B44"/>
    <w:rPr>
      <w:rFonts w:ascii="Times New Roman" w:eastAsia="Times New Roman" w:hAnsi="Times New Roman" w:cs="Times New Roman"/>
      <w:b/>
      <w:bCs/>
      <w:color w:val="000000"/>
      <w:kern w:val="36"/>
      <w:sz w:val="33"/>
      <w:szCs w:val="33"/>
      <w:lang w:eastAsia="en-AU"/>
    </w:rPr>
  </w:style>
  <w:style w:type="character" w:styleId="CommentReference">
    <w:name w:val="annotation reference"/>
    <w:basedOn w:val="DefaultParagraphFont"/>
    <w:uiPriority w:val="99"/>
    <w:semiHidden/>
    <w:unhideWhenUsed/>
    <w:rsid w:val="00E2592F"/>
    <w:rPr>
      <w:sz w:val="16"/>
      <w:szCs w:val="16"/>
    </w:rPr>
  </w:style>
  <w:style w:type="paragraph" w:styleId="CommentText">
    <w:name w:val="annotation text"/>
    <w:basedOn w:val="Normal"/>
    <w:link w:val="CommentTextChar"/>
    <w:uiPriority w:val="99"/>
    <w:semiHidden/>
    <w:unhideWhenUsed/>
    <w:rsid w:val="00E2592F"/>
    <w:pPr>
      <w:spacing w:line="240" w:lineRule="auto"/>
    </w:pPr>
    <w:rPr>
      <w:sz w:val="20"/>
      <w:szCs w:val="20"/>
    </w:rPr>
  </w:style>
  <w:style w:type="character" w:customStyle="1" w:styleId="CommentTextChar">
    <w:name w:val="Comment Text Char"/>
    <w:basedOn w:val="DefaultParagraphFont"/>
    <w:link w:val="CommentText"/>
    <w:uiPriority w:val="99"/>
    <w:semiHidden/>
    <w:rsid w:val="00E2592F"/>
    <w:rPr>
      <w:sz w:val="20"/>
      <w:szCs w:val="20"/>
    </w:rPr>
  </w:style>
  <w:style w:type="paragraph" w:styleId="CommentSubject">
    <w:name w:val="annotation subject"/>
    <w:basedOn w:val="CommentText"/>
    <w:next w:val="CommentText"/>
    <w:link w:val="CommentSubjectChar"/>
    <w:uiPriority w:val="99"/>
    <w:semiHidden/>
    <w:unhideWhenUsed/>
    <w:rsid w:val="00E2592F"/>
    <w:rPr>
      <w:b/>
      <w:bCs/>
    </w:rPr>
  </w:style>
  <w:style w:type="character" w:customStyle="1" w:styleId="CommentSubjectChar">
    <w:name w:val="Comment Subject Char"/>
    <w:basedOn w:val="CommentTextChar"/>
    <w:link w:val="CommentSubject"/>
    <w:uiPriority w:val="99"/>
    <w:semiHidden/>
    <w:rsid w:val="00E2592F"/>
    <w:rPr>
      <w:b/>
      <w:bCs/>
      <w:sz w:val="20"/>
      <w:szCs w:val="20"/>
    </w:rPr>
  </w:style>
  <w:style w:type="paragraph" w:customStyle="1" w:styleId="EndNoteBibliographyTitle">
    <w:name w:val="EndNote Bibliography Title"/>
    <w:basedOn w:val="Normal"/>
    <w:link w:val="EndNoteBibliographyTitleChar"/>
    <w:rsid w:val="00ED49E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D49E1"/>
    <w:rPr>
      <w:rFonts w:ascii="Calibri" w:hAnsi="Calibri"/>
      <w:noProof/>
    </w:rPr>
  </w:style>
  <w:style w:type="paragraph" w:customStyle="1" w:styleId="EndNoteBibliography">
    <w:name w:val="EndNote Bibliography"/>
    <w:basedOn w:val="Normal"/>
    <w:link w:val="EndNoteBibliographyChar"/>
    <w:rsid w:val="00ED49E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D49E1"/>
    <w:rPr>
      <w:rFonts w:ascii="Calibri" w:hAnsi="Calibri"/>
      <w:noProof/>
    </w:rPr>
  </w:style>
  <w:style w:type="character" w:customStyle="1" w:styleId="apple-converted-space">
    <w:name w:val="apple-converted-space"/>
    <w:basedOn w:val="DefaultParagraphFont"/>
    <w:rsid w:val="00ED49E1"/>
  </w:style>
  <w:style w:type="paragraph" w:styleId="Revision">
    <w:name w:val="Revision"/>
    <w:hidden/>
    <w:uiPriority w:val="99"/>
    <w:semiHidden/>
    <w:rsid w:val="001E3A20"/>
    <w:pPr>
      <w:spacing w:after="0" w:line="240" w:lineRule="auto"/>
    </w:pPr>
  </w:style>
  <w:style w:type="character" w:styleId="FollowedHyperlink">
    <w:name w:val="FollowedHyperlink"/>
    <w:basedOn w:val="DefaultParagraphFont"/>
    <w:uiPriority w:val="99"/>
    <w:semiHidden/>
    <w:unhideWhenUsed/>
    <w:rsid w:val="000A7856"/>
    <w:rPr>
      <w:color w:val="954F72" w:themeColor="followedHyperlink"/>
      <w:u w:val="single"/>
    </w:rPr>
  </w:style>
  <w:style w:type="character" w:styleId="Emphasis">
    <w:name w:val="Emphasis"/>
    <w:basedOn w:val="DefaultParagraphFont"/>
    <w:uiPriority w:val="20"/>
    <w:qFormat/>
    <w:rsid w:val="00B57D54"/>
    <w:rPr>
      <w:i/>
      <w:iCs/>
    </w:rPr>
  </w:style>
  <w:style w:type="paragraph" w:styleId="Header">
    <w:name w:val="header"/>
    <w:basedOn w:val="Normal"/>
    <w:link w:val="HeaderChar"/>
    <w:uiPriority w:val="99"/>
    <w:unhideWhenUsed/>
    <w:rsid w:val="00BD6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D07"/>
  </w:style>
  <w:style w:type="paragraph" w:styleId="Footer">
    <w:name w:val="footer"/>
    <w:basedOn w:val="Normal"/>
    <w:link w:val="FooterChar"/>
    <w:uiPriority w:val="99"/>
    <w:unhideWhenUsed/>
    <w:rsid w:val="00BD6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D07"/>
  </w:style>
  <w:style w:type="paragraph" w:styleId="PlainText">
    <w:name w:val="Plain Text"/>
    <w:basedOn w:val="Normal"/>
    <w:link w:val="PlainTextChar"/>
    <w:uiPriority w:val="99"/>
    <w:unhideWhenUsed/>
    <w:rsid w:val="005716CC"/>
    <w:pPr>
      <w:spacing w:after="0" w:line="240" w:lineRule="auto"/>
    </w:pPr>
    <w:rPr>
      <w:rFonts w:ascii="Calibri" w:eastAsiaTheme="minorHAnsi" w:hAnsi="Calibri"/>
      <w:szCs w:val="21"/>
      <w:lang w:val="en-US" w:eastAsia="en-US"/>
    </w:rPr>
  </w:style>
  <w:style w:type="character" w:customStyle="1" w:styleId="PlainTextChar">
    <w:name w:val="Plain Text Char"/>
    <w:basedOn w:val="DefaultParagraphFont"/>
    <w:link w:val="PlainText"/>
    <w:uiPriority w:val="99"/>
    <w:rsid w:val="005716CC"/>
    <w:rPr>
      <w:rFonts w:ascii="Calibri" w:eastAsiaTheme="minorHAnsi" w:hAnsi="Calibri"/>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58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58">
          <w:marLeft w:val="0"/>
          <w:marRight w:val="0"/>
          <w:marTop w:val="0"/>
          <w:marBottom w:val="0"/>
          <w:divBdr>
            <w:top w:val="none" w:sz="0" w:space="0" w:color="auto"/>
            <w:left w:val="none" w:sz="0" w:space="0" w:color="auto"/>
            <w:bottom w:val="none" w:sz="0" w:space="0" w:color="auto"/>
            <w:right w:val="none" w:sz="0" w:space="0" w:color="auto"/>
          </w:divBdr>
        </w:div>
      </w:divsChild>
    </w:div>
    <w:div w:id="67122051">
      <w:bodyDiv w:val="1"/>
      <w:marLeft w:val="0"/>
      <w:marRight w:val="0"/>
      <w:marTop w:val="0"/>
      <w:marBottom w:val="0"/>
      <w:divBdr>
        <w:top w:val="none" w:sz="0" w:space="0" w:color="auto"/>
        <w:left w:val="none" w:sz="0" w:space="0" w:color="auto"/>
        <w:bottom w:val="none" w:sz="0" w:space="0" w:color="auto"/>
        <w:right w:val="none" w:sz="0" w:space="0" w:color="auto"/>
      </w:divBdr>
      <w:divsChild>
        <w:div w:id="1502043169">
          <w:marLeft w:val="0"/>
          <w:marRight w:val="0"/>
          <w:marTop w:val="0"/>
          <w:marBottom w:val="0"/>
          <w:divBdr>
            <w:top w:val="none" w:sz="0" w:space="0" w:color="auto"/>
            <w:left w:val="none" w:sz="0" w:space="0" w:color="auto"/>
            <w:bottom w:val="none" w:sz="0" w:space="0" w:color="auto"/>
            <w:right w:val="none" w:sz="0" w:space="0" w:color="auto"/>
          </w:divBdr>
        </w:div>
      </w:divsChild>
    </w:div>
    <w:div w:id="195893386">
      <w:bodyDiv w:val="1"/>
      <w:marLeft w:val="0"/>
      <w:marRight w:val="0"/>
      <w:marTop w:val="0"/>
      <w:marBottom w:val="0"/>
      <w:divBdr>
        <w:top w:val="none" w:sz="0" w:space="0" w:color="auto"/>
        <w:left w:val="none" w:sz="0" w:space="0" w:color="auto"/>
        <w:bottom w:val="none" w:sz="0" w:space="0" w:color="auto"/>
        <w:right w:val="none" w:sz="0" w:space="0" w:color="auto"/>
      </w:divBdr>
      <w:divsChild>
        <w:div w:id="1885100062">
          <w:marLeft w:val="0"/>
          <w:marRight w:val="0"/>
          <w:marTop w:val="0"/>
          <w:marBottom w:val="0"/>
          <w:divBdr>
            <w:top w:val="none" w:sz="0" w:space="0" w:color="auto"/>
            <w:left w:val="none" w:sz="0" w:space="0" w:color="auto"/>
            <w:bottom w:val="none" w:sz="0" w:space="0" w:color="auto"/>
            <w:right w:val="none" w:sz="0" w:space="0" w:color="auto"/>
          </w:divBdr>
        </w:div>
      </w:divsChild>
    </w:div>
    <w:div w:id="278027619">
      <w:bodyDiv w:val="1"/>
      <w:marLeft w:val="0"/>
      <w:marRight w:val="0"/>
      <w:marTop w:val="0"/>
      <w:marBottom w:val="0"/>
      <w:divBdr>
        <w:top w:val="none" w:sz="0" w:space="0" w:color="auto"/>
        <w:left w:val="none" w:sz="0" w:space="0" w:color="auto"/>
        <w:bottom w:val="none" w:sz="0" w:space="0" w:color="auto"/>
        <w:right w:val="none" w:sz="0" w:space="0" w:color="auto"/>
      </w:divBdr>
      <w:divsChild>
        <w:div w:id="1601179946">
          <w:marLeft w:val="0"/>
          <w:marRight w:val="0"/>
          <w:marTop w:val="0"/>
          <w:marBottom w:val="0"/>
          <w:divBdr>
            <w:top w:val="none" w:sz="0" w:space="0" w:color="auto"/>
            <w:left w:val="none" w:sz="0" w:space="0" w:color="auto"/>
            <w:bottom w:val="none" w:sz="0" w:space="0" w:color="auto"/>
            <w:right w:val="none" w:sz="0" w:space="0" w:color="auto"/>
          </w:divBdr>
        </w:div>
      </w:divsChild>
    </w:div>
    <w:div w:id="473060988">
      <w:bodyDiv w:val="1"/>
      <w:marLeft w:val="0"/>
      <w:marRight w:val="0"/>
      <w:marTop w:val="0"/>
      <w:marBottom w:val="0"/>
      <w:divBdr>
        <w:top w:val="none" w:sz="0" w:space="0" w:color="auto"/>
        <w:left w:val="none" w:sz="0" w:space="0" w:color="auto"/>
        <w:bottom w:val="none" w:sz="0" w:space="0" w:color="auto"/>
        <w:right w:val="none" w:sz="0" w:space="0" w:color="auto"/>
      </w:divBdr>
      <w:divsChild>
        <w:div w:id="413744216">
          <w:marLeft w:val="0"/>
          <w:marRight w:val="0"/>
          <w:marTop w:val="0"/>
          <w:marBottom w:val="0"/>
          <w:divBdr>
            <w:top w:val="none" w:sz="0" w:space="0" w:color="auto"/>
            <w:left w:val="none" w:sz="0" w:space="0" w:color="auto"/>
            <w:bottom w:val="none" w:sz="0" w:space="0" w:color="auto"/>
            <w:right w:val="none" w:sz="0" w:space="0" w:color="auto"/>
          </w:divBdr>
        </w:div>
      </w:divsChild>
    </w:div>
    <w:div w:id="534931344">
      <w:bodyDiv w:val="1"/>
      <w:marLeft w:val="0"/>
      <w:marRight w:val="0"/>
      <w:marTop w:val="0"/>
      <w:marBottom w:val="0"/>
      <w:divBdr>
        <w:top w:val="none" w:sz="0" w:space="0" w:color="auto"/>
        <w:left w:val="none" w:sz="0" w:space="0" w:color="auto"/>
        <w:bottom w:val="none" w:sz="0" w:space="0" w:color="auto"/>
        <w:right w:val="none" w:sz="0" w:space="0" w:color="auto"/>
      </w:divBdr>
      <w:divsChild>
        <w:div w:id="1176533622">
          <w:marLeft w:val="0"/>
          <w:marRight w:val="1"/>
          <w:marTop w:val="0"/>
          <w:marBottom w:val="0"/>
          <w:divBdr>
            <w:top w:val="none" w:sz="0" w:space="0" w:color="auto"/>
            <w:left w:val="none" w:sz="0" w:space="0" w:color="auto"/>
            <w:bottom w:val="none" w:sz="0" w:space="0" w:color="auto"/>
            <w:right w:val="none" w:sz="0" w:space="0" w:color="auto"/>
          </w:divBdr>
          <w:divsChild>
            <w:div w:id="209415741">
              <w:marLeft w:val="0"/>
              <w:marRight w:val="0"/>
              <w:marTop w:val="0"/>
              <w:marBottom w:val="0"/>
              <w:divBdr>
                <w:top w:val="none" w:sz="0" w:space="0" w:color="auto"/>
                <w:left w:val="none" w:sz="0" w:space="0" w:color="auto"/>
                <w:bottom w:val="none" w:sz="0" w:space="0" w:color="auto"/>
                <w:right w:val="none" w:sz="0" w:space="0" w:color="auto"/>
              </w:divBdr>
              <w:divsChild>
                <w:div w:id="1856841587">
                  <w:marLeft w:val="0"/>
                  <w:marRight w:val="1"/>
                  <w:marTop w:val="0"/>
                  <w:marBottom w:val="0"/>
                  <w:divBdr>
                    <w:top w:val="none" w:sz="0" w:space="0" w:color="auto"/>
                    <w:left w:val="none" w:sz="0" w:space="0" w:color="auto"/>
                    <w:bottom w:val="none" w:sz="0" w:space="0" w:color="auto"/>
                    <w:right w:val="none" w:sz="0" w:space="0" w:color="auto"/>
                  </w:divBdr>
                  <w:divsChild>
                    <w:div w:id="1783262305">
                      <w:marLeft w:val="0"/>
                      <w:marRight w:val="0"/>
                      <w:marTop w:val="0"/>
                      <w:marBottom w:val="0"/>
                      <w:divBdr>
                        <w:top w:val="none" w:sz="0" w:space="0" w:color="auto"/>
                        <w:left w:val="none" w:sz="0" w:space="0" w:color="auto"/>
                        <w:bottom w:val="none" w:sz="0" w:space="0" w:color="auto"/>
                        <w:right w:val="none" w:sz="0" w:space="0" w:color="auto"/>
                      </w:divBdr>
                      <w:divsChild>
                        <w:div w:id="380523505">
                          <w:marLeft w:val="0"/>
                          <w:marRight w:val="0"/>
                          <w:marTop w:val="0"/>
                          <w:marBottom w:val="0"/>
                          <w:divBdr>
                            <w:top w:val="none" w:sz="0" w:space="0" w:color="auto"/>
                            <w:left w:val="none" w:sz="0" w:space="0" w:color="auto"/>
                            <w:bottom w:val="none" w:sz="0" w:space="0" w:color="auto"/>
                            <w:right w:val="none" w:sz="0" w:space="0" w:color="auto"/>
                          </w:divBdr>
                          <w:divsChild>
                            <w:div w:id="1584098923">
                              <w:marLeft w:val="0"/>
                              <w:marRight w:val="0"/>
                              <w:marTop w:val="120"/>
                              <w:marBottom w:val="360"/>
                              <w:divBdr>
                                <w:top w:val="none" w:sz="0" w:space="0" w:color="auto"/>
                                <w:left w:val="none" w:sz="0" w:space="0" w:color="auto"/>
                                <w:bottom w:val="none" w:sz="0" w:space="0" w:color="auto"/>
                                <w:right w:val="none" w:sz="0" w:space="0" w:color="auto"/>
                              </w:divBdr>
                              <w:divsChild>
                                <w:div w:id="325481766">
                                  <w:marLeft w:val="0"/>
                                  <w:marRight w:val="0"/>
                                  <w:marTop w:val="0"/>
                                  <w:marBottom w:val="0"/>
                                  <w:divBdr>
                                    <w:top w:val="none" w:sz="0" w:space="0" w:color="auto"/>
                                    <w:left w:val="none" w:sz="0" w:space="0" w:color="auto"/>
                                    <w:bottom w:val="none" w:sz="0" w:space="0" w:color="auto"/>
                                    <w:right w:val="none" w:sz="0" w:space="0" w:color="auto"/>
                                  </w:divBdr>
                                </w:div>
                                <w:div w:id="14776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868460">
      <w:bodyDiv w:val="1"/>
      <w:marLeft w:val="0"/>
      <w:marRight w:val="0"/>
      <w:marTop w:val="0"/>
      <w:marBottom w:val="0"/>
      <w:divBdr>
        <w:top w:val="none" w:sz="0" w:space="0" w:color="auto"/>
        <w:left w:val="none" w:sz="0" w:space="0" w:color="auto"/>
        <w:bottom w:val="none" w:sz="0" w:space="0" w:color="auto"/>
        <w:right w:val="none" w:sz="0" w:space="0" w:color="auto"/>
      </w:divBdr>
    </w:div>
    <w:div w:id="874659469">
      <w:bodyDiv w:val="1"/>
      <w:marLeft w:val="0"/>
      <w:marRight w:val="0"/>
      <w:marTop w:val="0"/>
      <w:marBottom w:val="0"/>
      <w:divBdr>
        <w:top w:val="none" w:sz="0" w:space="0" w:color="auto"/>
        <w:left w:val="none" w:sz="0" w:space="0" w:color="auto"/>
        <w:bottom w:val="none" w:sz="0" w:space="0" w:color="auto"/>
        <w:right w:val="none" w:sz="0" w:space="0" w:color="auto"/>
      </w:divBdr>
      <w:divsChild>
        <w:div w:id="1320189285">
          <w:marLeft w:val="0"/>
          <w:marRight w:val="0"/>
          <w:marTop w:val="0"/>
          <w:marBottom w:val="0"/>
          <w:divBdr>
            <w:top w:val="none" w:sz="0" w:space="0" w:color="auto"/>
            <w:left w:val="none" w:sz="0" w:space="0" w:color="auto"/>
            <w:bottom w:val="none" w:sz="0" w:space="0" w:color="auto"/>
            <w:right w:val="none" w:sz="0" w:space="0" w:color="auto"/>
          </w:divBdr>
        </w:div>
      </w:divsChild>
    </w:div>
    <w:div w:id="1372075141">
      <w:bodyDiv w:val="1"/>
      <w:marLeft w:val="0"/>
      <w:marRight w:val="0"/>
      <w:marTop w:val="0"/>
      <w:marBottom w:val="0"/>
      <w:divBdr>
        <w:top w:val="none" w:sz="0" w:space="0" w:color="auto"/>
        <w:left w:val="none" w:sz="0" w:space="0" w:color="auto"/>
        <w:bottom w:val="none" w:sz="0" w:space="0" w:color="auto"/>
        <w:right w:val="none" w:sz="0" w:space="0" w:color="auto"/>
      </w:divBdr>
      <w:divsChild>
        <w:div w:id="1477801018">
          <w:marLeft w:val="0"/>
          <w:marRight w:val="0"/>
          <w:marTop w:val="0"/>
          <w:marBottom w:val="0"/>
          <w:divBdr>
            <w:top w:val="none" w:sz="0" w:space="0" w:color="auto"/>
            <w:left w:val="none" w:sz="0" w:space="0" w:color="auto"/>
            <w:bottom w:val="none" w:sz="0" w:space="0" w:color="auto"/>
            <w:right w:val="none" w:sz="0" w:space="0" w:color="auto"/>
          </w:divBdr>
        </w:div>
        <w:div w:id="1966154083">
          <w:marLeft w:val="0"/>
          <w:marRight w:val="0"/>
          <w:marTop w:val="0"/>
          <w:marBottom w:val="0"/>
          <w:divBdr>
            <w:top w:val="none" w:sz="0" w:space="0" w:color="auto"/>
            <w:left w:val="none" w:sz="0" w:space="0" w:color="auto"/>
            <w:bottom w:val="none" w:sz="0" w:space="0" w:color="auto"/>
            <w:right w:val="none" w:sz="0" w:space="0" w:color="auto"/>
          </w:divBdr>
        </w:div>
        <w:div w:id="1988901127">
          <w:marLeft w:val="0"/>
          <w:marRight w:val="0"/>
          <w:marTop w:val="0"/>
          <w:marBottom w:val="0"/>
          <w:divBdr>
            <w:top w:val="none" w:sz="0" w:space="0" w:color="auto"/>
            <w:left w:val="none" w:sz="0" w:space="0" w:color="auto"/>
            <w:bottom w:val="none" w:sz="0" w:space="0" w:color="auto"/>
            <w:right w:val="none" w:sz="0" w:space="0" w:color="auto"/>
          </w:divBdr>
        </w:div>
        <w:div w:id="1507986304">
          <w:marLeft w:val="0"/>
          <w:marRight w:val="0"/>
          <w:marTop w:val="0"/>
          <w:marBottom w:val="0"/>
          <w:divBdr>
            <w:top w:val="none" w:sz="0" w:space="0" w:color="auto"/>
            <w:left w:val="none" w:sz="0" w:space="0" w:color="auto"/>
            <w:bottom w:val="none" w:sz="0" w:space="0" w:color="auto"/>
            <w:right w:val="none" w:sz="0" w:space="0" w:color="auto"/>
          </w:divBdr>
        </w:div>
        <w:div w:id="698235843">
          <w:marLeft w:val="0"/>
          <w:marRight w:val="0"/>
          <w:marTop w:val="0"/>
          <w:marBottom w:val="0"/>
          <w:divBdr>
            <w:top w:val="none" w:sz="0" w:space="0" w:color="auto"/>
            <w:left w:val="none" w:sz="0" w:space="0" w:color="auto"/>
            <w:bottom w:val="none" w:sz="0" w:space="0" w:color="auto"/>
            <w:right w:val="none" w:sz="0" w:space="0" w:color="auto"/>
          </w:divBdr>
        </w:div>
        <w:div w:id="1364088521">
          <w:marLeft w:val="0"/>
          <w:marRight w:val="0"/>
          <w:marTop w:val="0"/>
          <w:marBottom w:val="0"/>
          <w:divBdr>
            <w:top w:val="none" w:sz="0" w:space="0" w:color="auto"/>
            <w:left w:val="none" w:sz="0" w:space="0" w:color="auto"/>
            <w:bottom w:val="none" w:sz="0" w:space="0" w:color="auto"/>
            <w:right w:val="none" w:sz="0" w:space="0" w:color="auto"/>
          </w:divBdr>
        </w:div>
        <w:div w:id="74481038">
          <w:marLeft w:val="0"/>
          <w:marRight w:val="0"/>
          <w:marTop w:val="0"/>
          <w:marBottom w:val="0"/>
          <w:divBdr>
            <w:top w:val="none" w:sz="0" w:space="0" w:color="auto"/>
            <w:left w:val="none" w:sz="0" w:space="0" w:color="auto"/>
            <w:bottom w:val="none" w:sz="0" w:space="0" w:color="auto"/>
            <w:right w:val="none" w:sz="0" w:space="0" w:color="auto"/>
          </w:divBdr>
        </w:div>
      </w:divsChild>
    </w:div>
    <w:div w:id="1413817387">
      <w:bodyDiv w:val="1"/>
      <w:marLeft w:val="0"/>
      <w:marRight w:val="0"/>
      <w:marTop w:val="0"/>
      <w:marBottom w:val="0"/>
      <w:divBdr>
        <w:top w:val="none" w:sz="0" w:space="0" w:color="auto"/>
        <w:left w:val="none" w:sz="0" w:space="0" w:color="auto"/>
        <w:bottom w:val="none" w:sz="0" w:space="0" w:color="auto"/>
        <w:right w:val="none" w:sz="0" w:space="0" w:color="auto"/>
      </w:divBdr>
    </w:div>
    <w:div w:id="1518230458">
      <w:bodyDiv w:val="1"/>
      <w:marLeft w:val="0"/>
      <w:marRight w:val="0"/>
      <w:marTop w:val="0"/>
      <w:marBottom w:val="0"/>
      <w:divBdr>
        <w:top w:val="none" w:sz="0" w:space="0" w:color="auto"/>
        <w:left w:val="none" w:sz="0" w:space="0" w:color="auto"/>
        <w:bottom w:val="none" w:sz="0" w:space="0" w:color="auto"/>
        <w:right w:val="none" w:sz="0" w:space="0" w:color="auto"/>
      </w:divBdr>
    </w:div>
    <w:div w:id="1601982467">
      <w:bodyDiv w:val="1"/>
      <w:marLeft w:val="0"/>
      <w:marRight w:val="0"/>
      <w:marTop w:val="0"/>
      <w:marBottom w:val="0"/>
      <w:divBdr>
        <w:top w:val="none" w:sz="0" w:space="0" w:color="auto"/>
        <w:left w:val="none" w:sz="0" w:space="0" w:color="auto"/>
        <w:bottom w:val="none" w:sz="0" w:space="0" w:color="auto"/>
        <w:right w:val="none" w:sz="0" w:space="0" w:color="auto"/>
      </w:divBdr>
      <w:divsChild>
        <w:div w:id="423916167">
          <w:marLeft w:val="0"/>
          <w:marRight w:val="0"/>
          <w:marTop w:val="0"/>
          <w:marBottom w:val="0"/>
          <w:divBdr>
            <w:top w:val="none" w:sz="0" w:space="0" w:color="auto"/>
            <w:left w:val="none" w:sz="0" w:space="0" w:color="auto"/>
            <w:bottom w:val="none" w:sz="0" w:space="0" w:color="auto"/>
            <w:right w:val="none" w:sz="0" w:space="0" w:color="auto"/>
          </w:divBdr>
        </w:div>
        <w:div w:id="1240098423">
          <w:marLeft w:val="0"/>
          <w:marRight w:val="0"/>
          <w:marTop w:val="0"/>
          <w:marBottom w:val="0"/>
          <w:divBdr>
            <w:top w:val="none" w:sz="0" w:space="0" w:color="auto"/>
            <w:left w:val="none" w:sz="0" w:space="0" w:color="auto"/>
            <w:bottom w:val="none" w:sz="0" w:space="0" w:color="auto"/>
            <w:right w:val="none" w:sz="0" w:space="0" w:color="auto"/>
          </w:divBdr>
        </w:div>
        <w:div w:id="89203254">
          <w:marLeft w:val="0"/>
          <w:marRight w:val="0"/>
          <w:marTop w:val="0"/>
          <w:marBottom w:val="0"/>
          <w:divBdr>
            <w:top w:val="none" w:sz="0" w:space="0" w:color="auto"/>
            <w:left w:val="none" w:sz="0" w:space="0" w:color="auto"/>
            <w:bottom w:val="none" w:sz="0" w:space="0" w:color="auto"/>
            <w:right w:val="none" w:sz="0" w:space="0" w:color="auto"/>
          </w:divBdr>
        </w:div>
        <w:div w:id="133645483">
          <w:marLeft w:val="0"/>
          <w:marRight w:val="0"/>
          <w:marTop w:val="0"/>
          <w:marBottom w:val="0"/>
          <w:divBdr>
            <w:top w:val="none" w:sz="0" w:space="0" w:color="auto"/>
            <w:left w:val="none" w:sz="0" w:space="0" w:color="auto"/>
            <w:bottom w:val="none" w:sz="0" w:space="0" w:color="auto"/>
            <w:right w:val="none" w:sz="0" w:space="0" w:color="auto"/>
          </w:divBdr>
        </w:div>
        <w:div w:id="1785688384">
          <w:marLeft w:val="0"/>
          <w:marRight w:val="0"/>
          <w:marTop w:val="0"/>
          <w:marBottom w:val="0"/>
          <w:divBdr>
            <w:top w:val="none" w:sz="0" w:space="0" w:color="auto"/>
            <w:left w:val="none" w:sz="0" w:space="0" w:color="auto"/>
            <w:bottom w:val="none" w:sz="0" w:space="0" w:color="auto"/>
            <w:right w:val="none" w:sz="0" w:space="0" w:color="auto"/>
          </w:divBdr>
        </w:div>
        <w:div w:id="1143234493">
          <w:marLeft w:val="0"/>
          <w:marRight w:val="0"/>
          <w:marTop w:val="0"/>
          <w:marBottom w:val="0"/>
          <w:divBdr>
            <w:top w:val="none" w:sz="0" w:space="0" w:color="auto"/>
            <w:left w:val="none" w:sz="0" w:space="0" w:color="auto"/>
            <w:bottom w:val="none" w:sz="0" w:space="0" w:color="auto"/>
            <w:right w:val="none" w:sz="0" w:space="0" w:color="auto"/>
          </w:divBdr>
        </w:div>
        <w:div w:id="190225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hw.gov.au/haag11-12/adverse-ev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who.int/iris/bitstream/10665/44205/1/9789241598620_en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patientsafety/information_centre/documents/who_ps_curriculum_summary.pdf?ua=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yingstart.scot.nhs.uk/learning-programmes/safe-practice/patientclient-safety/" TargetMode="External"/><Relationship Id="rId4" Type="http://schemas.openxmlformats.org/officeDocument/2006/relationships/settings" Target="settings.xml"/><Relationship Id="rId9" Type="http://schemas.openxmlformats.org/officeDocument/2006/relationships/hyperlink" Target="http://www.npsf.org/?page=freefromha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C876-902E-477A-8288-9239B2A5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6903</Words>
  <Characters>39353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Woods</dc:creator>
  <cp:lastModifiedBy>Tamara Power</cp:lastModifiedBy>
  <cp:revision>4</cp:revision>
  <cp:lastPrinted>2017-02-02T23:29:00Z</cp:lastPrinted>
  <dcterms:created xsi:type="dcterms:W3CDTF">2017-03-24T00:37:00Z</dcterms:created>
  <dcterms:modified xsi:type="dcterms:W3CDTF">2017-03-24T00:38:00Z</dcterms:modified>
</cp:coreProperties>
</file>