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84" w:rsidRPr="00B82E67" w:rsidRDefault="00DF3F3B" w:rsidP="00B82E67">
      <w:p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Toxicity of inorganic mercury to native Australian grass grown in three different soils</w:t>
      </w:r>
    </w:p>
    <w:p w:rsidR="00DF3F3B" w:rsidRPr="00B82E67" w:rsidRDefault="00DF3F3B" w:rsidP="00B82E67">
      <w:pPr>
        <w:spacing w:after="0" w:line="240" w:lineRule="auto"/>
        <w:jc w:val="both"/>
        <w:rPr>
          <w:rFonts w:ascii="Times New Roman" w:hAnsi="Times New Roman" w:cs="Times New Roman"/>
          <w:bCs/>
          <w:noProof/>
          <w:sz w:val="24"/>
          <w:szCs w:val="24"/>
          <w:lang w:eastAsia="en-AU"/>
        </w:rPr>
      </w:pPr>
      <w:r w:rsidRPr="00B82E67">
        <w:rPr>
          <w:rFonts w:ascii="Times New Roman" w:hAnsi="Times New Roman" w:cs="Times New Roman"/>
          <w:bCs/>
          <w:noProof/>
          <w:sz w:val="24"/>
          <w:szCs w:val="24"/>
          <w:lang w:eastAsia="en-AU"/>
        </w:rPr>
        <w:t>Khandaker Rayhan Mahbub</w:t>
      </w:r>
      <w:r w:rsidRPr="00B82E67">
        <w:rPr>
          <w:rFonts w:ascii="Times New Roman" w:hAnsi="Times New Roman" w:cs="Times New Roman"/>
          <w:bCs/>
          <w:noProof/>
          <w:sz w:val="24"/>
          <w:szCs w:val="24"/>
          <w:vertAlign w:val="superscript"/>
          <w:lang w:eastAsia="en-AU"/>
        </w:rPr>
        <w:t>1,2</w:t>
      </w:r>
      <w:r w:rsidR="002B0CB2">
        <w:rPr>
          <w:rFonts w:ascii="Times New Roman" w:hAnsi="Times New Roman" w:cs="Times New Roman"/>
          <w:bCs/>
          <w:noProof/>
          <w:sz w:val="24"/>
          <w:szCs w:val="24"/>
          <w:vertAlign w:val="superscript"/>
          <w:lang w:eastAsia="en-AU"/>
        </w:rPr>
        <w:t>,3,4</w:t>
      </w:r>
      <w:r w:rsidRPr="00B82E67">
        <w:rPr>
          <w:rFonts w:ascii="Times New Roman" w:hAnsi="Times New Roman" w:cs="Times New Roman"/>
          <w:bCs/>
          <w:noProof/>
          <w:sz w:val="24"/>
          <w:szCs w:val="24"/>
          <w:vertAlign w:val="superscript"/>
          <w:lang w:eastAsia="en-AU"/>
        </w:rPr>
        <w:t>*</w:t>
      </w:r>
      <w:r w:rsidRPr="00B82E67">
        <w:rPr>
          <w:rFonts w:ascii="Times New Roman" w:hAnsi="Times New Roman" w:cs="Times New Roman"/>
          <w:bCs/>
          <w:noProof/>
          <w:sz w:val="24"/>
          <w:szCs w:val="24"/>
          <w:lang w:eastAsia="en-AU"/>
        </w:rPr>
        <w:t xml:space="preserve">, </w:t>
      </w:r>
      <w:r w:rsidR="002B0CB2" w:rsidRPr="002B0CB2">
        <w:rPr>
          <w:rFonts w:ascii="Times New Roman" w:eastAsiaTheme="minorHAnsi" w:hAnsi="Times New Roman" w:cs="Times New Roman"/>
          <w:color w:val="131413"/>
          <w:sz w:val="24"/>
          <w:szCs w:val="24"/>
          <w:lang w:val="en-AU" w:bidi="ar-SA"/>
        </w:rPr>
        <w:t>Mohammed Kader</w:t>
      </w:r>
      <w:r w:rsidR="0013600B">
        <w:rPr>
          <w:rFonts w:ascii="Times New Roman" w:eastAsiaTheme="minorHAnsi" w:hAnsi="Times New Roman" w:cs="Times New Roman"/>
          <w:color w:val="131413"/>
          <w:sz w:val="24"/>
          <w:szCs w:val="24"/>
          <w:vertAlign w:val="superscript"/>
          <w:lang w:val="en-AU" w:bidi="ar-SA"/>
        </w:rPr>
        <w:t>1</w:t>
      </w:r>
      <w:proofErr w:type="gramStart"/>
      <w:r w:rsidR="0013600B">
        <w:rPr>
          <w:rFonts w:ascii="Times New Roman" w:eastAsiaTheme="minorHAnsi" w:hAnsi="Times New Roman" w:cs="Times New Roman"/>
          <w:color w:val="131413"/>
          <w:sz w:val="24"/>
          <w:szCs w:val="24"/>
          <w:vertAlign w:val="superscript"/>
          <w:lang w:val="en-AU" w:bidi="ar-SA"/>
        </w:rPr>
        <w:t>,2</w:t>
      </w:r>
      <w:proofErr w:type="gramEnd"/>
      <w:r w:rsidR="002B0CB2">
        <w:rPr>
          <w:rFonts w:ascii="Times New Roman" w:eastAsiaTheme="minorHAnsi" w:hAnsi="Times New Roman" w:cs="Times New Roman"/>
          <w:color w:val="131413"/>
          <w:sz w:val="24"/>
          <w:szCs w:val="24"/>
          <w:lang w:val="en-AU" w:bidi="ar-SA"/>
        </w:rPr>
        <w:t>,</w:t>
      </w:r>
      <w:r w:rsidR="002B0CB2">
        <w:rPr>
          <w:rFonts w:ascii="QmrxrmAdvTTb8864ccf.B" w:eastAsiaTheme="minorHAnsi" w:hAnsi="QmrxrmAdvTTb8864ccf.B" w:cs="QmrxrmAdvTTb8864ccf.B"/>
          <w:color w:val="131413"/>
          <w:sz w:val="20"/>
          <w:szCs w:val="20"/>
          <w:lang w:val="en-AU" w:bidi="ar-SA"/>
        </w:rPr>
        <w:t xml:space="preserve"> </w:t>
      </w:r>
      <w:r w:rsidRPr="00B82E67">
        <w:rPr>
          <w:rFonts w:ascii="Times New Roman" w:hAnsi="Times New Roman" w:cs="Times New Roman"/>
          <w:bCs/>
          <w:noProof/>
          <w:sz w:val="24"/>
          <w:szCs w:val="24"/>
          <w:lang w:eastAsia="en-AU"/>
        </w:rPr>
        <w:t>Kannan Krishnan</w:t>
      </w:r>
      <w:r w:rsidR="0013600B">
        <w:rPr>
          <w:rFonts w:ascii="Times New Roman" w:hAnsi="Times New Roman" w:cs="Times New Roman"/>
          <w:bCs/>
          <w:noProof/>
          <w:sz w:val="24"/>
          <w:szCs w:val="24"/>
          <w:vertAlign w:val="superscript"/>
          <w:lang w:eastAsia="en-AU"/>
        </w:rPr>
        <w:t>1,2</w:t>
      </w:r>
      <w:r w:rsidR="00F16130">
        <w:rPr>
          <w:rFonts w:ascii="Times New Roman" w:hAnsi="Times New Roman" w:cs="Times New Roman"/>
          <w:bCs/>
          <w:noProof/>
          <w:sz w:val="24"/>
          <w:szCs w:val="24"/>
          <w:lang w:eastAsia="en-AU"/>
        </w:rPr>
        <w:t xml:space="preserve">, </w:t>
      </w:r>
      <w:r w:rsidR="00F16130" w:rsidRPr="003C6052">
        <w:rPr>
          <w:rFonts w:ascii="Times New Roman" w:hAnsi="Times New Roman" w:cs="Times New Roman"/>
          <w:bCs/>
          <w:noProof/>
          <w:sz w:val="24"/>
          <w:szCs w:val="24"/>
          <w:lang w:eastAsia="en-AU"/>
        </w:rPr>
        <w:t>Maurizio Labbate</w:t>
      </w:r>
      <w:r w:rsidR="0013600B" w:rsidRPr="003C6052">
        <w:rPr>
          <w:rFonts w:ascii="Times New Roman" w:hAnsi="Times New Roman" w:cs="Times New Roman"/>
          <w:bCs/>
          <w:noProof/>
          <w:sz w:val="24"/>
          <w:szCs w:val="24"/>
          <w:vertAlign w:val="superscript"/>
          <w:lang w:eastAsia="en-AU"/>
        </w:rPr>
        <w:t>3</w:t>
      </w:r>
      <w:r w:rsidR="00F16130">
        <w:rPr>
          <w:rFonts w:ascii="Times New Roman" w:hAnsi="Times New Roman" w:cs="Times New Roman"/>
          <w:bCs/>
          <w:noProof/>
          <w:sz w:val="24"/>
          <w:szCs w:val="24"/>
          <w:lang w:eastAsia="en-AU"/>
        </w:rPr>
        <w:t xml:space="preserve">, </w:t>
      </w:r>
      <w:r w:rsidRPr="00B82E67">
        <w:rPr>
          <w:rFonts w:ascii="Times New Roman" w:hAnsi="Times New Roman" w:cs="Times New Roman"/>
          <w:bCs/>
          <w:noProof/>
          <w:sz w:val="24"/>
          <w:szCs w:val="24"/>
          <w:lang w:eastAsia="en-AU"/>
        </w:rPr>
        <w:t>Ravi Naidu</w:t>
      </w:r>
      <w:r w:rsidR="0013600B">
        <w:rPr>
          <w:rFonts w:ascii="Times New Roman" w:hAnsi="Times New Roman" w:cs="Times New Roman"/>
          <w:bCs/>
          <w:noProof/>
          <w:sz w:val="24"/>
          <w:szCs w:val="24"/>
          <w:vertAlign w:val="superscript"/>
          <w:lang w:eastAsia="en-AU"/>
        </w:rPr>
        <w:t>1,2</w:t>
      </w:r>
      <w:r w:rsidRPr="00B82E67">
        <w:rPr>
          <w:rFonts w:ascii="Times New Roman" w:hAnsi="Times New Roman" w:cs="Times New Roman"/>
          <w:bCs/>
          <w:noProof/>
          <w:sz w:val="24"/>
          <w:szCs w:val="24"/>
          <w:lang w:eastAsia="en-AU"/>
        </w:rPr>
        <w:t>, Mallavarapu Megharaj</w:t>
      </w:r>
      <w:r w:rsidR="0013600B">
        <w:rPr>
          <w:rFonts w:ascii="Times New Roman" w:hAnsi="Times New Roman" w:cs="Times New Roman"/>
          <w:bCs/>
          <w:noProof/>
          <w:sz w:val="24"/>
          <w:szCs w:val="24"/>
          <w:vertAlign w:val="superscript"/>
          <w:lang w:eastAsia="en-AU"/>
        </w:rPr>
        <w:t>1,2</w:t>
      </w:r>
    </w:p>
    <w:p w:rsidR="00DF3F3B" w:rsidRPr="00B82E67" w:rsidRDefault="00DF3F3B" w:rsidP="00B82E67">
      <w:pPr>
        <w:pStyle w:val="ListParagraph"/>
        <w:numPr>
          <w:ilvl w:val="0"/>
          <w:numId w:val="1"/>
        </w:num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Global Centre for Environmental Remediation, Faculty of Science and Information Technology, The University of Newcastle, Callaghan NSW 2308, Australia</w:t>
      </w:r>
    </w:p>
    <w:p w:rsidR="00DF3F3B" w:rsidRDefault="00DF3F3B" w:rsidP="00B82E67">
      <w:pPr>
        <w:pStyle w:val="ListParagraph"/>
        <w:numPr>
          <w:ilvl w:val="0"/>
          <w:numId w:val="1"/>
        </w:num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Cooperative Research Centre for Contamination Assessment and Remediation of the Environment (CRC-CARE), University Drive, Callaghan NSW 2308, Australia</w:t>
      </w:r>
    </w:p>
    <w:p w:rsidR="0013600B" w:rsidRPr="003C6052" w:rsidRDefault="0013600B" w:rsidP="0013600B">
      <w:pPr>
        <w:pStyle w:val="ListParagraph"/>
        <w:numPr>
          <w:ilvl w:val="0"/>
          <w:numId w:val="1"/>
        </w:numPr>
        <w:spacing w:after="0" w:line="240" w:lineRule="auto"/>
        <w:jc w:val="both"/>
        <w:rPr>
          <w:rFonts w:ascii="Times New Roman" w:hAnsi="Times New Roman" w:cs="Times New Roman"/>
          <w:sz w:val="24"/>
          <w:szCs w:val="24"/>
        </w:rPr>
      </w:pPr>
      <w:r w:rsidRPr="003C6052">
        <w:rPr>
          <w:rFonts w:ascii="Times New Roman" w:hAnsi="Times New Roman" w:cs="Times New Roman"/>
          <w:sz w:val="24"/>
          <w:szCs w:val="24"/>
        </w:rPr>
        <w:t>School of Life Sciences &amp; the i3 Institute, University of Technology Sydney, Ultimo NSW 2007, Australia</w:t>
      </w:r>
    </w:p>
    <w:p w:rsidR="002B0CB2" w:rsidRPr="003C6052" w:rsidRDefault="002B0CB2" w:rsidP="00B82E67">
      <w:pPr>
        <w:pStyle w:val="ListParagraph"/>
        <w:numPr>
          <w:ilvl w:val="0"/>
          <w:numId w:val="1"/>
        </w:numPr>
        <w:spacing w:after="0" w:line="240" w:lineRule="auto"/>
        <w:jc w:val="both"/>
        <w:rPr>
          <w:rFonts w:ascii="Times New Roman" w:hAnsi="Times New Roman" w:cs="Times New Roman"/>
          <w:sz w:val="24"/>
          <w:szCs w:val="24"/>
        </w:rPr>
      </w:pPr>
      <w:r w:rsidRPr="003C6052">
        <w:rPr>
          <w:rFonts w:ascii="Times New Roman" w:hAnsi="Times New Roman" w:cs="Times New Roman"/>
          <w:sz w:val="24"/>
          <w:szCs w:val="24"/>
        </w:rPr>
        <w:t xml:space="preserve">Bangladesh Council of Scientific and Industrial Research, </w:t>
      </w:r>
      <w:proofErr w:type="spellStart"/>
      <w:r w:rsidRPr="003C6052">
        <w:rPr>
          <w:rFonts w:ascii="Times New Roman" w:hAnsi="Times New Roman" w:cs="Times New Roman"/>
          <w:sz w:val="24"/>
          <w:szCs w:val="24"/>
        </w:rPr>
        <w:t>Dhanmondi</w:t>
      </w:r>
      <w:proofErr w:type="spellEnd"/>
      <w:r w:rsidRPr="003C6052">
        <w:rPr>
          <w:rFonts w:ascii="Times New Roman" w:hAnsi="Times New Roman" w:cs="Times New Roman"/>
          <w:sz w:val="24"/>
          <w:szCs w:val="24"/>
        </w:rPr>
        <w:t>, Dhaka 1205, Bangladesh</w:t>
      </w:r>
    </w:p>
    <w:p w:rsidR="00DF3F3B" w:rsidRPr="003C6052" w:rsidRDefault="00DF3F3B" w:rsidP="00B82E67">
      <w:pPr>
        <w:spacing w:after="0" w:line="240" w:lineRule="auto"/>
        <w:jc w:val="both"/>
        <w:rPr>
          <w:rFonts w:ascii="Times New Roman" w:hAnsi="Times New Roman" w:cs="Times New Roman"/>
          <w:bCs/>
          <w:noProof/>
          <w:sz w:val="24"/>
          <w:szCs w:val="24"/>
          <w:lang w:eastAsia="en-AU"/>
        </w:rPr>
      </w:pPr>
      <w:r w:rsidRPr="003C6052">
        <w:rPr>
          <w:rFonts w:ascii="Times New Roman" w:hAnsi="Times New Roman" w:cs="Times New Roman"/>
          <w:bCs/>
          <w:noProof/>
          <w:sz w:val="24"/>
          <w:szCs w:val="24"/>
          <w:lang w:eastAsia="en-AU"/>
        </w:rPr>
        <w:t>*Author for correspondence: Khandaker Rayhan Mahbub</w:t>
      </w:r>
    </w:p>
    <w:p w:rsidR="002B0CB2" w:rsidRPr="003C6052" w:rsidRDefault="002B0CB2" w:rsidP="00B82E67">
      <w:pPr>
        <w:spacing w:after="0" w:line="240" w:lineRule="auto"/>
        <w:jc w:val="both"/>
        <w:rPr>
          <w:rFonts w:ascii="Times New Roman" w:hAnsi="Times New Roman" w:cs="Times New Roman"/>
          <w:sz w:val="24"/>
          <w:szCs w:val="24"/>
        </w:rPr>
      </w:pPr>
      <w:r w:rsidRPr="003C6052">
        <w:rPr>
          <w:rFonts w:ascii="Times New Roman" w:hAnsi="Times New Roman" w:cs="Times New Roman"/>
          <w:sz w:val="24"/>
          <w:szCs w:val="24"/>
        </w:rPr>
        <w:t>School of Life Sciences &amp; the i3 Institute</w:t>
      </w:r>
    </w:p>
    <w:p w:rsidR="002B0CB2" w:rsidRPr="003C6052" w:rsidRDefault="002B0CB2" w:rsidP="00B82E67">
      <w:pPr>
        <w:spacing w:after="0" w:line="240" w:lineRule="auto"/>
        <w:jc w:val="both"/>
        <w:rPr>
          <w:rFonts w:ascii="Times New Roman" w:hAnsi="Times New Roman" w:cs="Times New Roman"/>
          <w:sz w:val="24"/>
          <w:szCs w:val="24"/>
        </w:rPr>
      </w:pPr>
      <w:r w:rsidRPr="003C6052">
        <w:rPr>
          <w:rFonts w:ascii="Times New Roman" w:hAnsi="Times New Roman" w:cs="Times New Roman"/>
          <w:sz w:val="24"/>
          <w:szCs w:val="24"/>
        </w:rPr>
        <w:t>University of Technology Sydney</w:t>
      </w:r>
    </w:p>
    <w:p w:rsidR="002B0CB2" w:rsidRPr="003C6052" w:rsidRDefault="002B0CB2" w:rsidP="00B82E67">
      <w:pPr>
        <w:spacing w:after="0" w:line="240" w:lineRule="auto"/>
        <w:jc w:val="both"/>
        <w:rPr>
          <w:rFonts w:ascii="Times New Roman" w:hAnsi="Times New Roman" w:cs="Times New Roman"/>
          <w:sz w:val="24"/>
          <w:szCs w:val="24"/>
        </w:rPr>
      </w:pPr>
      <w:r w:rsidRPr="003C6052">
        <w:rPr>
          <w:rFonts w:ascii="Times New Roman" w:hAnsi="Times New Roman" w:cs="Times New Roman"/>
          <w:sz w:val="24"/>
          <w:szCs w:val="24"/>
        </w:rPr>
        <w:t>Ultimo NSW 2007, Australia</w:t>
      </w:r>
    </w:p>
    <w:p w:rsidR="00DF3F3B" w:rsidRPr="00B82E67" w:rsidRDefault="00DF3F3B" w:rsidP="00B82E67">
      <w:pPr>
        <w:spacing w:after="0" w:line="240" w:lineRule="auto"/>
        <w:jc w:val="both"/>
        <w:rPr>
          <w:rFonts w:ascii="Times New Roman" w:hAnsi="Times New Roman" w:cs="Times New Roman"/>
          <w:bCs/>
          <w:noProof/>
          <w:sz w:val="24"/>
          <w:szCs w:val="24"/>
          <w:lang w:eastAsia="en-AU"/>
        </w:rPr>
      </w:pPr>
      <w:r w:rsidRPr="003C6052">
        <w:rPr>
          <w:rFonts w:ascii="Times New Roman" w:hAnsi="Times New Roman" w:cs="Times New Roman"/>
          <w:bCs/>
          <w:noProof/>
          <w:sz w:val="24"/>
          <w:szCs w:val="24"/>
          <w:lang w:eastAsia="en-AU"/>
        </w:rPr>
        <w:t>Mob: +61 404022697</w:t>
      </w:r>
    </w:p>
    <w:p w:rsidR="002B0CB2" w:rsidRPr="002B0CB2" w:rsidRDefault="00DF3F3B" w:rsidP="00B82E67">
      <w:pPr>
        <w:spacing w:after="0" w:line="240" w:lineRule="auto"/>
        <w:jc w:val="both"/>
        <w:rPr>
          <w:rFonts w:ascii="Times New Roman" w:hAnsi="Times New Roman" w:cs="Times New Roman"/>
          <w:bCs/>
          <w:color w:val="0000FF"/>
          <w:sz w:val="24"/>
          <w:szCs w:val="24"/>
          <w:u w:val="single"/>
          <w:lang w:eastAsia="en-AU"/>
        </w:rPr>
      </w:pPr>
      <w:r w:rsidRPr="00B82E67">
        <w:rPr>
          <w:rFonts w:ascii="Times New Roman" w:hAnsi="Times New Roman" w:cs="Times New Roman"/>
          <w:bCs/>
          <w:noProof/>
          <w:sz w:val="24"/>
          <w:szCs w:val="24"/>
          <w:lang w:eastAsia="en-AU"/>
        </w:rPr>
        <w:t xml:space="preserve">Email: </w:t>
      </w:r>
      <w:hyperlink r:id="rId8" w:history="1">
        <w:r w:rsidR="00841522" w:rsidRPr="002156A2">
          <w:rPr>
            <w:rStyle w:val="Hyperlink"/>
            <w:rFonts w:ascii="Times New Roman" w:hAnsi="Times New Roman" w:cs="Times New Roman"/>
            <w:bCs/>
            <w:sz w:val="24"/>
            <w:szCs w:val="24"/>
            <w:lang w:eastAsia="en-AU"/>
          </w:rPr>
          <w:t>Khandaker.Mahbub@uts.edu.au</w:t>
        </w:r>
      </w:hyperlink>
      <w:r w:rsidRPr="00B82E67">
        <w:rPr>
          <w:rStyle w:val="Hyperlink"/>
          <w:rFonts w:ascii="Times New Roman" w:hAnsi="Times New Roman" w:cs="Times New Roman"/>
          <w:bCs/>
          <w:sz w:val="24"/>
          <w:szCs w:val="24"/>
          <w:lang w:eastAsia="en-AU"/>
        </w:rPr>
        <w:t xml:space="preserve">; </w:t>
      </w:r>
      <w:hyperlink r:id="rId9" w:history="1">
        <w:r w:rsidR="00583384" w:rsidRPr="00BF2D82">
          <w:rPr>
            <w:rStyle w:val="Hyperlink"/>
            <w:rFonts w:ascii="Times New Roman" w:hAnsi="Times New Roman" w:cs="Times New Roman"/>
            <w:bCs/>
            <w:sz w:val="24"/>
            <w:szCs w:val="24"/>
            <w:lang w:eastAsia="en-AU"/>
          </w:rPr>
          <w:t>Krmjissan@gmail.com</w:t>
        </w:r>
      </w:hyperlink>
    </w:p>
    <w:p w:rsidR="00F90F16" w:rsidRDefault="00F90F16" w:rsidP="00B82E67">
      <w:pPr>
        <w:spacing w:after="0" w:line="240" w:lineRule="auto"/>
        <w:jc w:val="both"/>
        <w:rPr>
          <w:rFonts w:ascii="Times New Roman" w:hAnsi="Times New Roman" w:cs="Times New Roman"/>
          <w:b/>
          <w:sz w:val="24"/>
          <w:szCs w:val="24"/>
        </w:rPr>
      </w:pPr>
    </w:p>
    <w:p w:rsidR="00DF3F3B" w:rsidRPr="00B82E67" w:rsidRDefault="00DF3F3B" w:rsidP="00B82E67">
      <w:p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Abstract</w:t>
      </w:r>
    </w:p>
    <w:p w:rsidR="00DF3F3B" w:rsidRDefault="00DF3F3B" w:rsidP="00B82E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In </w:t>
      </w:r>
      <w:r w:rsidRPr="00B82E67">
        <w:rPr>
          <w:rFonts w:ascii="Times New Roman" w:hAnsi="Times New Roman" w:cs="Times New Roman"/>
          <w:sz w:val="24"/>
          <w:szCs w:val="24"/>
        </w:rPr>
        <w:t>this study, three native Australian grasses namely</w:t>
      </w:r>
      <w:r w:rsidRPr="00B82E67">
        <w:rPr>
          <w:rFonts w:ascii="Times New Roman" w:eastAsia="Times New Roman" w:hAnsi="Times New Roman" w:cs="Times New Roman"/>
          <w:bCs/>
          <w:i/>
          <w:iCs/>
          <w:kern w:val="36"/>
          <w:sz w:val="24"/>
          <w:szCs w:val="24"/>
          <w:lang w:val="en-AU" w:eastAsia="en-AU"/>
        </w:rPr>
        <w:t xml:space="preserve"> </w:t>
      </w:r>
      <w:proofErr w:type="spellStart"/>
      <w:r w:rsidRPr="00B82E67">
        <w:rPr>
          <w:rFonts w:ascii="Times New Roman" w:eastAsia="Times New Roman" w:hAnsi="Times New Roman" w:cs="Times New Roman"/>
          <w:bCs/>
          <w:i/>
          <w:iCs/>
          <w:kern w:val="36"/>
          <w:sz w:val="24"/>
          <w:szCs w:val="24"/>
          <w:lang w:val="en-AU" w:eastAsia="en-AU"/>
        </w:rPr>
        <w:t>Iseilema</w:t>
      </w:r>
      <w:proofErr w:type="spellEnd"/>
      <w:r w:rsidRPr="00B82E67">
        <w:rPr>
          <w:rFonts w:ascii="Times New Roman" w:eastAsia="Times New Roman" w:hAnsi="Times New Roman" w:cs="Times New Roman"/>
          <w:bCs/>
          <w:i/>
          <w:iCs/>
          <w:kern w:val="36"/>
          <w:sz w:val="24"/>
          <w:szCs w:val="24"/>
          <w:lang w:val="en-AU" w:eastAsia="en-AU"/>
        </w:rPr>
        <w:t xml:space="preserve"> </w:t>
      </w:r>
      <w:proofErr w:type="spellStart"/>
      <w:r w:rsidRPr="00B82E67">
        <w:rPr>
          <w:rFonts w:ascii="Times New Roman" w:eastAsia="Times New Roman" w:hAnsi="Times New Roman" w:cs="Times New Roman"/>
          <w:bCs/>
          <w:i/>
          <w:iCs/>
          <w:kern w:val="36"/>
          <w:sz w:val="24"/>
          <w:szCs w:val="24"/>
          <w:lang w:val="en-AU" w:eastAsia="en-AU"/>
        </w:rPr>
        <w:t>membranaceum</w:t>
      </w:r>
      <w:proofErr w:type="spellEnd"/>
      <w:r w:rsidRPr="00B82E67">
        <w:rPr>
          <w:rFonts w:ascii="Times New Roman" w:eastAsia="Times New Roman" w:hAnsi="Times New Roman" w:cs="Times New Roman"/>
          <w:bCs/>
          <w:i/>
          <w:iCs/>
          <w:kern w:val="36"/>
          <w:sz w:val="24"/>
          <w:szCs w:val="24"/>
          <w:lang w:val="en-AU" w:eastAsia="en-AU"/>
        </w:rPr>
        <w:t xml:space="preserve"> </w:t>
      </w:r>
      <w:r w:rsidRPr="00B82E67">
        <w:rPr>
          <w:rFonts w:ascii="Times New Roman" w:eastAsia="Times New Roman" w:hAnsi="Times New Roman" w:cs="Times New Roman"/>
          <w:bCs/>
          <w:kern w:val="36"/>
          <w:sz w:val="24"/>
          <w:szCs w:val="24"/>
          <w:lang w:val="en-AU" w:eastAsia="en-AU"/>
        </w:rPr>
        <w:t xml:space="preserve">(Barcoo), </w:t>
      </w:r>
      <w:proofErr w:type="spellStart"/>
      <w:r w:rsidRPr="00B82E67">
        <w:rPr>
          <w:rFonts w:ascii="Times New Roman" w:hAnsi="Times New Roman" w:cs="Times New Roman"/>
          <w:bCs/>
          <w:i/>
          <w:iCs/>
          <w:sz w:val="24"/>
          <w:szCs w:val="24"/>
        </w:rPr>
        <w:t>Dichanthium</w:t>
      </w:r>
      <w:proofErr w:type="spellEnd"/>
      <w:r w:rsidRPr="00B82E67">
        <w:rPr>
          <w:rFonts w:ascii="Times New Roman" w:hAnsi="Times New Roman" w:cs="Times New Roman"/>
          <w:bCs/>
          <w:i/>
          <w:iCs/>
          <w:sz w:val="24"/>
          <w:szCs w:val="24"/>
        </w:rPr>
        <w:t xml:space="preserve"> </w:t>
      </w:r>
      <w:proofErr w:type="spellStart"/>
      <w:r w:rsidRPr="00B82E67">
        <w:rPr>
          <w:rFonts w:ascii="Times New Roman" w:hAnsi="Times New Roman" w:cs="Times New Roman"/>
          <w:bCs/>
          <w:i/>
          <w:iCs/>
          <w:sz w:val="24"/>
          <w:szCs w:val="24"/>
        </w:rPr>
        <w:t>sericeum</w:t>
      </w:r>
      <w:proofErr w:type="spellEnd"/>
      <w:r w:rsidRPr="00B82E67">
        <w:rPr>
          <w:rFonts w:ascii="Times New Roman" w:hAnsi="Times New Roman" w:cs="Times New Roman"/>
          <w:bCs/>
          <w:sz w:val="24"/>
          <w:szCs w:val="24"/>
        </w:rPr>
        <w:t xml:space="preserve"> (Queensland Blue) and </w:t>
      </w:r>
      <w:proofErr w:type="spellStart"/>
      <w:r w:rsidRPr="00B82E67">
        <w:rPr>
          <w:rFonts w:ascii="Times New Roman" w:hAnsi="Times New Roman" w:cs="Times New Roman"/>
          <w:bCs/>
          <w:i/>
          <w:iCs/>
          <w:sz w:val="24"/>
          <w:szCs w:val="24"/>
        </w:rPr>
        <w:t>Sporobolus</w:t>
      </w:r>
      <w:proofErr w:type="spellEnd"/>
      <w:r w:rsidRPr="00B82E67">
        <w:rPr>
          <w:rFonts w:ascii="Times New Roman" w:hAnsi="Times New Roman" w:cs="Times New Roman"/>
          <w:bCs/>
          <w:i/>
          <w:iCs/>
          <w:sz w:val="24"/>
          <w:szCs w:val="24"/>
        </w:rPr>
        <w:t xml:space="preserve"> </w:t>
      </w:r>
      <w:proofErr w:type="spellStart"/>
      <w:r w:rsidRPr="00B82E67">
        <w:rPr>
          <w:rFonts w:ascii="Times New Roman" w:hAnsi="Times New Roman" w:cs="Times New Roman"/>
          <w:bCs/>
          <w:i/>
          <w:iCs/>
          <w:sz w:val="24"/>
          <w:szCs w:val="24"/>
        </w:rPr>
        <w:t>africanus</w:t>
      </w:r>
      <w:proofErr w:type="spellEnd"/>
      <w:r w:rsidRPr="00B82E67">
        <w:rPr>
          <w:rFonts w:ascii="Times New Roman" w:hAnsi="Times New Roman" w:cs="Times New Roman"/>
          <w:bCs/>
          <w:sz w:val="24"/>
          <w:szCs w:val="24"/>
        </w:rPr>
        <w:t xml:space="preserve"> (Tussock) were grown in three different soils spiked with different concentrations of inorganic mercury and the root elongation was monitored up to 28 days following the germination. Results showed that mercury at certain concentrations significantly inhibited the root growth of all three tested native grasses grown in three </w:t>
      </w:r>
      <w:proofErr w:type="gramStart"/>
      <w:r w:rsidRPr="00B82E67">
        <w:rPr>
          <w:rFonts w:ascii="Times New Roman" w:hAnsi="Times New Roman" w:cs="Times New Roman"/>
          <w:bCs/>
          <w:sz w:val="24"/>
          <w:szCs w:val="24"/>
        </w:rPr>
        <w:t>soils,</w:t>
      </w:r>
      <w:proofErr w:type="gramEnd"/>
      <w:r w:rsidRPr="00B82E67">
        <w:rPr>
          <w:rFonts w:ascii="Times New Roman" w:hAnsi="Times New Roman" w:cs="Times New Roman"/>
          <w:bCs/>
          <w:sz w:val="24"/>
          <w:szCs w:val="24"/>
        </w:rPr>
        <w:t xml:space="preserve"> however, the toxicity was less in the soil with high organic carbon content and acidic </w:t>
      </w:r>
      <w:proofErr w:type="spellStart"/>
      <w:r w:rsidRPr="00B82E67">
        <w:rPr>
          <w:rFonts w:ascii="Times New Roman" w:hAnsi="Times New Roman" w:cs="Times New Roman"/>
          <w:bCs/>
          <w:sz w:val="24"/>
          <w:szCs w:val="24"/>
        </w:rPr>
        <w:t>pH.</w:t>
      </w:r>
      <w:proofErr w:type="spellEnd"/>
      <w:r w:rsidRPr="00B82E67">
        <w:rPr>
          <w:rFonts w:ascii="Times New Roman" w:hAnsi="Times New Roman" w:cs="Times New Roman"/>
          <w:bCs/>
          <w:sz w:val="24"/>
          <w:szCs w:val="24"/>
        </w:rPr>
        <w:t xml:space="preserve"> The calculated EC</w:t>
      </w:r>
      <w:r w:rsidRPr="00B82E67">
        <w:rPr>
          <w:rFonts w:ascii="Times New Roman" w:hAnsi="Times New Roman" w:cs="Times New Roman"/>
          <w:bCs/>
          <w:sz w:val="24"/>
          <w:szCs w:val="24"/>
          <w:vertAlign w:val="subscript"/>
        </w:rPr>
        <w:t>50</w:t>
      </w:r>
      <w:r w:rsidRPr="00B82E67">
        <w:rPr>
          <w:rFonts w:ascii="Times New Roman" w:hAnsi="Times New Roman" w:cs="Times New Roman"/>
          <w:bCs/>
          <w:sz w:val="24"/>
          <w:szCs w:val="24"/>
        </w:rPr>
        <w:t xml:space="preserve"> values ranged from 10 – 224 mg/kg total Hg in soil. However, the EC</w:t>
      </w:r>
      <w:r w:rsidRPr="00B82E67">
        <w:rPr>
          <w:rFonts w:ascii="Times New Roman" w:hAnsi="Times New Roman" w:cs="Times New Roman"/>
          <w:bCs/>
          <w:sz w:val="24"/>
          <w:szCs w:val="24"/>
          <w:vertAlign w:val="subscript"/>
        </w:rPr>
        <w:t>10</w:t>
      </w:r>
      <w:r w:rsidRPr="00B82E67">
        <w:rPr>
          <w:rFonts w:ascii="Times New Roman" w:hAnsi="Times New Roman" w:cs="Times New Roman"/>
          <w:bCs/>
          <w:sz w:val="24"/>
          <w:szCs w:val="24"/>
        </w:rPr>
        <w:t xml:space="preserve"> values indicated that existing guideline values for mercury may be of protective to the native Australian vegetation. Considering their tolerance to soil mercury, these grass species have the potential for their use in rehabilitation of mercury contaminated sites.</w:t>
      </w:r>
    </w:p>
    <w:p w:rsidR="00DF3F3B" w:rsidRPr="00B82E67" w:rsidRDefault="00DF3F3B" w:rsidP="00B82E67">
      <w:pPr>
        <w:spacing w:after="0" w:line="240" w:lineRule="auto"/>
        <w:jc w:val="both"/>
        <w:rPr>
          <w:rFonts w:ascii="Times New Roman" w:hAnsi="Times New Roman" w:cs="Times New Roman"/>
          <w:bCs/>
          <w:sz w:val="24"/>
          <w:szCs w:val="24"/>
        </w:rPr>
      </w:pPr>
    </w:p>
    <w:p w:rsidR="00DF3F3B" w:rsidRPr="00B82E67" w:rsidRDefault="00DF3F3B" w:rsidP="00B82E67">
      <w:pPr>
        <w:spacing w:after="0" w:line="240" w:lineRule="auto"/>
        <w:jc w:val="both"/>
        <w:rPr>
          <w:rFonts w:ascii="Times New Roman" w:hAnsi="Times New Roman" w:cs="Times New Roman"/>
          <w:bCs/>
          <w:sz w:val="24"/>
          <w:szCs w:val="24"/>
        </w:rPr>
      </w:pPr>
      <w:r w:rsidRPr="00B82E67">
        <w:rPr>
          <w:rFonts w:ascii="Times New Roman" w:hAnsi="Times New Roman" w:cs="Times New Roman"/>
          <w:bCs/>
          <w:sz w:val="24"/>
          <w:szCs w:val="24"/>
        </w:rPr>
        <w:t xml:space="preserve">Key words: Inorganic mercury, native Australian grass, </w:t>
      </w:r>
      <w:r w:rsidRPr="00B82E67">
        <w:rPr>
          <w:rFonts w:ascii="Times New Roman" w:eastAsia="Times New Roman" w:hAnsi="Times New Roman" w:cs="Times New Roman"/>
          <w:bCs/>
          <w:kern w:val="36"/>
          <w:sz w:val="24"/>
          <w:szCs w:val="24"/>
          <w:lang w:val="en-AU" w:eastAsia="en-AU"/>
        </w:rPr>
        <w:t xml:space="preserve">Barcoo, </w:t>
      </w:r>
      <w:r w:rsidRPr="00B82E67">
        <w:rPr>
          <w:rFonts w:ascii="Times New Roman" w:hAnsi="Times New Roman" w:cs="Times New Roman"/>
          <w:bCs/>
          <w:sz w:val="24"/>
          <w:szCs w:val="24"/>
        </w:rPr>
        <w:t>Queensland Blue, Tussock.</w:t>
      </w:r>
    </w:p>
    <w:p w:rsidR="00DF3F3B" w:rsidRPr="00B82E67" w:rsidRDefault="00DF3F3B" w:rsidP="00B82E67">
      <w:pPr>
        <w:pStyle w:val="ListParagraph"/>
        <w:numPr>
          <w:ilvl w:val="0"/>
          <w:numId w:val="2"/>
        </w:num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Introduction</w:t>
      </w:r>
    </w:p>
    <w:p w:rsidR="00DF3F3B" w:rsidRDefault="002B0CB2" w:rsidP="00B82E67">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P</w:t>
      </w:r>
      <w:r w:rsidR="00DF3F3B" w:rsidRPr="00B82E67">
        <w:rPr>
          <w:rFonts w:ascii="Times New Roman" w:eastAsiaTheme="minorHAnsi" w:hAnsi="Times New Roman" w:cs="Times New Roman"/>
          <w:sz w:val="24"/>
          <w:szCs w:val="24"/>
        </w:rPr>
        <w:t xml:space="preserve">lants have been proposed as bio-monitors of soil contamination with heavy metals including mercury (Hg) </w:t>
      </w:r>
      <w:r w:rsidR="009A2F8C">
        <w:rPr>
          <w:rFonts w:ascii="Times New Roman" w:eastAsiaTheme="minorHAnsi" w:hAnsi="Times New Roman" w:cs="Times New Roman"/>
          <w:sz w:val="24"/>
          <w:szCs w:val="24"/>
        </w:rPr>
        <w:t>and root growth</w:t>
      </w:r>
      <w:r w:rsidR="00DF3F3B" w:rsidRPr="00B82E67">
        <w:rPr>
          <w:rFonts w:ascii="Times New Roman" w:eastAsiaTheme="minorHAnsi" w:hAnsi="Times New Roman" w:cs="Times New Roman"/>
          <w:sz w:val="24"/>
          <w:szCs w:val="24"/>
        </w:rPr>
        <w:t xml:space="preserve"> as biomarker</w:t>
      </w:r>
      <w:r>
        <w:rPr>
          <w:rFonts w:ascii="Times New Roman" w:eastAsiaTheme="minorHAnsi" w:hAnsi="Times New Roman" w:cs="Times New Roman"/>
          <w:sz w:val="24"/>
          <w:szCs w:val="24"/>
        </w:rPr>
        <w:t xml:space="preserve"> </w:t>
      </w:r>
      <w:r w:rsidRPr="00790E6F">
        <w:rPr>
          <w:rFonts w:ascii="Times New Roman" w:eastAsiaTheme="minorHAnsi" w:hAnsi="Times New Roman" w:cs="Times New Roman"/>
          <w:sz w:val="24"/>
          <w:szCs w:val="24"/>
        </w:rPr>
        <w:t>(indicator</w:t>
      </w:r>
      <w:r w:rsidR="008554ED" w:rsidRPr="00790E6F">
        <w:rPr>
          <w:rFonts w:ascii="Times New Roman" w:eastAsiaTheme="minorHAnsi" w:hAnsi="Times New Roman" w:cs="Times New Roman"/>
          <w:sz w:val="24"/>
          <w:szCs w:val="24"/>
        </w:rPr>
        <w:t xml:space="preserve"> of biological response to environmental stress)</w:t>
      </w:r>
      <w:r w:rsidR="00DF3F3B" w:rsidRPr="00B82E67">
        <w:rPr>
          <w:rFonts w:ascii="Times New Roman" w:eastAsiaTheme="minorHAnsi" w:hAnsi="Times New Roman" w:cs="Times New Roman"/>
          <w:sz w:val="24"/>
          <w:szCs w:val="24"/>
        </w:rPr>
        <w:t xml:space="preserve"> of the environmental risk of pollutants </w:t>
      </w:r>
      <w:r w:rsidR="00DF3F3B">
        <w:rPr>
          <w:rFonts w:ascii="Times New Roman" w:eastAsiaTheme="minorHAnsi" w:hAnsi="Times New Roman" w:cs="Times New Roman"/>
          <w:noProof/>
          <w:sz w:val="24"/>
          <w:szCs w:val="24"/>
        </w:rPr>
        <w:t>(</w:t>
      </w:r>
      <w:r w:rsidR="00727BC3">
        <w:rPr>
          <w:rFonts w:ascii="Times New Roman" w:eastAsiaTheme="minorHAnsi" w:hAnsi="Times New Roman" w:cs="Times New Roman"/>
          <w:noProof/>
          <w:sz w:val="24"/>
          <w:szCs w:val="24"/>
        </w:rPr>
        <w:t xml:space="preserve">Mahbub et al. 2016, </w:t>
      </w:r>
      <w:r w:rsidR="00DF3F3B">
        <w:rPr>
          <w:rFonts w:ascii="Times New Roman" w:eastAsiaTheme="minorHAnsi" w:hAnsi="Times New Roman" w:cs="Times New Roman"/>
          <w:noProof/>
          <w:sz w:val="24"/>
          <w:szCs w:val="24"/>
        </w:rPr>
        <w:t>Moreno-Jiménez et al. 2006)</w:t>
      </w:r>
      <w:r w:rsidR="00DF3F3B" w:rsidRPr="00B82E67">
        <w:rPr>
          <w:rFonts w:ascii="Times New Roman" w:eastAsiaTheme="minorHAnsi" w:hAnsi="Times New Roman" w:cs="Times New Roman"/>
          <w:sz w:val="24"/>
          <w:szCs w:val="24"/>
        </w:rPr>
        <w:t xml:space="preserve">. </w:t>
      </w:r>
      <w:r w:rsidR="00DF3F3B" w:rsidRPr="00B82E67">
        <w:rPr>
          <w:rFonts w:ascii="Times New Roman" w:eastAsiaTheme="minorHAnsi" w:hAnsi="Times New Roman" w:cs="Times New Roman"/>
          <w:color w:val="000000"/>
          <w:sz w:val="24"/>
          <w:szCs w:val="24"/>
        </w:rPr>
        <w:t xml:space="preserve">High levels of Hg in soil lead to accumulation of higher levels in plants which are phytotoxic leading to physiological disorders and cell damage.  In plants, </w:t>
      </w:r>
      <w:r w:rsidR="00DF3F3B" w:rsidRPr="00B82E67">
        <w:rPr>
          <w:rFonts w:ascii="Times New Roman" w:hAnsi="Times New Roman" w:cs="Times New Roman"/>
          <w:sz w:val="24"/>
          <w:szCs w:val="24"/>
        </w:rPr>
        <w:t xml:space="preserve">intracellular Hg has been shown to bind to –SH groups, phosphate and other active groups in ADP and ATP, alter cell membrane permeability, inhibit mitochondrial activity and photosynthesis reactions </w:t>
      </w:r>
      <w:r w:rsidR="00DF3F3B" w:rsidRPr="00B82E67">
        <w:rPr>
          <w:rFonts w:ascii="Times New Roman" w:hAnsi="Times New Roman" w:cs="Times New Roman"/>
          <w:noProof/>
          <w:sz w:val="24"/>
          <w:szCs w:val="24"/>
        </w:rPr>
        <w:t>(Nagajyoti et al. 2010)</w:t>
      </w:r>
      <w:r w:rsidR="00790E6F">
        <w:rPr>
          <w:rFonts w:ascii="Times New Roman" w:hAnsi="Times New Roman" w:cs="Times New Roman"/>
          <w:sz w:val="24"/>
          <w:szCs w:val="24"/>
        </w:rPr>
        <w:t xml:space="preserve">. </w:t>
      </w:r>
      <w:r w:rsidR="00790E6F" w:rsidRPr="00790E6F">
        <w:rPr>
          <w:rFonts w:ascii="Times New Roman" w:hAnsi="Times New Roman" w:cs="Times New Roman"/>
          <w:sz w:val="24"/>
          <w:szCs w:val="24"/>
          <w:highlight w:val="yellow"/>
        </w:rPr>
        <w:t>Mercury</w:t>
      </w:r>
      <w:r w:rsidR="00DF3F3B" w:rsidRPr="00B82E67">
        <w:rPr>
          <w:rFonts w:ascii="Times New Roman" w:hAnsi="Times New Roman" w:cs="Times New Roman"/>
          <w:sz w:val="24"/>
          <w:szCs w:val="24"/>
        </w:rPr>
        <w:t xml:space="preserve"> disrupts the antioxidant defense systems of plants by changing the modulations of non – protein thiols, non – enzymatic glutathione, glutathione reductase and superoxide dismutase. Other than these physiological and biochemical alterations, Hg has been shown to be genotoxic as well </w:t>
      </w:r>
      <w:r w:rsidR="00DF3F3B">
        <w:rPr>
          <w:rFonts w:ascii="Times New Roman" w:hAnsi="Times New Roman" w:cs="Times New Roman"/>
          <w:noProof/>
          <w:sz w:val="24"/>
          <w:szCs w:val="24"/>
        </w:rPr>
        <w:t>(Nagajyoti et al. 2010)</w:t>
      </w:r>
      <w:r w:rsidR="00DF3F3B" w:rsidRPr="00B82E67">
        <w:rPr>
          <w:rFonts w:ascii="Times New Roman" w:hAnsi="Times New Roman" w:cs="Times New Roman"/>
          <w:sz w:val="24"/>
          <w:szCs w:val="24"/>
        </w:rPr>
        <w:t>.</w:t>
      </w:r>
    </w:p>
    <w:p w:rsidR="003F2493" w:rsidRPr="00B82E67" w:rsidRDefault="003F2493" w:rsidP="00B82E67">
      <w:pPr>
        <w:autoSpaceDE w:val="0"/>
        <w:autoSpaceDN w:val="0"/>
        <w:adjustRightInd w:val="0"/>
        <w:spacing w:after="0" w:line="240" w:lineRule="auto"/>
        <w:jc w:val="both"/>
        <w:rPr>
          <w:rFonts w:ascii="Times New Roman" w:hAnsi="Times New Roman" w:cs="Times New Roman"/>
          <w:sz w:val="24"/>
          <w:szCs w:val="24"/>
        </w:rPr>
      </w:pPr>
    </w:p>
    <w:p w:rsidR="00DF3F3B" w:rsidRDefault="00DF3F3B" w:rsidP="00B82E67">
      <w:pPr>
        <w:autoSpaceDE w:val="0"/>
        <w:autoSpaceDN w:val="0"/>
        <w:adjustRightInd w:val="0"/>
        <w:spacing w:after="0" w:line="240" w:lineRule="auto"/>
        <w:jc w:val="both"/>
        <w:rPr>
          <w:rFonts w:ascii="Times New Roman" w:eastAsiaTheme="minorHAnsi" w:hAnsi="Times New Roman" w:cs="Times New Roman"/>
          <w:sz w:val="24"/>
          <w:szCs w:val="24"/>
        </w:rPr>
      </w:pPr>
      <w:r w:rsidRPr="00B82E67">
        <w:rPr>
          <w:rFonts w:ascii="Times New Roman" w:hAnsi="Times New Roman" w:cs="Times New Roman"/>
          <w:sz w:val="24"/>
          <w:szCs w:val="24"/>
        </w:rPr>
        <w:t xml:space="preserve">Therefore, soil contamination with Hg can have a significant </w:t>
      </w:r>
      <w:r w:rsidR="009A2F8C">
        <w:rPr>
          <w:rFonts w:ascii="Times New Roman" w:hAnsi="Times New Roman" w:cs="Times New Roman"/>
          <w:sz w:val="24"/>
          <w:szCs w:val="24"/>
        </w:rPr>
        <w:t xml:space="preserve">negative </w:t>
      </w:r>
      <w:r w:rsidRPr="00B82E67">
        <w:rPr>
          <w:rFonts w:ascii="Times New Roman" w:hAnsi="Times New Roman" w:cs="Times New Roman"/>
          <w:sz w:val="24"/>
          <w:szCs w:val="24"/>
        </w:rPr>
        <w:t xml:space="preserve">effect on growth of plants, especially those of agricultural importance.  Unfortunately substantial quantities of mercury are </w:t>
      </w:r>
      <w:r w:rsidRPr="00B82E67">
        <w:rPr>
          <w:rFonts w:ascii="Times New Roman" w:eastAsiaTheme="minorHAnsi" w:hAnsi="Times New Roman" w:cs="Times New Roman"/>
          <w:color w:val="000000"/>
          <w:sz w:val="24"/>
          <w:szCs w:val="24"/>
        </w:rPr>
        <w:t xml:space="preserve">added to agricultural soils with fertilizers, lime, manure and antifungal seed coat dressings </w:t>
      </w:r>
      <w:r>
        <w:rPr>
          <w:rFonts w:ascii="Times New Roman" w:eastAsiaTheme="minorHAnsi" w:hAnsi="Times New Roman" w:cs="Times New Roman"/>
          <w:noProof/>
          <w:color w:val="000000"/>
          <w:sz w:val="24"/>
          <w:szCs w:val="24"/>
        </w:rPr>
        <w:t>(Patra and Sharma 2000)</w:t>
      </w:r>
      <w:r w:rsidRPr="00B82E67">
        <w:rPr>
          <w:rFonts w:ascii="Times New Roman" w:eastAsiaTheme="minorHAnsi" w:hAnsi="Times New Roman" w:cs="Times New Roman"/>
          <w:color w:val="000000"/>
          <w:sz w:val="24"/>
          <w:szCs w:val="24"/>
        </w:rPr>
        <w:t xml:space="preserve"> which compete with essential cations for entry into the </w:t>
      </w:r>
      <w:r w:rsidRPr="00B82E67">
        <w:rPr>
          <w:rFonts w:ascii="Times New Roman" w:eastAsiaTheme="minorHAnsi" w:hAnsi="Times New Roman" w:cs="Times New Roman"/>
          <w:color w:val="000000"/>
          <w:sz w:val="24"/>
          <w:szCs w:val="24"/>
        </w:rPr>
        <w:lastRenderedPageBreak/>
        <w:t>plant cells. Furthermore, if agricultural crops are planted in soils which have not been properly remediated, and the plants manage to grow, the Hg may be deposited in the plant and harvested in the edible portions.</w:t>
      </w:r>
      <w:r w:rsidRPr="00B82E67">
        <w:rPr>
          <w:rFonts w:ascii="Times New Roman" w:eastAsiaTheme="minorHAnsi" w:hAnsi="Times New Roman" w:cs="Times New Roman"/>
          <w:sz w:val="24"/>
          <w:szCs w:val="24"/>
        </w:rPr>
        <w:t xml:space="preserve"> The </w:t>
      </w:r>
      <w:proofErr w:type="spellStart"/>
      <w:r w:rsidRPr="00B82E67">
        <w:rPr>
          <w:rFonts w:ascii="Times New Roman" w:eastAsiaTheme="minorHAnsi" w:hAnsi="Times New Roman" w:cs="Times New Roman"/>
          <w:sz w:val="24"/>
          <w:szCs w:val="24"/>
        </w:rPr>
        <w:t>phyto</w:t>
      </w:r>
      <w:proofErr w:type="spellEnd"/>
      <w:r w:rsidRPr="00B82E67">
        <w:rPr>
          <w:rFonts w:ascii="Times New Roman" w:eastAsiaTheme="minorHAnsi" w:hAnsi="Times New Roman" w:cs="Times New Roman"/>
          <w:sz w:val="24"/>
          <w:szCs w:val="24"/>
        </w:rPr>
        <w:t xml:space="preserve">-toxicity of Hg on crop plants and vegetable plants </w:t>
      </w:r>
      <w:r>
        <w:rPr>
          <w:rFonts w:ascii="Times New Roman" w:eastAsiaTheme="minorHAnsi" w:hAnsi="Times New Roman" w:cs="Times New Roman"/>
          <w:noProof/>
          <w:sz w:val="24"/>
          <w:szCs w:val="24"/>
        </w:rPr>
        <w:t>(Li et al. 2013; Meng et al. 2012; Meng et al. 2014; Moreno-Jiménez et al. 2006; Patra and Sharma 2000; Sahu et al. 2012; Zhang et al. 2010)</w:t>
      </w:r>
      <w:r w:rsidRPr="00B82E67">
        <w:rPr>
          <w:rFonts w:ascii="Times New Roman" w:eastAsiaTheme="minorHAnsi" w:hAnsi="Times New Roman" w:cs="Times New Roman"/>
          <w:sz w:val="24"/>
          <w:szCs w:val="24"/>
        </w:rPr>
        <w:t xml:space="preserve"> has been extensively reported.</w:t>
      </w:r>
    </w:p>
    <w:p w:rsidR="00583384" w:rsidRPr="00B82E67" w:rsidRDefault="00583384" w:rsidP="00B82E67">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DF3F3B" w:rsidRDefault="00DF3F3B" w:rsidP="00B82E67">
      <w:pPr>
        <w:autoSpaceDE w:val="0"/>
        <w:autoSpaceDN w:val="0"/>
        <w:adjustRightInd w:val="0"/>
        <w:spacing w:after="0" w:line="240" w:lineRule="auto"/>
        <w:jc w:val="both"/>
        <w:rPr>
          <w:rFonts w:ascii="Times New Roman" w:eastAsiaTheme="minorHAnsi" w:hAnsi="Times New Roman" w:cs="Times New Roman"/>
          <w:sz w:val="24"/>
          <w:szCs w:val="24"/>
        </w:rPr>
      </w:pPr>
      <w:r w:rsidRPr="00B82E67">
        <w:rPr>
          <w:rFonts w:ascii="Times New Roman" w:eastAsiaTheme="minorHAnsi" w:hAnsi="Times New Roman" w:cs="Times New Roman"/>
          <w:color w:val="000000"/>
          <w:sz w:val="24"/>
          <w:szCs w:val="24"/>
        </w:rPr>
        <w:t xml:space="preserve">However, for urban communities, it is critical that after remediation, the contaminated site can support adequate vegetation to stabilize soil particles and re-establish the ecosystem without unnecessary soil erosion and other adverse environmental impacts </w:t>
      </w:r>
      <w:r w:rsidRPr="006D3945">
        <w:rPr>
          <w:rFonts w:ascii="Times New Roman" w:eastAsiaTheme="minorHAnsi" w:hAnsi="Times New Roman" w:cs="Times New Roman"/>
          <w:color w:val="000000"/>
          <w:sz w:val="24"/>
          <w:szCs w:val="24"/>
          <w:highlight w:val="yellow"/>
        </w:rPr>
        <w:t>(L</w:t>
      </w:r>
      <w:r w:rsidRPr="006D3945">
        <w:rPr>
          <w:rFonts w:ascii="Times New Roman" w:hAnsi="Times New Roman" w:cs="Times New Roman"/>
          <w:noProof/>
          <w:sz w:val="24"/>
          <w:szCs w:val="24"/>
          <w:highlight w:val="yellow"/>
        </w:rPr>
        <w:t xml:space="preserve">i </w:t>
      </w:r>
      <w:r w:rsidR="006D3945" w:rsidRPr="006D3945">
        <w:rPr>
          <w:rFonts w:ascii="Times New Roman" w:hAnsi="Times New Roman" w:cs="Times New Roman"/>
          <w:noProof/>
          <w:sz w:val="24"/>
          <w:szCs w:val="24"/>
          <w:highlight w:val="yellow"/>
        </w:rPr>
        <w:t xml:space="preserve">et al. </w:t>
      </w:r>
      <w:r w:rsidRPr="006D3945">
        <w:rPr>
          <w:rFonts w:ascii="Times New Roman" w:hAnsi="Times New Roman" w:cs="Times New Roman"/>
          <w:noProof/>
          <w:sz w:val="24"/>
          <w:szCs w:val="24"/>
          <w:highlight w:val="yellow"/>
        </w:rPr>
        <w:t>2006)</w:t>
      </w:r>
      <w:r w:rsidRPr="006D3945">
        <w:rPr>
          <w:rFonts w:ascii="Times New Roman" w:eastAsiaTheme="minorHAnsi" w:hAnsi="Times New Roman" w:cs="Times New Roman"/>
          <w:color w:val="000000"/>
          <w:sz w:val="24"/>
          <w:szCs w:val="24"/>
          <w:highlight w:val="yellow"/>
        </w:rPr>
        <w:t>.</w:t>
      </w:r>
      <w:r w:rsidRPr="00B82E67">
        <w:rPr>
          <w:rFonts w:ascii="Times New Roman" w:eastAsiaTheme="minorHAnsi" w:hAnsi="Times New Roman" w:cs="Times New Roman"/>
          <w:color w:val="000000"/>
          <w:sz w:val="24"/>
          <w:szCs w:val="24"/>
        </w:rPr>
        <w:t xml:space="preserve"> Therefore</w:t>
      </w:r>
      <w:r w:rsidR="009A2F8C">
        <w:rPr>
          <w:rFonts w:ascii="Times New Roman" w:eastAsiaTheme="minorHAnsi" w:hAnsi="Times New Roman" w:cs="Times New Roman"/>
          <w:color w:val="000000"/>
          <w:sz w:val="24"/>
          <w:szCs w:val="24"/>
        </w:rPr>
        <w:t>,</w:t>
      </w:r>
      <w:r w:rsidRPr="00B82E67">
        <w:rPr>
          <w:rFonts w:ascii="Times New Roman" w:eastAsiaTheme="minorHAnsi" w:hAnsi="Times New Roman" w:cs="Times New Roman"/>
          <w:color w:val="000000"/>
          <w:sz w:val="24"/>
          <w:szCs w:val="24"/>
        </w:rPr>
        <w:t xml:space="preserve"> it is critical to know at what level Hg is inhibitory to plants which may be used for stabilizing rehabilitated sites.  </w:t>
      </w:r>
      <w:r w:rsidRPr="00B82E67">
        <w:rPr>
          <w:rFonts w:ascii="Times New Roman" w:eastAsiaTheme="minorHAnsi" w:hAnsi="Times New Roman" w:cs="Times New Roman"/>
          <w:sz w:val="24"/>
          <w:szCs w:val="24"/>
        </w:rPr>
        <w:t xml:space="preserve">Many native Australian plants are well known for their adaptation to infertile soils of low moisture content, and poor soil structure. Therefore, native plants provide unique advantages for the rehabilitation of polluted land.  However there is very little knowledge of phytotoxic levels of Hg and other heavy metals to these native plant species. Only a few studies are available which have focused on toxicity of copper, zinc, cadmium and lead on different native Australian tree and grass species </w:t>
      </w:r>
      <w:r>
        <w:rPr>
          <w:rFonts w:ascii="Times New Roman" w:eastAsiaTheme="minorHAnsi" w:hAnsi="Times New Roman" w:cs="Times New Roman"/>
          <w:noProof/>
          <w:sz w:val="24"/>
          <w:szCs w:val="24"/>
        </w:rPr>
        <w:t>(Crawford and Wilkens 1997; Lamb et al. 2010a; Lamb et al. 2010b; Lamb et al. 2012)</w:t>
      </w:r>
      <w:r w:rsidRPr="00B82E67">
        <w:rPr>
          <w:rFonts w:ascii="Times New Roman" w:eastAsiaTheme="minorHAnsi" w:hAnsi="Times New Roman" w:cs="Times New Roman"/>
          <w:sz w:val="24"/>
          <w:szCs w:val="24"/>
        </w:rPr>
        <w:t>.</w:t>
      </w:r>
    </w:p>
    <w:p w:rsidR="003F2493" w:rsidRPr="00B82E67" w:rsidRDefault="003F2493" w:rsidP="00B82E67">
      <w:pPr>
        <w:autoSpaceDE w:val="0"/>
        <w:autoSpaceDN w:val="0"/>
        <w:adjustRightInd w:val="0"/>
        <w:spacing w:after="0" w:line="240" w:lineRule="auto"/>
        <w:jc w:val="both"/>
        <w:rPr>
          <w:rFonts w:ascii="Times New Roman" w:eastAsiaTheme="minorHAnsi" w:hAnsi="Times New Roman" w:cs="Times New Roman"/>
          <w:sz w:val="24"/>
          <w:szCs w:val="24"/>
        </w:rPr>
      </w:pPr>
    </w:p>
    <w:p w:rsidR="003F2493" w:rsidRDefault="00DF3F3B" w:rsidP="00B82E67">
      <w:pPr>
        <w:autoSpaceDE w:val="0"/>
        <w:autoSpaceDN w:val="0"/>
        <w:adjustRightInd w:val="0"/>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Most of the studies on plant toxicity of Hg have been carried out in hydroponic systems, using moistened filter paper or laboratory culture media such as Hoagland nutrient solution or agar spiked with Hg</w:t>
      </w:r>
      <w:r w:rsidR="00011819" w:rsidRPr="009D3768">
        <w:rPr>
          <w:rFonts w:ascii="Times New Roman" w:hAnsi="Times New Roman" w:cs="Times New Roman"/>
          <w:sz w:val="24"/>
          <w:szCs w:val="24"/>
        </w:rPr>
        <w:t xml:space="preserve"> </w:t>
      </w:r>
      <w:r w:rsidR="00011819" w:rsidRPr="009D3768">
        <w:rPr>
          <w:rFonts w:ascii="Times New Roman" w:hAnsi="Times New Roman" w:cs="Times New Roman"/>
          <w:sz w:val="24"/>
          <w:szCs w:val="24"/>
          <w:highlight w:val="yellow"/>
        </w:rPr>
        <w:t>(</w:t>
      </w:r>
      <w:proofErr w:type="spellStart"/>
      <w:r w:rsidR="00011819" w:rsidRPr="009D3768">
        <w:rPr>
          <w:rFonts w:ascii="Times New Roman" w:hAnsi="Times New Roman" w:cs="Times New Roman"/>
          <w:sz w:val="24"/>
          <w:szCs w:val="24"/>
          <w:highlight w:val="yellow"/>
        </w:rPr>
        <w:t>Cargnelutti</w:t>
      </w:r>
      <w:proofErr w:type="spellEnd"/>
      <w:r w:rsidR="00011819" w:rsidRPr="009D3768">
        <w:rPr>
          <w:rFonts w:ascii="Times New Roman" w:hAnsi="Times New Roman" w:cs="Times New Roman"/>
          <w:sz w:val="24"/>
          <w:szCs w:val="24"/>
          <w:highlight w:val="yellow"/>
        </w:rPr>
        <w:t xml:space="preserve"> 2006, </w:t>
      </w:r>
      <w:proofErr w:type="spellStart"/>
      <w:r w:rsidR="00011819" w:rsidRPr="009D3768">
        <w:rPr>
          <w:rFonts w:ascii="Times New Roman" w:hAnsi="Times New Roman" w:cs="Times New Roman"/>
          <w:sz w:val="24"/>
          <w:szCs w:val="24"/>
          <w:highlight w:val="yellow"/>
        </w:rPr>
        <w:t>Godbold</w:t>
      </w:r>
      <w:proofErr w:type="spellEnd"/>
      <w:r w:rsidR="00011819" w:rsidRPr="009D3768">
        <w:rPr>
          <w:rFonts w:ascii="Times New Roman" w:hAnsi="Times New Roman" w:cs="Times New Roman"/>
          <w:sz w:val="24"/>
          <w:szCs w:val="24"/>
          <w:highlight w:val="yellow"/>
        </w:rPr>
        <w:t xml:space="preserve"> 1991)</w:t>
      </w:r>
      <w:r w:rsidRPr="009D3768">
        <w:rPr>
          <w:rFonts w:ascii="Times New Roman" w:hAnsi="Times New Roman" w:cs="Times New Roman"/>
          <w:sz w:val="24"/>
          <w:szCs w:val="24"/>
        </w:rPr>
        <w:t>.</w:t>
      </w:r>
      <w:r w:rsidRPr="00B82E67">
        <w:rPr>
          <w:rFonts w:ascii="Times New Roman" w:hAnsi="Times New Roman" w:cs="Times New Roman"/>
          <w:sz w:val="24"/>
          <w:szCs w:val="24"/>
        </w:rPr>
        <w:t xml:space="preserve"> The bioavailable Hg concentrations used in these experimental set ups are higher compared to those available in contaminated soils. Therefore</w:t>
      </w:r>
      <w:r w:rsidR="009A2F8C">
        <w:rPr>
          <w:rFonts w:ascii="Times New Roman" w:hAnsi="Times New Roman" w:cs="Times New Roman"/>
          <w:sz w:val="24"/>
          <w:szCs w:val="24"/>
        </w:rPr>
        <w:t>,</w:t>
      </w:r>
      <w:r w:rsidRPr="00B82E67">
        <w:rPr>
          <w:rFonts w:ascii="Times New Roman" w:hAnsi="Times New Roman" w:cs="Times New Roman"/>
          <w:sz w:val="24"/>
          <w:szCs w:val="24"/>
        </w:rPr>
        <w:t xml:space="preserve"> there is a need to conduct experiments in both spiked and properly aged soils and in contaminated soils with appropriate controls. At present, there is no published data on the comparative dose – response behavior of native Australian plants in response to Hg stress in soil.</w:t>
      </w:r>
    </w:p>
    <w:p w:rsidR="00DF3F3B" w:rsidRPr="00B82E67" w:rsidRDefault="00DF3F3B" w:rsidP="00B82E67">
      <w:pPr>
        <w:autoSpaceDE w:val="0"/>
        <w:autoSpaceDN w:val="0"/>
        <w:adjustRightInd w:val="0"/>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 xml:space="preserve"> </w:t>
      </w:r>
    </w:p>
    <w:p w:rsidR="00DF3F3B" w:rsidRPr="00B82E67" w:rsidRDefault="00845572" w:rsidP="00B82E67">
      <w:pPr>
        <w:autoSpaceDE w:val="0"/>
        <w:autoSpaceDN w:val="0"/>
        <w:adjustRightInd w:val="0"/>
        <w:spacing w:after="0" w:line="240" w:lineRule="auto"/>
        <w:jc w:val="both"/>
        <w:rPr>
          <w:rFonts w:ascii="Times New Roman" w:hAnsi="Times New Roman" w:cs="Times New Roman"/>
          <w:sz w:val="24"/>
          <w:szCs w:val="24"/>
        </w:rPr>
      </w:pPr>
      <w:r w:rsidRPr="00434325">
        <w:rPr>
          <w:rFonts w:ascii="Times New Roman" w:hAnsi="Times New Roman" w:cs="Times New Roman"/>
          <w:sz w:val="24"/>
          <w:szCs w:val="24"/>
        </w:rPr>
        <w:t>In this study we investigated</w:t>
      </w:r>
      <w:r w:rsidR="00DF3F3B" w:rsidRPr="00B82E67">
        <w:rPr>
          <w:rFonts w:ascii="Times New Roman" w:hAnsi="Times New Roman" w:cs="Times New Roman"/>
          <w:sz w:val="24"/>
          <w:szCs w:val="24"/>
        </w:rPr>
        <w:t xml:space="preserve"> the relative toxicity of inorganic Hg to three native Australian grass species grown in three different soils using root growth as an endpoint. Dose – response analyses were performed to obtain effective concentrations of total and water soluble Hg in soil that caused 50%, 20% and 10% decrease in root growth.</w:t>
      </w:r>
    </w:p>
    <w:p w:rsidR="00DF3F3B" w:rsidRPr="00B82E67" w:rsidRDefault="00DF3F3B" w:rsidP="00B82E67">
      <w:pPr>
        <w:autoSpaceDE w:val="0"/>
        <w:autoSpaceDN w:val="0"/>
        <w:adjustRightInd w:val="0"/>
        <w:spacing w:after="0" w:line="240" w:lineRule="auto"/>
        <w:jc w:val="both"/>
        <w:rPr>
          <w:rFonts w:ascii="Times New Roman" w:eastAsiaTheme="minorHAnsi" w:hAnsi="Times New Roman" w:cs="Times New Roman"/>
          <w:color w:val="000000"/>
          <w:sz w:val="24"/>
          <w:szCs w:val="24"/>
          <w:lang w:val="en-AU" w:bidi="ar-SA"/>
        </w:rPr>
      </w:pPr>
    </w:p>
    <w:p w:rsidR="00DF3F3B" w:rsidRPr="00B82E67" w:rsidRDefault="00DF3F3B" w:rsidP="00B82E67">
      <w:pPr>
        <w:pStyle w:val="ListParagraph"/>
        <w:numPr>
          <w:ilvl w:val="0"/>
          <w:numId w:val="2"/>
        </w:num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Materials and methods</w:t>
      </w:r>
    </w:p>
    <w:p w:rsidR="00DF3F3B" w:rsidRDefault="00DF3F3B" w:rsidP="00B82E67">
      <w:pPr>
        <w:autoSpaceDE w:val="0"/>
        <w:autoSpaceDN w:val="0"/>
        <w:adjustRightInd w:val="0"/>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Top soils (0 – 15 cm) were collected from three different sites in South Australia, Australia where soil</w:t>
      </w:r>
      <w:r w:rsidR="00990DD7">
        <w:rPr>
          <w:rFonts w:ascii="Times New Roman" w:hAnsi="Times New Roman" w:cs="Times New Roman"/>
          <w:sz w:val="24"/>
          <w:szCs w:val="24"/>
        </w:rPr>
        <w:t>s</w:t>
      </w:r>
      <w:r w:rsidRPr="00B82E67">
        <w:rPr>
          <w:rFonts w:ascii="Times New Roman" w:hAnsi="Times New Roman" w:cs="Times New Roman"/>
          <w:sz w:val="24"/>
          <w:szCs w:val="24"/>
        </w:rPr>
        <w:t xml:space="preserve"> varied mainly in their </w:t>
      </w:r>
      <w:proofErr w:type="spellStart"/>
      <w:proofErr w:type="gramStart"/>
      <w:r w:rsidRPr="00B82E67">
        <w:rPr>
          <w:rFonts w:ascii="Times New Roman" w:hAnsi="Times New Roman" w:cs="Times New Roman"/>
          <w:sz w:val="24"/>
          <w:szCs w:val="24"/>
        </w:rPr>
        <w:t>pHs</w:t>
      </w:r>
      <w:proofErr w:type="spellEnd"/>
      <w:proofErr w:type="gramEnd"/>
      <w:r w:rsidRPr="00B82E67">
        <w:rPr>
          <w:rFonts w:ascii="Times New Roman" w:hAnsi="Times New Roman" w:cs="Times New Roman"/>
          <w:sz w:val="24"/>
          <w:szCs w:val="24"/>
        </w:rPr>
        <w:t xml:space="preserve">. </w:t>
      </w:r>
      <w:r w:rsidRPr="00B82E67">
        <w:rPr>
          <w:rFonts w:ascii="Times New Roman" w:eastAsia="Times New Roman" w:hAnsi="Times New Roman" w:cs="Times New Roman"/>
          <w:sz w:val="24"/>
          <w:szCs w:val="24"/>
          <w:lang w:eastAsia="en-AU"/>
        </w:rPr>
        <w:t>Soils were sieved through 2 mm sieve</w:t>
      </w:r>
      <w:r w:rsidRPr="00B82E67">
        <w:rPr>
          <w:rFonts w:ascii="Times New Roman" w:hAnsi="Times New Roman" w:cs="Times New Roman"/>
          <w:sz w:val="24"/>
          <w:szCs w:val="24"/>
        </w:rPr>
        <w:t xml:space="preserve">. Soil texture was determined by the micro pipette method </w:t>
      </w:r>
      <w:r>
        <w:rPr>
          <w:rFonts w:ascii="Times New Roman" w:hAnsi="Times New Roman" w:cs="Times New Roman"/>
          <w:noProof/>
          <w:sz w:val="24"/>
          <w:szCs w:val="24"/>
        </w:rPr>
        <w:t>(Miller and Miller 1987)</w:t>
      </w:r>
      <w:r w:rsidRPr="00B82E67">
        <w:rPr>
          <w:rFonts w:ascii="Times New Roman" w:hAnsi="Times New Roman" w:cs="Times New Roman"/>
          <w:sz w:val="24"/>
          <w:szCs w:val="24"/>
        </w:rPr>
        <w:t xml:space="preserve">. Soil pH was determined electrometrically on a 1:5 dry soil: water suspension after 2 h stirring using a glass membrane electrode at 25 °C. Electrical conductivity (EC) was determined with an EC probe in the aqueous extract of a 1:5 soil-water suspension and recorded in </w:t>
      </w:r>
      <w:proofErr w:type="spellStart"/>
      <w:r w:rsidRPr="00B82E67">
        <w:rPr>
          <w:rFonts w:ascii="Times New Roman" w:hAnsi="Times New Roman" w:cs="Times New Roman"/>
          <w:sz w:val="24"/>
          <w:szCs w:val="24"/>
        </w:rPr>
        <w:t>deciSiemens</w:t>
      </w:r>
      <w:proofErr w:type="spellEnd"/>
      <w:r w:rsidRPr="00B82E67">
        <w:rPr>
          <w:rFonts w:ascii="Times New Roman" w:hAnsi="Times New Roman" w:cs="Times New Roman"/>
          <w:sz w:val="24"/>
          <w:szCs w:val="24"/>
        </w:rPr>
        <w:t xml:space="preserve">/m at 25 °C. Maximum water holding capacities of three soils were determined by </w:t>
      </w:r>
      <w:proofErr w:type="spellStart"/>
      <w:r w:rsidRPr="00B82E67">
        <w:rPr>
          <w:rFonts w:ascii="Times New Roman" w:hAnsi="Times New Roman" w:cs="Times New Roman"/>
          <w:sz w:val="24"/>
          <w:szCs w:val="24"/>
        </w:rPr>
        <w:t>gravimetry</w:t>
      </w:r>
      <w:proofErr w:type="spellEnd"/>
      <w:r w:rsidRPr="00B82E67">
        <w:rPr>
          <w:rFonts w:ascii="Times New Roman" w:hAnsi="Times New Roman" w:cs="Times New Roman"/>
          <w:sz w:val="24"/>
          <w:szCs w:val="24"/>
        </w:rPr>
        <w:t xml:space="preserve"> with the oven-dry method </w:t>
      </w:r>
      <w:r>
        <w:rPr>
          <w:rFonts w:ascii="Times New Roman" w:hAnsi="Times New Roman" w:cs="Times New Roman"/>
          <w:noProof/>
          <w:sz w:val="24"/>
          <w:szCs w:val="24"/>
        </w:rPr>
        <w:t>(Gardner and Klute 1986)</w:t>
      </w:r>
      <w:r w:rsidRPr="00B82E67">
        <w:rPr>
          <w:rFonts w:ascii="Times New Roman" w:hAnsi="Times New Roman" w:cs="Times New Roman"/>
          <w:sz w:val="24"/>
          <w:szCs w:val="24"/>
        </w:rPr>
        <w:t xml:space="preserve">. Total organic carbon content </w:t>
      </w:r>
      <w:r>
        <w:rPr>
          <w:rFonts w:ascii="Times New Roman" w:hAnsi="Times New Roman" w:cs="Times New Roman"/>
          <w:sz w:val="24"/>
          <w:szCs w:val="24"/>
        </w:rPr>
        <w:t>and total nitrogen were</w:t>
      </w:r>
      <w:r w:rsidRPr="00B82E67">
        <w:rPr>
          <w:rFonts w:ascii="Times New Roman" w:hAnsi="Times New Roman" w:cs="Times New Roman"/>
          <w:sz w:val="24"/>
          <w:szCs w:val="24"/>
        </w:rPr>
        <w:t xml:space="preserve"> determined by dry combustion at 1250 °C using a </w:t>
      </w:r>
      <w:proofErr w:type="spellStart"/>
      <w:r w:rsidRPr="00B82E67">
        <w:rPr>
          <w:rFonts w:ascii="Times New Roman" w:hAnsi="Times New Roman" w:cs="Times New Roman"/>
          <w:sz w:val="24"/>
          <w:szCs w:val="24"/>
        </w:rPr>
        <w:t>Tru</w:t>
      </w:r>
      <w:proofErr w:type="spellEnd"/>
      <w:r w:rsidRPr="00B82E67">
        <w:rPr>
          <w:rFonts w:ascii="Times New Roman" w:hAnsi="Times New Roman" w:cs="Times New Roman"/>
          <w:sz w:val="24"/>
          <w:szCs w:val="24"/>
        </w:rPr>
        <w:t xml:space="preserve"> Mac (LECO, Japan) CNS elemental analyzer. </w:t>
      </w:r>
    </w:p>
    <w:p w:rsidR="003F2493" w:rsidRDefault="003F2493" w:rsidP="00B82E67">
      <w:pPr>
        <w:autoSpaceDE w:val="0"/>
        <w:autoSpaceDN w:val="0"/>
        <w:adjustRightInd w:val="0"/>
        <w:spacing w:after="0" w:line="240" w:lineRule="auto"/>
        <w:jc w:val="both"/>
        <w:rPr>
          <w:rFonts w:ascii="Times New Roman" w:hAnsi="Times New Roman" w:cs="Times New Roman"/>
          <w:sz w:val="24"/>
          <w:szCs w:val="24"/>
        </w:rPr>
      </w:pPr>
    </w:p>
    <w:p w:rsidR="00DF3F3B" w:rsidRDefault="00DF3F3B" w:rsidP="00B82E67">
      <w:pPr>
        <w:autoSpaceDE w:val="0"/>
        <w:autoSpaceDN w:val="0"/>
        <w:adjustRightInd w:val="0"/>
        <w:spacing w:after="0" w:line="240" w:lineRule="auto"/>
        <w:jc w:val="both"/>
        <w:rPr>
          <w:rFonts w:ascii="Times New Roman" w:hAnsi="Times New Roman" w:cs="Times New Roman"/>
          <w:noProof/>
          <w:sz w:val="24"/>
          <w:szCs w:val="24"/>
          <w:lang w:eastAsia="en-AU"/>
        </w:rPr>
      </w:pPr>
      <w:r>
        <w:rPr>
          <w:rFonts w:ascii="Times New Roman" w:hAnsi="Times New Roman" w:cs="Times New Roman"/>
          <w:sz w:val="24"/>
          <w:szCs w:val="24"/>
        </w:rPr>
        <w:t>Collected s</w:t>
      </w:r>
      <w:r w:rsidRPr="00B82E67">
        <w:rPr>
          <w:rFonts w:ascii="Times New Roman" w:hAnsi="Times New Roman" w:cs="Times New Roman"/>
          <w:sz w:val="24"/>
          <w:szCs w:val="24"/>
        </w:rPr>
        <w:t>oils</w:t>
      </w:r>
      <w:r>
        <w:rPr>
          <w:rFonts w:ascii="Times New Roman" w:hAnsi="Times New Roman" w:cs="Times New Roman"/>
          <w:sz w:val="24"/>
          <w:szCs w:val="24"/>
        </w:rPr>
        <w:t xml:space="preserve"> (3 kg of each sample)</w:t>
      </w:r>
      <w:r w:rsidRPr="00B82E67">
        <w:rPr>
          <w:rFonts w:ascii="Times New Roman" w:hAnsi="Times New Roman" w:cs="Times New Roman"/>
          <w:sz w:val="24"/>
          <w:szCs w:val="24"/>
        </w:rPr>
        <w:t xml:space="preserve"> were spiked with 9 different conce</w:t>
      </w:r>
      <w:r>
        <w:rPr>
          <w:rFonts w:ascii="Times New Roman" w:hAnsi="Times New Roman" w:cs="Times New Roman"/>
          <w:sz w:val="24"/>
          <w:szCs w:val="24"/>
        </w:rPr>
        <w:t xml:space="preserve">ntrations of inorganic mercury using a stock solution of 5000 mg/L Hg, </w:t>
      </w:r>
      <w:r w:rsidRPr="00B82E67">
        <w:rPr>
          <w:rFonts w:ascii="Times New Roman" w:hAnsi="Times New Roman" w:cs="Times New Roman"/>
          <w:sz w:val="24"/>
          <w:szCs w:val="24"/>
        </w:rPr>
        <w:t>prepared by dissolving HgCl</w:t>
      </w:r>
      <w:r w:rsidRPr="00B82E67">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in sterile de-ionized water, kept in </w:t>
      </w:r>
      <w:r w:rsidRPr="00B82E67">
        <w:rPr>
          <w:rFonts w:ascii="Times New Roman" w:hAnsi="Times New Roman" w:cs="Times New Roman"/>
          <w:sz w:val="24"/>
          <w:szCs w:val="24"/>
        </w:rPr>
        <w:t xml:space="preserve">polyethylene containers </w:t>
      </w:r>
      <w:r>
        <w:rPr>
          <w:rFonts w:ascii="Times New Roman" w:hAnsi="Times New Roman" w:cs="Times New Roman"/>
          <w:sz w:val="24"/>
          <w:szCs w:val="24"/>
        </w:rPr>
        <w:t>by</w:t>
      </w:r>
      <w:r w:rsidRPr="00B82E67">
        <w:rPr>
          <w:rFonts w:ascii="Times New Roman" w:hAnsi="Times New Roman" w:cs="Times New Roman"/>
          <w:sz w:val="24"/>
          <w:szCs w:val="24"/>
        </w:rPr>
        <w:t xml:space="preserve"> maintain</w:t>
      </w:r>
      <w:r>
        <w:rPr>
          <w:rFonts w:ascii="Times New Roman" w:hAnsi="Times New Roman" w:cs="Times New Roman"/>
          <w:sz w:val="24"/>
          <w:szCs w:val="24"/>
        </w:rPr>
        <w:t>ing</w:t>
      </w:r>
      <w:r w:rsidRPr="00B82E67">
        <w:rPr>
          <w:rFonts w:ascii="Times New Roman" w:hAnsi="Times New Roman" w:cs="Times New Roman"/>
          <w:sz w:val="24"/>
          <w:szCs w:val="24"/>
        </w:rPr>
        <w:t xml:space="preserve"> 70% of the soil’s </w:t>
      </w:r>
      <w:r>
        <w:rPr>
          <w:rFonts w:ascii="Times New Roman" w:hAnsi="Times New Roman" w:cs="Times New Roman"/>
          <w:sz w:val="24"/>
          <w:szCs w:val="24"/>
        </w:rPr>
        <w:t>maximum</w:t>
      </w:r>
      <w:r w:rsidRPr="00B82E67">
        <w:rPr>
          <w:rFonts w:ascii="Times New Roman" w:hAnsi="Times New Roman" w:cs="Times New Roman"/>
          <w:sz w:val="24"/>
          <w:szCs w:val="24"/>
        </w:rPr>
        <w:t xml:space="preserve"> water holding capacity. The spiked and control soils</w:t>
      </w:r>
      <w:r>
        <w:rPr>
          <w:rFonts w:ascii="Times New Roman" w:hAnsi="Times New Roman" w:cs="Times New Roman"/>
          <w:sz w:val="24"/>
          <w:szCs w:val="24"/>
        </w:rPr>
        <w:t xml:space="preserve"> (not spiked with Hg)</w:t>
      </w:r>
      <w:r w:rsidRPr="00B82E67">
        <w:rPr>
          <w:rFonts w:ascii="Times New Roman" w:hAnsi="Times New Roman" w:cs="Times New Roman"/>
          <w:sz w:val="24"/>
          <w:szCs w:val="24"/>
        </w:rPr>
        <w:t xml:space="preserve"> were mixed thoroughly in an end-over-end shaker, stored in covered polyethylene containers and aged for 90 </w:t>
      </w:r>
      <w:r w:rsidR="005068B9">
        <w:rPr>
          <w:rFonts w:ascii="Times New Roman" w:hAnsi="Times New Roman" w:cs="Times New Roman"/>
          <w:sz w:val="24"/>
          <w:szCs w:val="24"/>
        </w:rPr>
        <w:t>d</w:t>
      </w:r>
      <w:r w:rsidRPr="00B82E67">
        <w:rPr>
          <w:rFonts w:ascii="Times New Roman" w:hAnsi="Times New Roman" w:cs="Times New Roman"/>
          <w:sz w:val="24"/>
          <w:szCs w:val="24"/>
        </w:rPr>
        <w:t xml:space="preserve"> at </w:t>
      </w:r>
      <w:r>
        <w:rPr>
          <w:rFonts w:ascii="Times New Roman" w:eastAsia="Times New Roman" w:hAnsi="Times New Roman" w:cs="Times New Roman"/>
          <w:sz w:val="24"/>
          <w:szCs w:val="24"/>
          <w:lang w:eastAsia="en-AU"/>
        </w:rPr>
        <w:t xml:space="preserve">25 °C to provide a minimum time for Hg to be complexed with soil particles. </w:t>
      </w:r>
      <w:r w:rsidRPr="00B82E67">
        <w:rPr>
          <w:rFonts w:ascii="Times New Roman" w:eastAsia="Times New Roman" w:hAnsi="Times New Roman" w:cs="Times New Roman"/>
          <w:sz w:val="24"/>
          <w:szCs w:val="24"/>
          <w:lang w:eastAsia="en-AU"/>
        </w:rPr>
        <w:lastRenderedPageBreak/>
        <w:t>Immediate</w:t>
      </w:r>
      <w:r w:rsidRPr="00B82E67">
        <w:rPr>
          <w:rFonts w:ascii="Times New Roman" w:hAnsi="Times New Roman" w:cs="Times New Roman"/>
          <w:sz w:val="24"/>
          <w:szCs w:val="24"/>
        </w:rPr>
        <w:t xml:space="preserve"> analysis after spiking might have resulted in overestimation of toxic doses</w:t>
      </w:r>
      <w:r w:rsidRPr="00B82E67">
        <w:rPr>
          <w:rFonts w:ascii="Times New Roman" w:eastAsia="Times New Roman" w:hAnsi="Times New Roman" w:cs="Times New Roman"/>
          <w:sz w:val="24"/>
          <w:szCs w:val="24"/>
          <w:lang w:eastAsia="en-AU"/>
        </w:rPr>
        <w:t>. The final Hg concentrations in soils were intended to be 0, 5, 10, 50, 100, 150, 200, 250, 300, 400 and 500 mg/kg.</w:t>
      </w:r>
      <w:r w:rsidRPr="00B82E67">
        <w:rPr>
          <w:rFonts w:ascii="Times New Roman" w:hAnsi="Times New Roman" w:cs="Times New Roman"/>
          <w:b/>
          <w:noProof/>
          <w:sz w:val="24"/>
          <w:szCs w:val="24"/>
          <w:lang w:eastAsia="en-AU"/>
        </w:rPr>
        <w:t xml:space="preserve"> </w:t>
      </w:r>
      <w:r w:rsidRPr="00B82E67">
        <w:rPr>
          <w:rFonts w:ascii="Times New Roman" w:hAnsi="Times New Roman" w:cs="Times New Roman"/>
          <w:noProof/>
          <w:sz w:val="24"/>
          <w:szCs w:val="24"/>
          <w:lang w:eastAsia="en-AU"/>
        </w:rPr>
        <w:t xml:space="preserve">These concentrations were chosen to obtain proper dose - response curves to estimate effective concentration (EC) values and these are the concentrations that are commonly found in different Hg contaminated sites. </w:t>
      </w:r>
    </w:p>
    <w:p w:rsidR="003F2493" w:rsidRPr="00B82E67" w:rsidRDefault="003F2493" w:rsidP="00B82E67">
      <w:pPr>
        <w:autoSpaceDE w:val="0"/>
        <w:autoSpaceDN w:val="0"/>
        <w:adjustRightInd w:val="0"/>
        <w:spacing w:after="0" w:line="240" w:lineRule="auto"/>
        <w:jc w:val="both"/>
        <w:rPr>
          <w:rFonts w:ascii="Times New Roman" w:hAnsi="Times New Roman" w:cs="Times New Roman"/>
          <w:sz w:val="24"/>
          <w:szCs w:val="24"/>
        </w:rPr>
      </w:pPr>
    </w:p>
    <w:p w:rsidR="00DF3F3B" w:rsidRDefault="00DF3F3B" w:rsidP="00B82E67">
      <w:pPr>
        <w:pStyle w:val="PlainText"/>
        <w:jc w:val="both"/>
        <w:rPr>
          <w:rFonts w:ascii="Times New Roman" w:hAnsi="Times New Roman" w:cs="Times New Roman"/>
          <w:color w:val="000000"/>
          <w:sz w:val="24"/>
          <w:szCs w:val="24"/>
        </w:rPr>
      </w:pPr>
      <w:r w:rsidRPr="00B82E67">
        <w:rPr>
          <w:rFonts w:ascii="Times New Roman" w:hAnsi="Times New Roman" w:cs="Times New Roman"/>
          <w:sz w:val="24"/>
          <w:szCs w:val="24"/>
        </w:rPr>
        <w:t xml:space="preserve">A microwave digestion system (Model: MARS 5, CEM) was employed for the digestion of soil samples with aqua </w:t>
      </w:r>
      <w:proofErr w:type="spellStart"/>
      <w:r w:rsidRPr="00B82E67">
        <w:rPr>
          <w:rFonts w:ascii="Times New Roman" w:hAnsi="Times New Roman" w:cs="Times New Roman"/>
          <w:sz w:val="24"/>
          <w:szCs w:val="24"/>
        </w:rPr>
        <w:t>regia</w:t>
      </w:r>
      <w:proofErr w:type="spellEnd"/>
      <w:r w:rsidRPr="00B82E67">
        <w:rPr>
          <w:rFonts w:ascii="Times New Roman" w:hAnsi="Times New Roman" w:cs="Times New Roman"/>
          <w:sz w:val="24"/>
          <w:szCs w:val="24"/>
        </w:rPr>
        <w:t xml:space="preserve"> after 90 </w:t>
      </w:r>
      <w:r w:rsidR="005068B9">
        <w:rPr>
          <w:rFonts w:ascii="Times New Roman" w:hAnsi="Times New Roman" w:cs="Times New Roman"/>
          <w:sz w:val="24"/>
          <w:szCs w:val="24"/>
        </w:rPr>
        <w:t>d</w:t>
      </w:r>
      <w:r w:rsidRPr="00B82E67">
        <w:rPr>
          <w:rFonts w:ascii="Times New Roman" w:hAnsi="Times New Roman" w:cs="Times New Roman"/>
          <w:sz w:val="24"/>
          <w:szCs w:val="24"/>
        </w:rPr>
        <w:t xml:space="preserve"> of aging. The USEPA method 3051 was employed for sample digestion </w:t>
      </w:r>
      <w:r>
        <w:rPr>
          <w:rFonts w:ascii="Times New Roman" w:hAnsi="Times New Roman" w:cs="Times New Roman"/>
          <w:noProof/>
          <w:sz w:val="24"/>
          <w:szCs w:val="24"/>
        </w:rPr>
        <w:t>(Melgar et al. 2009)</w:t>
      </w:r>
      <w:r w:rsidRPr="00B82E67">
        <w:rPr>
          <w:rFonts w:ascii="Times New Roman" w:hAnsi="Times New Roman" w:cs="Times New Roman"/>
          <w:sz w:val="24"/>
          <w:szCs w:val="24"/>
        </w:rPr>
        <w:t xml:space="preserve">. </w:t>
      </w:r>
      <w:r w:rsidRPr="00B82E67">
        <w:rPr>
          <w:rFonts w:ascii="Times New Roman" w:hAnsi="Times New Roman" w:cs="Times New Roman"/>
          <w:bCs/>
          <w:sz w:val="24"/>
          <w:szCs w:val="24"/>
        </w:rPr>
        <w:t xml:space="preserve">For water soluble Hg analysis, 5 g soil was taken following 90 </w:t>
      </w:r>
      <w:r w:rsidR="005068B9">
        <w:rPr>
          <w:rFonts w:ascii="Times New Roman" w:hAnsi="Times New Roman" w:cs="Times New Roman"/>
          <w:bCs/>
          <w:sz w:val="24"/>
          <w:szCs w:val="24"/>
        </w:rPr>
        <w:t>d</w:t>
      </w:r>
      <w:r w:rsidRPr="00B82E67">
        <w:rPr>
          <w:rFonts w:ascii="Times New Roman" w:hAnsi="Times New Roman" w:cs="Times New Roman"/>
          <w:bCs/>
          <w:sz w:val="24"/>
          <w:szCs w:val="24"/>
        </w:rPr>
        <w:t xml:space="preserve"> of aging process and mixed with 50 ml de-ionized water, and then shaken overnight in an end-over-end shaker. The soil extract was collected by centrifugation at 2000 g for 20 min followed by filtration with </w:t>
      </w:r>
      <w:r w:rsidR="00AD1C70">
        <w:rPr>
          <w:rFonts w:ascii="Times New Roman" w:hAnsi="Times New Roman" w:cs="Times New Roman"/>
          <w:sz w:val="24"/>
          <w:szCs w:val="24"/>
        </w:rPr>
        <w:t>0.45 µm filters</w:t>
      </w:r>
      <w:r w:rsidR="00AD1C70" w:rsidRPr="009D3768">
        <w:rPr>
          <w:rFonts w:ascii="Times New Roman" w:hAnsi="Times New Roman" w:cs="Times New Roman"/>
          <w:sz w:val="24"/>
          <w:szCs w:val="24"/>
        </w:rPr>
        <w:t xml:space="preserve"> </w:t>
      </w:r>
      <w:r w:rsidR="00AD1C70" w:rsidRPr="009D3768">
        <w:rPr>
          <w:rFonts w:ascii="Times New Roman" w:hAnsi="Times New Roman" w:cs="Times New Roman"/>
          <w:sz w:val="24"/>
          <w:szCs w:val="24"/>
          <w:highlight w:val="yellow"/>
        </w:rPr>
        <w:t>(Millipore,</w:t>
      </w:r>
      <w:r w:rsidR="00AD1C70" w:rsidRPr="009D3768">
        <w:rPr>
          <w:rFonts w:ascii="Times New Roman" w:hAnsi="Times New Roman" w:cs="Times New Roman"/>
          <w:sz w:val="24"/>
          <w:szCs w:val="24"/>
          <w:highlight w:val="yellow"/>
        </w:rPr>
        <w:t xml:space="preserve"> Billerica, Massachusetts, USA)</w:t>
      </w:r>
      <w:r w:rsidRPr="009D3768">
        <w:rPr>
          <w:rFonts w:ascii="Times New Roman" w:hAnsi="Times New Roman" w:cs="Times New Roman"/>
          <w:bCs/>
          <w:sz w:val="24"/>
          <w:szCs w:val="24"/>
          <w:highlight w:val="yellow"/>
        </w:rPr>
        <w:t>.</w:t>
      </w:r>
      <w:r w:rsidRPr="009D3768">
        <w:rPr>
          <w:rFonts w:ascii="Times New Roman" w:hAnsi="Times New Roman" w:cs="Times New Roman"/>
          <w:bCs/>
          <w:sz w:val="24"/>
          <w:szCs w:val="24"/>
        </w:rPr>
        <w:t xml:space="preserve"> </w:t>
      </w:r>
      <w:r w:rsidRPr="00B82E67">
        <w:rPr>
          <w:rFonts w:ascii="Times New Roman" w:hAnsi="Times New Roman" w:cs="Times New Roman"/>
          <w:bCs/>
          <w:sz w:val="24"/>
          <w:szCs w:val="24"/>
        </w:rPr>
        <w:t xml:space="preserve">The water extract and microwave digested soil samples were examined for Hg using </w:t>
      </w:r>
      <w:r w:rsidRPr="00B82E67">
        <w:rPr>
          <w:rFonts w:ascii="Times New Roman" w:hAnsi="Times New Roman" w:cs="Times New Roman"/>
          <w:color w:val="000000"/>
          <w:sz w:val="24"/>
          <w:szCs w:val="24"/>
        </w:rPr>
        <w:t>Inductively Coupled Plasma Triple Quad Mass Spectrometry (ICP-QQQ-MS, Agilent Technologies 8800</w:t>
      </w:r>
      <w:r w:rsidR="00AD1C70">
        <w:rPr>
          <w:rFonts w:ascii="Times New Roman" w:hAnsi="Times New Roman" w:cs="Times New Roman"/>
          <w:color w:val="000000"/>
          <w:sz w:val="24"/>
          <w:szCs w:val="24"/>
        </w:rPr>
        <w:t>,</w:t>
      </w:r>
      <w:r w:rsidR="00AD1C70" w:rsidRPr="00AD1C70">
        <w:rPr>
          <w:rFonts w:ascii="Times New Roman" w:hAnsi="Times New Roman" w:cs="Times New Roman"/>
          <w:color w:val="000000"/>
          <w:sz w:val="24"/>
          <w:szCs w:val="24"/>
        </w:rPr>
        <w:t xml:space="preserve"> </w:t>
      </w:r>
      <w:proofErr w:type="gramStart"/>
      <w:r w:rsidR="00AD1C70" w:rsidRPr="009D3768">
        <w:rPr>
          <w:rFonts w:ascii="Times New Roman" w:hAnsi="Times New Roman" w:cs="Times New Roman"/>
          <w:sz w:val="24"/>
          <w:szCs w:val="24"/>
          <w:highlight w:val="yellow"/>
        </w:rPr>
        <w:t>Santa</w:t>
      </w:r>
      <w:proofErr w:type="gramEnd"/>
      <w:r w:rsidR="00AD1C70" w:rsidRPr="009D3768">
        <w:rPr>
          <w:rFonts w:ascii="Times New Roman" w:hAnsi="Times New Roman" w:cs="Times New Roman"/>
          <w:sz w:val="24"/>
          <w:szCs w:val="24"/>
          <w:highlight w:val="yellow"/>
        </w:rPr>
        <w:t xml:space="preserve"> Clara, California, USA</w:t>
      </w:r>
      <w:r w:rsidRPr="009D3768">
        <w:rPr>
          <w:rFonts w:ascii="Times New Roman" w:hAnsi="Times New Roman" w:cs="Times New Roman"/>
          <w:color w:val="000000"/>
          <w:sz w:val="24"/>
          <w:szCs w:val="24"/>
        </w:rPr>
        <w:t>)</w:t>
      </w:r>
      <w:r w:rsidRPr="00B82E67">
        <w:rPr>
          <w:rFonts w:ascii="Times New Roman" w:hAnsi="Times New Roman" w:cs="Times New Roman"/>
          <w:color w:val="000000"/>
          <w:sz w:val="24"/>
          <w:szCs w:val="24"/>
        </w:rPr>
        <w:t xml:space="preserve"> following 100X dilution with 1% </w:t>
      </w:r>
      <w:proofErr w:type="spellStart"/>
      <w:r w:rsidRPr="00B82E67">
        <w:rPr>
          <w:rFonts w:ascii="Times New Roman" w:hAnsi="Times New Roman" w:cs="Times New Roman"/>
          <w:color w:val="000000"/>
          <w:sz w:val="24"/>
          <w:szCs w:val="24"/>
        </w:rPr>
        <w:t>HCl</w:t>
      </w:r>
      <w:proofErr w:type="spellEnd"/>
      <w:r w:rsidRPr="00B82E67">
        <w:rPr>
          <w:rFonts w:ascii="Times New Roman" w:hAnsi="Times New Roman" w:cs="Times New Roman"/>
          <w:color w:val="000000"/>
          <w:sz w:val="24"/>
          <w:szCs w:val="24"/>
        </w:rPr>
        <w:t xml:space="preserve">. The detection limit of Hg for this instrument was </w:t>
      </w:r>
      <w:proofErr w:type="gramStart"/>
      <w:r w:rsidRPr="00B82E67">
        <w:rPr>
          <w:rFonts w:ascii="Times New Roman" w:hAnsi="Times New Roman" w:cs="Times New Roman"/>
          <w:color w:val="000000"/>
          <w:sz w:val="24"/>
          <w:szCs w:val="24"/>
        </w:rPr>
        <w:t>0.5 µg/L.</w:t>
      </w:r>
      <w:bookmarkStart w:id="0" w:name="_GoBack"/>
      <w:bookmarkEnd w:id="0"/>
      <w:proofErr w:type="gramEnd"/>
    </w:p>
    <w:p w:rsidR="003F2493" w:rsidRPr="00B82E67" w:rsidRDefault="003F2493" w:rsidP="00B82E67">
      <w:pPr>
        <w:pStyle w:val="PlainText"/>
        <w:jc w:val="both"/>
        <w:rPr>
          <w:rFonts w:ascii="Times New Roman" w:hAnsi="Times New Roman" w:cs="Times New Roman"/>
          <w:color w:val="000000"/>
          <w:sz w:val="24"/>
          <w:szCs w:val="24"/>
        </w:rPr>
      </w:pPr>
    </w:p>
    <w:p w:rsidR="00DF3F3B" w:rsidRDefault="00DF3F3B" w:rsidP="00B82E67">
      <w:pPr>
        <w:spacing w:after="0" w:line="240" w:lineRule="auto"/>
        <w:jc w:val="both"/>
        <w:rPr>
          <w:rFonts w:ascii="Times New Roman" w:hAnsi="Times New Roman" w:cs="Times New Roman"/>
          <w:bCs/>
          <w:sz w:val="24"/>
          <w:szCs w:val="24"/>
        </w:rPr>
      </w:pPr>
      <w:r w:rsidRPr="00B82E67">
        <w:rPr>
          <w:rFonts w:ascii="Times New Roman" w:hAnsi="Times New Roman" w:cs="Times New Roman"/>
          <w:bCs/>
          <w:sz w:val="24"/>
          <w:szCs w:val="24"/>
        </w:rPr>
        <w:t xml:space="preserve">Three native Australian plant species were chosen for the present study. All three plants were grass species namely </w:t>
      </w:r>
      <w:proofErr w:type="spellStart"/>
      <w:r w:rsidRPr="00B82E67">
        <w:rPr>
          <w:rFonts w:ascii="Times New Roman" w:eastAsia="Times New Roman" w:hAnsi="Times New Roman" w:cs="Times New Roman"/>
          <w:bCs/>
          <w:i/>
          <w:iCs/>
          <w:kern w:val="36"/>
          <w:sz w:val="24"/>
          <w:szCs w:val="24"/>
          <w:lang w:val="en-AU" w:eastAsia="en-AU"/>
        </w:rPr>
        <w:t>Iseilema</w:t>
      </w:r>
      <w:proofErr w:type="spellEnd"/>
      <w:r w:rsidRPr="00B82E67">
        <w:rPr>
          <w:rFonts w:ascii="Times New Roman" w:eastAsia="Times New Roman" w:hAnsi="Times New Roman" w:cs="Times New Roman"/>
          <w:bCs/>
          <w:i/>
          <w:iCs/>
          <w:kern w:val="36"/>
          <w:sz w:val="24"/>
          <w:szCs w:val="24"/>
          <w:lang w:val="en-AU" w:eastAsia="en-AU"/>
        </w:rPr>
        <w:t xml:space="preserve"> </w:t>
      </w:r>
      <w:proofErr w:type="spellStart"/>
      <w:r w:rsidRPr="00B82E67">
        <w:rPr>
          <w:rFonts w:ascii="Times New Roman" w:eastAsia="Times New Roman" w:hAnsi="Times New Roman" w:cs="Times New Roman"/>
          <w:bCs/>
          <w:i/>
          <w:iCs/>
          <w:kern w:val="36"/>
          <w:sz w:val="24"/>
          <w:szCs w:val="24"/>
          <w:lang w:val="en-AU" w:eastAsia="en-AU"/>
        </w:rPr>
        <w:t>membranaceum</w:t>
      </w:r>
      <w:proofErr w:type="spellEnd"/>
      <w:r w:rsidRPr="00B82E67">
        <w:rPr>
          <w:rFonts w:ascii="Times New Roman" w:eastAsia="Times New Roman" w:hAnsi="Times New Roman" w:cs="Times New Roman"/>
          <w:bCs/>
          <w:i/>
          <w:iCs/>
          <w:kern w:val="36"/>
          <w:sz w:val="24"/>
          <w:szCs w:val="24"/>
          <w:lang w:val="en-AU" w:eastAsia="en-AU"/>
        </w:rPr>
        <w:t xml:space="preserve"> </w:t>
      </w:r>
      <w:r w:rsidRPr="00B82E67">
        <w:rPr>
          <w:rFonts w:ascii="Times New Roman" w:eastAsia="Times New Roman" w:hAnsi="Times New Roman" w:cs="Times New Roman"/>
          <w:bCs/>
          <w:kern w:val="36"/>
          <w:sz w:val="24"/>
          <w:szCs w:val="24"/>
          <w:lang w:val="en-AU" w:eastAsia="en-AU"/>
        </w:rPr>
        <w:t xml:space="preserve">(Barcoo), </w:t>
      </w:r>
      <w:proofErr w:type="spellStart"/>
      <w:r w:rsidRPr="00B82E67">
        <w:rPr>
          <w:rFonts w:ascii="Times New Roman" w:hAnsi="Times New Roman" w:cs="Times New Roman"/>
          <w:bCs/>
          <w:i/>
          <w:iCs/>
          <w:sz w:val="24"/>
          <w:szCs w:val="24"/>
        </w:rPr>
        <w:t>Dichanthium</w:t>
      </w:r>
      <w:proofErr w:type="spellEnd"/>
      <w:r w:rsidRPr="00B82E67">
        <w:rPr>
          <w:rFonts w:ascii="Times New Roman" w:hAnsi="Times New Roman" w:cs="Times New Roman"/>
          <w:bCs/>
          <w:i/>
          <w:iCs/>
          <w:sz w:val="24"/>
          <w:szCs w:val="24"/>
        </w:rPr>
        <w:t xml:space="preserve"> </w:t>
      </w:r>
      <w:proofErr w:type="spellStart"/>
      <w:r w:rsidRPr="00B82E67">
        <w:rPr>
          <w:rFonts w:ascii="Times New Roman" w:hAnsi="Times New Roman" w:cs="Times New Roman"/>
          <w:bCs/>
          <w:i/>
          <w:iCs/>
          <w:sz w:val="24"/>
          <w:szCs w:val="24"/>
        </w:rPr>
        <w:t>sericeum</w:t>
      </w:r>
      <w:proofErr w:type="spellEnd"/>
      <w:r w:rsidRPr="00B82E67">
        <w:rPr>
          <w:rFonts w:ascii="Times New Roman" w:hAnsi="Times New Roman" w:cs="Times New Roman"/>
          <w:bCs/>
          <w:sz w:val="24"/>
          <w:szCs w:val="24"/>
        </w:rPr>
        <w:t xml:space="preserve"> (Queensland Blue) and </w:t>
      </w:r>
      <w:proofErr w:type="spellStart"/>
      <w:r w:rsidRPr="00B82E67">
        <w:rPr>
          <w:rFonts w:ascii="Times New Roman" w:hAnsi="Times New Roman" w:cs="Times New Roman"/>
          <w:bCs/>
          <w:i/>
          <w:iCs/>
          <w:sz w:val="24"/>
          <w:szCs w:val="24"/>
        </w:rPr>
        <w:t>Sporobolus</w:t>
      </w:r>
      <w:proofErr w:type="spellEnd"/>
      <w:r w:rsidRPr="00B82E67">
        <w:rPr>
          <w:rFonts w:ascii="Times New Roman" w:hAnsi="Times New Roman" w:cs="Times New Roman"/>
          <w:bCs/>
          <w:i/>
          <w:iCs/>
          <w:sz w:val="24"/>
          <w:szCs w:val="24"/>
        </w:rPr>
        <w:t xml:space="preserve"> </w:t>
      </w:r>
      <w:proofErr w:type="spellStart"/>
      <w:r w:rsidRPr="00B82E67">
        <w:rPr>
          <w:rFonts w:ascii="Times New Roman" w:hAnsi="Times New Roman" w:cs="Times New Roman"/>
          <w:bCs/>
          <w:i/>
          <w:iCs/>
          <w:sz w:val="24"/>
          <w:szCs w:val="24"/>
        </w:rPr>
        <w:t>africanus</w:t>
      </w:r>
      <w:proofErr w:type="spellEnd"/>
      <w:r w:rsidRPr="00B82E67">
        <w:rPr>
          <w:rFonts w:ascii="Times New Roman" w:hAnsi="Times New Roman" w:cs="Times New Roman"/>
          <w:bCs/>
          <w:sz w:val="24"/>
          <w:szCs w:val="24"/>
        </w:rPr>
        <w:t xml:space="preserve"> (Tussock). </w:t>
      </w:r>
      <w:r w:rsidRPr="00B82E67">
        <w:rPr>
          <w:rFonts w:ascii="Times New Roman" w:eastAsiaTheme="minorHAnsi" w:hAnsi="Times New Roman" w:cs="Times New Roman"/>
          <w:sz w:val="24"/>
          <w:szCs w:val="24"/>
          <w:lang w:val="en-AU"/>
        </w:rPr>
        <w:t>The plant species were selected</w:t>
      </w:r>
      <w:r w:rsidRPr="00B82E67">
        <w:rPr>
          <w:rFonts w:ascii="Times New Roman" w:hAnsi="Times New Roman" w:cs="Times New Roman"/>
          <w:bCs/>
          <w:sz w:val="24"/>
          <w:szCs w:val="24"/>
        </w:rPr>
        <w:t xml:space="preserve"> </w:t>
      </w:r>
      <w:r w:rsidRPr="00B82E67">
        <w:rPr>
          <w:rFonts w:ascii="Times New Roman" w:eastAsiaTheme="minorHAnsi" w:hAnsi="Times New Roman" w:cs="Times New Roman"/>
          <w:sz w:val="24"/>
          <w:szCs w:val="24"/>
          <w:lang w:val="en-AU"/>
        </w:rPr>
        <w:t>because they are widespread and are known to be used for</w:t>
      </w:r>
      <w:r w:rsidRPr="00B82E67">
        <w:rPr>
          <w:rFonts w:ascii="Times New Roman" w:hAnsi="Times New Roman" w:cs="Times New Roman"/>
          <w:bCs/>
          <w:sz w:val="24"/>
          <w:szCs w:val="24"/>
        </w:rPr>
        <w:t xml:space="preserve"> </w:t>
      </w:r>
      <w:r w:rsidRPr="00B82E67">
        <w:rPr>
          <w:rFonts w:ascii="Times New Roman" w:eastAsiaTheme="minorHAnsi" w:hAnsi="Times New Roman" w:cs="Times New Roman"/>
          <w:sz w:val="24"/>
          <w:szCs w:val="24"/>
          <w:lang w:val="en-AU"/>
        </w:rPr>
        <w:t xml:space="preserve">revegetation purposes. Plant seeds were purchased from Native Seeds Pty Ltd, Victoria, Australia. </w:t>
      </w:r>
      <w:r w:rsidRPr="00B82E67">
        <w:rPr>
          <w:rFonts w:ascii="Times New Roman" w:hAnsi="Times New Roman" w:cs="Times New Roman"/>
          <w:bCs/>
          <w:sz w:val="24"/>
          <w:szCs w:val="24"/>
        </w:rPr>
        <w:t xml:space="preserve">Plant growth experiment was carried out according to a published method </w:t>
      </w:r>
      <w:r>
        <w:rPr>
          <w:rFonts w:ascii="Times New Roman" w:hAnsi="Times New Roman" w:cs="Times New Roman"/>
          <w:bCs/>
          <w:noProof/>
          <w:sz w:val="24"/>
          <w:szCs w:val="24"/>
        </w:rPr>
        <w:t>(Kader et al. 2016)</w:t>
      </w:r>
      <w:r w:rsidRPr="00B82E67">
        <w:rPr>
          <w:rFonts w:ascii="Times New Roman" w:hAnsi="Times New Roman" w:cs="Times New Roman"/>
          <w:bCs/>
          <w:sz w:val="24"/>
          <w:szCs w:val="24"/>
        </w:rPr>
        <w:t xml:space="preserve">. </w:t>
      </w:r>
      <w:proofErr w:type="gramStart"/>
      <w:r w:rsidRPr="00B82E67">
        <w:rPr>
          <w:rFonts w:ascii="Times New Roman" w:hAnsi="Times New Roman" w:cs="Times New Roman"/>
          <w:bCs/>
          <w:sz w:val="24"/>
          <w:szCs w:val="24"/>
        </w:rPr>
        <w:t>Triplicate plastic pots (120×125×120 mm) with 300 g of soil from each concentration was</w:t>
      </w:r>
      <w:proofErr w:type="gramEnd"/>
      <w:r w:rsidRPr="00B82E67">
        <w:rPr>
          <w:rFonts w:ascii="Times New Roman" w:hAnsi="Times New Roman" w:cs="Times New Roman"/>
          <w:bCs/>
          <w:sz w:val="24"/>
          <w:szCs w:val="24"/>
        </w:rPr>
        <w:t xml:space="preserve"> prepared. Pots were kept moistened throughout the study with distilled water to 70% of respective soil’s water holding capacity. Twenty seeds of individual plant were placed on top of soil to ensure germination. After 1 week of emergence, each pot was thinned to 6 plants and grown for 28 </w:t>
      </w:r>
      <w:r w:rsidR="005068B9">
        <w:rPr>
          <w:rFonts w:ascii="Times New Roman" w:hAnsi="Times New Roman" w:cs="Times New Roman"/>
          <w:bCs/>
          <w:sz w:val="24"/>
          <w:szCs w:val="24"/>
        </w:rPr>
        <w:t>d</w:t>
      </w:r>
      <w:r w:rsidR="00AD1C70">
        <w:rPr>
          <w:rFonts w:ascii="Times New Roman" w:hAnsi="Times New Roman" w:cs="Times New Roman"/>
          <w:bCs/>
          <w:sz w:val="24"/>
          <w:szCs w:val="24"/>
        </w:rPr>
        <w:t xml:space="preserve"> under </w:t>
      </w:r>
      <w:proofErr w:type="spellStart"/>
      <w:r w:rsidR="00AD1C70">
        <w:rPr>
          <w:rFonts w:ascii="Times New Roman" w:hAnsi="Times New Roman" w:cs="Times New Roman"/>
          <w:bCs/>
          <w:sz w:val="24"/>
          <w:szCs w:val="24"/>
        </w:rPr>
        <w:t>green</w:t>
      </w:r>
      <w:r w:rsidRPr="00B82E67">
        <w:rPr>
          <w:rFonts w:ascii="Times New Roman" w:hAnsi="Times New Roman" w:cs="Times New Roman"/>
          <w:bCs/>
          <w:sz w:val="24"/>
          <w:szCs w:val="24"/>
        </w:rPr>
        <w:t xml:space="preserve"> house</w:t>
      </w:r>
      <w:proofErr w:type="spellEnd"/>
      <w:r w:rsidRPr="00B82E67">
        <w:rPr>
          <w:rFonts w:ascii="Times New Roman" w:hAnsi="Times New Roman" w:cs="Times New Roman"/>
          <w:bCs/>
          <w:sz w:val="24"/>
          <w:szCs w:val="24"/>
        </w:rPr>
        <w:t xml:space="preserve"> condition (20 – 25 ºC). After 28 </w:t>
      </w:r>
      <w:r w:rsidR="005068B9">
        <w:rPr>
          <w:rFonts w:ascii="Times New Roman" w:hAnsi="Times New Roman" w:cs="Times New Roman"/>
          <w:bCs/>
          <w:sz w:val="24"/>
          <w:szCs w:val="24"/>
        </w:rPr>
        <w:t>d</w:t>
      </w:r>
      <w:r w:rsidRPr="00B82E67">
        <w:rPr>
          <w:rFonts w:ascii="Times New Roman" w:hAnsi="Times New Roman" w:cs="Times New Roman"/>
          <w:bCs/>
          <w:sz w:val="24"/>
          <w:szCs w:val="24"/>
        </w:rPr>
        <w:t xml:space="preserve">, plants were harvested and roots were carefully separated from soil, washed with distilled water. </w:t>
      </w:r>
    </w:p>
    <w:p w:rsidR="003F2493" w:rsidRPr="00F85C2E" w:rsidRDefault="003F2493" w:rsidP="00B82E67">
      <w:pPr>
        <w:spacing w:after="0" w:line="240" w:lineRule="auto"/>
        <w:jc w:val="both"/>
        <w:rPr>
          <w:rFonts w:ascii="Times New Roman" w:hAnsi="Times New Roman" w:cs="Times New Roman"/>
          <w:b/>
          <w:sz w:val="24"/>
          <w:szCs w:val="24"/>
        </w:rPr>
      </w:pPr>
    </w:p>
    <w:p w:rsidR="00DF3F3B" w:rsidRPr="00B82E67" w:rsidRDefault="00DF3F3B" w:rsidP="00B82E67">
      <w:pPr>
        <w:spacing w:after="0" w:line="240" w:lineRule="auto"/>
        <w:jc w:val="both"/>
        <w:rPr>
          <w:rFonts w:ascii="Times New Roman" w:hAnsi="Times New Roman" w:cs="Times New Roman"/>
          <w:bCs/>
          <w:sz w:val="24"/>
          <w:szCs w:val="24"/>
        </w:rPr>
      </w:pPr>
      <w:r w:rsidRPr="00B82E67">
        <w:rPr>
          <w:rFonts w:ascii="Times New Roman" w:hAnsi="Times New Roman" w:cs="Times New Roman"/>
          <w:bCs/>
          <w:sz w:val="24"/>
          <w:szCs w:val="24"/>
        </w:rPr>
        <w:t xml:space="preserve">Root lengths of plants grown in control and spiked soils were measured in millimeter and averaged from triplicate pots. Relative growth (%RG) was calculated by comparing the root length in treated soils with that in respective control soils.  Dose – response curve was obtained by plotting soil total Hg concentrations and %RG and soil water soluble Hg concentration and %RG. Dose – response relation was analyzed by non – linear regression using four parametric logistic </w:t>
      </w:r>
      <w:proofErr w:type="gramStart"/>
      <w:r w:rsidRPr="00B82E67">
        <w:rPr>
          <w:rFonts w:ascii="Times New Roman" w:hAnsi="Times New Roman" w:cs="Times New Roman"/>
          <w:bCs/>
          <w:sz w:val="24"/>
          <w:szCs w:val="24"/>
        </w:rPr>
        <w:t>model</w:t>
      </w:r>
      <w:proofErr w:type="gramEnd"/>
      <w:r w:rsidRPr="00B82E67">
        <w:rPr>
          <w:rFonts w:ascii="Times New Roman" w:hAnsi="Times New Roman" w:cs="Times New Roman"/>
          <w:bCs/>
          <w:sz w:val="24"/>
          <w:szCs w:val="24"/>
        </w:rPr>
        <w:t xml:space="preserve"> to obtain 50% (EC</w:t>
      </w:r>
      <w:r w:rsidRPr="00B82E67">
        <w:rPr>
          <w:rFonts w:ascii="Times New Roman" w:hAnsi="Times New Roman" w:cs="Times New Roman"/>
          <w:bCs/>
          <w:sz w:val="24"/>
          <w:szCs w:val="24"/>
          <w:vertAlign w:val="subscript"/>
        </w:rPr>
        <w:t>50</w:t>
      </w:r>
      <w:r w:rsidRPr="00B82E67">
        <w:rPr>
          <w:rFonts w:ascii="Times New Roman" w:hAnsi="Times New Roman" w:cs="Times New Roman"/>
          <w:bCs/>
          <w:sz w:val="24"/>
          <w:szCs w:val="24"/>
        </w:rPr>
        <w:t>), 20% (EC</w:t>
      </w:r>
      <w:r w:rsidRPr="00B82E67">
        <w:rPr>
          <w:rFonts w:ascii="Times New Roman" w:hAnsi="Times New Roman" w:cs="Times New Roman"/>
          <w:bCs/>
          <w:sz w:val="24"/>
          <w:szCs w:val="24"/>
          <w:vertAlign w:val="subscript"/>
        </w:rPr>
        <w:t>20</w:t>
      </w:r>
      <w:r w:rsidRPr="00B82E67">
        <w:rPr>
          <w:rFonts w:ascii="Times New Roman" w:hAnsi="Times New Roman" w:cs="Times New Roman"/>
          <w:bCs/>
          <w:sz w:val="24"/>
          <w:szCs w:val="24"/>
        </w:rPr>
        <w:t>) and 10% (EC</w:t>
      </w:r>
      <w:r w:rsidRPr="00B82E67">
        <w:rPr>
          <w:rFonts w:ascii="Times New Roman" w:hAnsi="Times New Roman" w:cs="Times New Roman"/>
          <w:bCs/>
          <w:sz w:val="24"/>
          <w:szCs w:val="24"/>
          <w:vertAlign w:val="subscript"/>
        </w:rPr>
        <w:t>10</w:t>
      </w:r>
      <w:r w:rsidRPr="00B82E67">
        <w:rPr>
          <w:rFonts w:ascii="Times New Roman" w:hAnsi="Times New Roman" w:cs="Times New Roman"/>
          <w:bCs/>
          <w:sz w:val="24"/>
          <w:szCs w:val="24"/>
        </w:rPr>
        <w:t>) effects employing IBP SPSS 17 software. Where regression relation was not significant at 95% level, root elongation data were subjected to one – way analysis of variance (ANOVA) followed by Tukey’s post hoc analysis to observe any significant difference from control.</w:t>
      </w:r>
    </w:p>
    <w:p w:rsidR="00DF3F3B" w:rsidRPr="00B82E67" w:rsidRDefault="00DF3F3B" w:rsidP="00B82E67">
      <w:pPr>
        <w:spacing w:after="0" w:line="240" w:lineRule="auto"/>
        <w:jc w:val="both"/>
        <w:rPr>
          <w:rFonts w:ascii="Times New Roman" w:hAnsi="Times New Roman" w:cs="Times New Roman"/>
          <w:b/>
          <w:sz w:val="24"/>
          <w:szCs w:val="24"/>
        </w:rPr>
      </w:pPr>
    </w:p>
    <w:p w:rsidR="00DF3F3B" w:rsidRPr="00B82E67" w:rsidRDefault="00DF3F3B" w:rsidP="00B82E67">
      <w:pPr>
        <w:pStyle w:val="ListParagraph"/>
        <w:numPr>
          <w:ilvl w:val="0"/>
          <w:numId w:val="3"/>
        </w:num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Results and discussion</w:t>
      </w:r>
    </w:p>
    <w:p w:rsidR="00DF3F3B" w:rsidRDefault="00DF3F3B" w:rsidP="00B82E67">
      <w:pPr>
        <w:spacing w:after="0" w:line="240" w:lineRule="auto"/>
        <w:jc w:val="both"/>
        <w:rPr>
          <w:rFonts w:ascii="Times New Roman" w:hAnsi="Times New Roman" w:cs="Times New Roman"/>
          <w:bCs/>
          <w:sz w:val="24"/>
          <w:szCs w:val="24"/>
          <w:lang w:eastAsia="en-AU"/>
        </w:rPr>
      </w:pPr>
      <w:r w:rsidRPr="003F2493">
        <w:rPr>
          <w:rStyle w:val="Hyperlink"/>
          <w:rFonts w:ascii="Times New Roman" w:hAnsi="Times New Roman" w:cs="Times New Roman"/>
          <w:color w:val="auto"/>
          <w:sz w:val="24"/>
          <w:szCs w:val="24"/>
          <w:u w:val="none"/>
          <w:lang w:eastAsia="en-AU"/>
        </w:rPr>
        <w:t xml:space="preserve">The </w:t>
      </w:r>
      <w:proofErr w:type="spellStart"/>
      <w:r w:rsidRPr="003F2493">
        <w:rPr>
          <w:rStyle w:val="Hyperlink"/>
          <w:rFonts w:ascii="Times New Roman" w:hAnsi="Times New Roman" w:cs="Times New Roman"/>
          <w:color w:val="auto"/>
          <w:sz w:val="24"/>
          <w:szCs w:val="24"/>
          <w:u w:val="none"/>
          <w:lang w:eastAsia="en-AU"/>
        </w:rPr>
        <w:t>physico</w:t>
      </w:r>
      <w:proofErr w:type="spellEnd"/>
      <w:r w:rsidRPr="003F2493">
        <w:rPr>
          <w:rStyle w:val="Hyperlink"/>
          <w:rFonts w:ascii="Times New Roman" w:hAnsi="Times New Roman" w:cs="Times New Roman"/>
          <w:color w:val="auto"/>
          <w:sz w:val="24"/>
          <w:szCs w:val="24"/>
          <w:u w:val="none"/>
          <w:lang w:eastAsia="en-AU"/>
        </w:rPr>
        <w:t xml:space="preserve">-chemical properties of the experimental soils are presented in Table 1. </w:t>
      </w:r>
      <w:r w:rsidRPr="00B82E67">
        <w:rPr>
          <w:rFonts w:ascii="Times New Roman" w:hAnsi="Times New Roman" w:cs="Times New Roman"/>
          <w:bCs/>
          <w:sz w:val="24"/>
          <w:szCs w:val="24"/>
          <w:lang w:eastAsia="en-AU"/>
        </w:rPr>
        <w:t xml:space="preserve">S-1 and S-2 soils had neutral and alkaline </w:t>
      </w:r>
      <w:proofErr w:type="spellStart"/>
      <w:r w:rsidRPr="00B82E67">
        <w:rPr>
          <w:rFonts w:ascii="Times New Roman" w:hAnsi="Times New Roman" w:cs="Times New Roman"/>
          <w:bCs/>
          <w:sz w:val="24"/>
          <w:szCs w:val="24"/>
          <w:lang w:eastAsia="en-AU"/>
        </w:rPr>
        <w:t>pH.</w:t>
      </w:r>
      <w:proofErr w:type="spellEnd"/>
      <w:r w:rsidRPr="00B82E67">
        <w:rPr>
          <w:rFonts w:ascii="Times New Roman" w:hAnsi="Times New Roman" w:cs="Times New Roman"/>
          <w:bCs/>
          <w:sz w:val="24"/>
          <w:szCs w:val="24"/>
          <w:lang w:eastAsia="en-AU"/>
        </w:rPr>
        <w:t xml:space="preserve"> S-3 soil was different from the other two soils as it was much lower in pH (4.2) and higher in organic carbon content (4%). S-3 soil had the highest percentage of sand and lowest clay content compared to the other two soils. </w:t>
      </w:r>
    </w:p>
    <w:p w:rsidR="00DF3F3B" w:rsidRPr="001C5B47" w:rsidRDefault="00DF3F3B" w:rsidP="008B4948">
      <w:pPr>
        <w:spacing w:after="0" w:line="240" w:lineRule="auto"/>
        <w:jc w:val="both"/>
        <w:rPr>
          <w:rStyle w:val="Hyperlink"/>
          <w:rFonts w:ascii="Times New Roman" w:hAnsi="Times New Roman" w:cs="Times New Roman"/>
          <w:color w:val="auto"/>
          <w:sz w:val="20"/>
          <w:szCs w:val="20"/>
          <w:u w:val="none"/>
        </w:rPr>
      </w:pPr>
      <w:r w:rsidRPr="001C5B47">
        <w:rPr>
          <w:rStyle w:val="Hyperlink"/>
          <w:rFonts w:ascii="Times New Roman" w:hAnsi="Times New Roman" w:cs="Times New Roman"/>
          <w:color w:val="auto"/>
          <w:sz w:val="20"/>
          <w:szCs w:val="20"/>
          <w:u w:val="none"/>
        </w:rPr>
        <w:t>Table 1: Soil characteristics</w:t>
      </w:r>
    </w:p>
    <w:tbl>
      <w:tblPr>
        <w:tblW w:w="5000" w:type="pct"/>
        <w:jc w:val="center"/>
        <w:tblBorders>
          <w:top w:val="single" w:sz="4" w:space="0" w:color="auto"/>
          <w:bottom w:val="single" w:sz="4" w:space="0" w:color="auto"/>
        </w:tblBorders>
        <w:tblLook w:val="04A0" w:firstRow="1" w:lastRow="0" w:firstColumn="1" w:lastColumn="0" w:noHBand="0" w:noVBand="1"/>
      </w:tblPr>
      <w:tblGrid>
        <w:gridCol w:w="702"/>
        <w:gridCol w:w="980"/>
        <w:gridCol w:w="1233"/>
        <w:gridCol w:w="1015"/>
        <w:gridCol w:w="1174"/>
        <w:gridCol w:w="1279"/>
        <w:gridCol w:w="935"/>
        <w:gridCol w:w="909"/>
        <w:gridCol w:w="1015"/>
      </w:tblGrid>
      <w:tr w:rsidR="00DF3F3B" w:rsidRPr="004B34F8" w:rsidTr="00B049DC">
        <w:trPr>
          <w:trHeight w:val="300"/>
          <w:jc w:val="center"/>
        </w:trPr>
        <w:tc>
          <w:tcPr>
            <w:tcW w:w="379"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Soils</w:t>
            </w:r>
          </w:p>
        </w:tc>
        <w:tc>
          <w:tcPr>
            <w:tcW w:w="530"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pH</w:t>
            </w:r>
          </w:p>
        </w:tc>
        <w:tc>
          <w:tcPr>
            <w:tcW w:w="667"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EC (µs/cm)</w:t>
            </w:r>
          </w:p>
        </w:tc>
        <w:tc>
          <w:tcPr>
            <w:tcW w:w="549"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w:t>
            </w:r>
          </w:p>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WHC</w:t>
            </w:r>
          </w:p>
        </w:tc>
        <w:tc>
          <w:tcPr>
            <w:tcW w:w="635"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w:t>
            </w:r>
          </w:p>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TOC</w:t>
            </w:r>
          </w:p>
        </w:tc>
        <w:tc>
          <w:tcPr>
            <w:tcW w:w="692"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w:t>
            </w:r>
          </w:p>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N</w:t>
            </w:r>
          </w:p>
        </w:tc>
        <w:tc>
          <w:tcPr>
            <w:tcW w:w="506"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 Sand</w:t>
            </w:r>
          </w:p>
        </w:tc>
        <w:tc>
          <w:tcPr>
            <w:tcW w:w="492"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 Silt</w:t>
            </w:r>
          </w:p>
        </w:tc>
        <w:tc>
          <w:tcPr>
            <w:tcW w:w="549" w:type="pct"/>
            <w:tcBorders>
              <w:top w:val="single" w:sz="4" w:space="0" w:color="auto"/>
              <w:bottom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
                <w:bCs/>
                <w:sz w:val="20"/>
                <w:szCs w:val="20"/>
                <w:lang w:eastAsia="en-AU"/>
              </w:rPr>
            </w:pPr>
            <w:r w:rsidRPr="004B34F8">
              <w:rPr>
                <w:rFonts w:ascii="Times New Roman" w:hAnsi="Times New Roman" w:cs="Times New Roman"/>
                <w:b/>
                <w:bCs/>
                <w:sz w:val="20"/>
                <w:szCs w:val="20"/>
                <w:lang w:eastAsia="en-AU"/>
              </w:rPr>
              <w:t>% Clay</w:t>
            </w:r>
          </w:p>
        </w:tc>
      </w:tr>
      <w:tr w:rsidR="00DF3F3B" w:rsidRPr="004B34F8" w:rsidTr="00B049DC">
        <w:trPr>
          <w:trHeight w:val="300"/>
          <w:jc w:val="center"/>
        </w:trPr>
        <w:tc>
          <w:tcPr>
            <w:tcW w:w="379"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S-1</w:t>
            </w:r>
          </w:p>
        </w:tc>
        <w:tc>
          <w:tcPr>
            <w:tcW w:w="530" w:type="pct"/>
            <w:tcBorders>
              <w:top w:val="single" w:sz="4" w:space="0" w:color="auto"/>
            </w:tcBorders>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7.6</w:t>
            </w:r>
          </w:p>
        </w:tc>
        <w:tc>
          <w:tcPr>
            <w:tcW w:w="667" w:type="pct"/>
            <w:tcBorders>
              <w:top w:val="single" w:sz="4" w:space="0" w:color="auto"/>
            </w:tcBorders>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323</w:t>
            </w:r>
          </w:p>
        </w:tc>
        <w:tc>
          <w:tcPr>
            <w:tcW w:w="549"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42</w:t>
            </w:r>
          </w:p>
        </w:tc>
        <w:tc>
          <w:tcPr>
            <w:tcW w:w="635"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2.07</w:t>
            </w:r>
          </w:p>
        </w:tc>
        <w:tc>
          <w:tcPr>
            <w:tcW w:w="692"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0.23</w:t>
            </w:r>
          </w:p>
        </w:tc>
        <w:tc>
          <w:tcPr>
            <w:tcW w:w="506"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51</w:t>
            </w:r>
          </w:p>
        </w:tc>
        <w:tc>
          <w:tcPr>
            <w:tcW w:w="492"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36</w:t>
            </w:r>
          </w:p>
        </w:tc>
        <w:tc>
          <w:tcPr>
            <w:tcW w:w="549" w:type="pct"/>
            <w:tcBorders>
              <w:top w:val="single" w:sz="4" w:space="0" w:color="auto"/>
            </w:tcBorders>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13</w:t>
            </w:r>
          </w:p>
        </w:tc>
      </w:tr>
      <w:tr w:rsidR="00DF3F3B" w:rsidRPr="004B34F8" w:rsidTr="00B049DC">
        <w:trPr>
          <w:trHeight w:val="300"/>
          <w:jc w:val="center"/>
        </w:trPr>
        <w:tc>
          <w:tcPr>
            <w:tcW w:w="37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lastRenderedPageBreak/>
              <w:t>S-2</w:t>
            </w:r>
          </w:p>
        </w:tc>
        <w:tc>
          <w:tcPr>
            <w:tcW w:w="530" w:type="pct"/>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8.5</w:t>
            </w:r>
          </w:p>
        </w:tc>
        <w:tc>
          <w:tcPr>
            <w:tcW w:w="667" w:type="pct"/>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232</w:t>
            </w:r>
          </w:p>
        </w:tc>
        <w:tc>
          <w:tcPr>
            <w:tcW w:w="54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39</w:t>
            </w:r>
          </w:p>
        </w:tc>
        <w:tc>
          <w:tcPr>
            <w:tcW w:w="635"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2.2</w:t>
            </w:r>
          </w:p>
        </w:tc>
        <w:tc>
          <w:tcPr>
            <w:tcW w:w="692"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0.22</w:t>
            </w:r>
          </w:p>
        </w:tc>
        <w:tc>
          <w:tcPr>
            <w:tcW w:w="506"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42</w:t>
            </w:r>
          </w:p>
        </w:tc>
        <w:tc>
          <w:tcPr>
            <w:tcW w:w="492"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44</w:t>
            </w:r>
          </w:p>
        </w:tc>
        <w:tc>
          <w:tcPr>
            <w:tcW w:w="54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14</w:t>
            </w:r>
          </w:p>
        </w:tc>
      </w:tr>
      <w:tr w:rsidR="00DF3F3B" w:rsidRPr="004B34F8" w:rsidTr="00B049DC">
        <w:trPr>
          <w:trHeight w:val="111"/>
          <w:jc w:val="center"/>
        </w:trPr>
        <w:tc>
          <w:tcPr>
            <w:tcW w:w="37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S-3</w:t>
            </w:r>
          </w:p>
        </w:tc>
        <w:tc>
          <w:tcPr>
            <w:tcW w:w="530" w:type="pct"/>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4.2</w:t>
            </w:r>
          </w:p>
        </w:tc>
        <w:tc>
          <w:tcPr>
            <w:tcW w:w="667" w:type="pct"/>
            <w:shd w:val="clear" w:color="auto" w:fill="auto"/>
            <w:noWrap/>
            <w:hideMark/>
          </w:tcPr>
          <w:p w:rsidR="00DF3F3B" w:rsidRPr="004B34F8" w:rsidRDefault="00DF3F3B" w:rsidP="00B049DC">
            <w:pPr>
              <w:spacing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52</w:t>
            </w:r>
          </w:p>
        </w:tc>
        <w:tc>
          <w:tcPr>
            <w:tcW w:w="54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28</w:t>
            </w:r>
          </w:p>
        </w:tc>
        <w:tc>
          <w:tcPr>
            <w:tcW w:w="635"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4.0</w:t>
            </w:r>
          </w:p>
        </w:tc>
        <w:tc>
          <w:tcPr>
            <w:tcW w:w="692"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0.24</w:t>
            </w:r>
          </w:p>
        </w:tc>
        <w:tc>
          <w:tcPr>
            <w:tcW w:w="506"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89</w:t>
            </w:r>
          </w:p>
        </w:tc>
        <w:tc>
          <w:tcPr>
            <w:tcW w:w="492"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9</w:t>
            </w:r>
          </w:p>
        </w:tc>
        <w:tc>
          <w:tcPr>
            <w:tcW w:w="549" w:type="pct"/>
            <w:shd w:val="clear" w:color="auto" w:fill="auto"/>
            <w:noWrap/>
            <w:hideMark/>
          </w:tcPr>
          <w:p w:rsidR="00DF3F3B" w:rsidRPr="004B34F8" w:rsidRDefault="00DF3F3B" w:rsidP="00B049DC">
            <w:pPr>
              <w:spacing w:after="0" w:line="240" w:lineRule="auto"/>
              <w:jc w:val="both"/>
              <w:rPr>
                <w:rFonts w:ascii="Times New Roman" w:hAnsi="Times New Roman" w:cs="Times New Roman"/>
                <w:bCs/>
                <w:sz w:val="20"/>
                <w:szCs w:val="20"/>
                <w:lang w:eastAsia="en-AU"/>
              </w:rPr>
            </w:pPr>
            <w:r w:rsidRPr="004B34F8">
              <w:rPr>
                <w:rFonts w:ascii="Times New Roman" w:hAnsi="Times New Roman" w:cs="Times New Roman"/>
                <w:bCs/>
                <w:sz w:val="20"/>
                <w:szCs w:val="20"/>
                <w:lang w:eastAsia="en-AU"/>
              </w:rPr>
              <w:t>2</w:t>
            </w:r>
          </w:p>
        </w:tc>
      </w:tr>
    </w:tbl>
    <w:p w:rsidR="00DF3F3B" w:rsidRDefault="00DF3F3B" w:rsidP="00434325">
      <w:pPr>
        <w:spacing w:after="0" w:line="240" w:lineRule="auto"/>
        <w:jc w:val="both"/>
        <w:rPr>
          <w:rStyle w:val="Hyperlink"/>
          <w:rFonts w:ascii="Times New Roman" w:hAnsi="Times New Roman" w:cs="Times New Roman"/>
          <w:color w:val="auto"/>
          <w:sz w:val="16"/>
          <w:szCs w:val="20"/>
          <w:u w:val="none"/>
        </w:rPr>
      </w:pPr>
      <w:r w:rsidRPr="001C5B47">
        <w:rPr>
          <w:rStyle w:val="Hyperlink"/>
          <w:rFonts w:ascii="Times New Roman" w:hAnsi="Times New Roman" w:cs="Times New Roman"/>
          <w:color w:val="auto"/>
          <w:sz w:val="16"/>
          <w:szCs w:val="20"/>
          <w:highlight w:val="yellow"/>
          <w:u w:val="none"/>
        </w:rPr>
        <w:t>Values are represented as mean (n=4), standard deviations were &lt;10% of the mean value</w:t>
      </w:r>
      <w:r w:rsidR="00434325" w:rsidRPr="001C5B47">
        <w:rPr>
          <w:rStyle w:val="Hyperlink"/>
          <w:rFonts w:ascii="Times New Roman" w:hAnsi="Times New Roman" w:cs="Times New Roman"/>
          <w:color w:val="auto"/>
          <w:sz w:val="16"/>
          <w:szCs w:val="20"/>
          <w:highlight w:val="yellow"/>
          <w:u w:val="none"/>
        </w:rPr>
        <w:t>; EC – electrical conductivity, WHC- water holding capacity, TOC- total organic carbon, N- nitrogen</w:t>
      </w:r>
    </w:p>
    <w:p w:rsidR="00434325" w:rsidRPr="00434325" w:rsidRDefault="00434325" w:rsidP="00434325">
      <w:pPr>
        <w:spacing w:after="0" w:line="240" w:lineRule="auto"/>
        <w:jc w:val="both"/>
        <w:rPr>
          <w:rStyle w:val="Hyperlink"/>
          <w:rFonts w:ascii="Times New Roman" w:hAnsi="Times New Roman" w:cs="Times New Roman"/>
          <w:color w:val="auto"/>
          <w:sz w:val="20"/>
          <w:szCs w:val="20"/>
          <w:u w:val="none"/>
        </w:rPr>
      </w:pPr>
    </w:p>
    <w:p w:rsidR="003F2493" w:rsidRDefault="00DF3F3B" w:rsidP="00B82E67">
      <w:pPr>
        <w:spacing w:after="0" w:line="240" w:lineRule="auto"/>
        <w:jc w:val="both"/>
        <w:rPr>
          <w:rFonts w:ascii="Times New Roman" w:hAnsi="Times New Roman" w:cs="Times New Roman"/>
          <w:sz w:val="24"/>
          <w:szCs w:val="24"/>
        </w:rPr>
      </w:pPr>
      <w:r w:rsidRPr="003F2493">
        <w:rPr>
          <w:rStyle w:val="Hyperlink"/>
          <w:rFonts w:ascii="Times New Roman" w:hAnsi="Times New Roman" w:cs="Times New Roman"/>
          <w:color w:val="auto"/>
          <w:sz w:val="24"/>
          <w:szCs w:val="24"/>
          <w:u w:val="none"/>
          <w:lang w:eastAsia="en-AU"/>
        </w:rPr>
        <w:t xml:space="preserve">Total Hg content after 90 </w:t>
      </w:r>
      <w:r w:rsidR="005068B9">
        <w:rPr>
          <w:rStyle w:val="Hyperlink"/>
          <w:rFonts w:ascii="Times New Roman" w:hAnsi="Times New Roman" w:cs="Times New Roman"/>
          <w:color w:val="auto"/>
          <w:sz w:val="24"/>
          <w:szCs w:val="24"/>
          <w:u w:val="none"/>
          <w:lang w:eastAsia="en-AU"/>
        </w:rPr>
        <w:t>d</w:t>
      </w:r>
      <w:r w:rsidRPr="003F2493">
        <w:rPr>
          <w:rStyle w:val="Hyperlink"/>
          <w:rFonts w:ascii="Times New Roman" w:hAnsi="Times New Roman" w:cs="Times New Roman"/>
          <w:color w:val="auto"/>
          <w:sz w:val="24"/>
          <w:szCs w:val="24"/>
          <w:u w:val="none"/>
          <w:lang w:eastAsia="en-AU"/>
        </w:rPr>
        <w:t xml:space="preserve"> of aging in spiked soils varied from 0.2 to 644 mg/kg (80 to 120% recovery, Table 2). The concentrations of total Hg in three control soils with no Hg spiking were ~0.5 mg/kg which is similar to background concentration of Hg in soil. Recovery of total Hg in all three spiked soils was almost 90 - 100%. The water soluble fraction of Hg in experimental soils varied from 0.05% to 1.5% of the total spiked amount (Table 2). In the present investigation, the water soluble Hg portion in S-3 soils was found approximately 2 to 3 times lower than the water soluble Hg fraction in other soils spiked with 50 mg kg</w:t>
      </w:r>
      <w:r w:rsidRPr="003F2493">
        <w:rPr>
          <w:rStyle w:val="Hyperlink"/>
          <w:rFonts w:ascii="Times New Roman" w:hAnsi="Times New Roman" w:cs="Times New Roman"/>
          <w:color w:val="auto"/>
          <w:sz w:val="24"/>
          <w:szCs w:val="24"/>
          <w:u w:val="none"/>
          <w:vertAlign w:val="superscript"/>
          <w:lang w:eastAsia="en-AU"/>
        </w:rPr>
        <w:t>-1</w:t>
      </w:r>
      <w:r w:rsidRPr="003F2493">
        <w:rPr>
          <w:rStyle w:val="Hyperlink"/>
          <w:rFonts w:ascii="Times New Roman" w:hAnsi="Times New Roman" w:cs="Times New Roman"/>
          <w:color w:val="auto"/>
          <w:sz w:val="24"/>
          <w:szCs w:val="24"/>
          <w:u w:val="none"/>
          <w:lang w:eastAsia="en-AU"/>
        </w:rPr>
        <w:t xml:space="preserve"> to 500 mg/kg. </w:t>
      </w:r>
      <w:proofErr w:type="spellStart"/>
      <w:r w:rsidRPr="00B82E67">
        <w:rPr>
          <w:rFonts w:ascii="Times New Roman" w:hAnsi="Times New Roman" w:cs="Times New Roman"/>
          <w:sz w:val="24"/>
          <w:szCs w:val="24"/>
        </w:rPr>
        <w:t>Hg</w:t>
      </w:r>
      <w:proofErr w:type="spellEnd"/>
      <w:r w:rsidRPr="00B82E67">
        <w:rPr>
          <w:rFonts w:ascii="Times New Roman" w:hAnsi="Times New Roman" w:cs="Times New Roman"/>
          <w:sz w:val="24"/>
          <w:szCs w:val="24"/>
        </w:rPr>
        <w:t xml:space="preserve"> has high affinity to soil organic matter which results in decreased solubility of Hg in soil, especially in acidic soil </w:t>
      </w:r>
      <w:r w:rsidRPr="003F2493">
        <w:rPr>
          <w:rStyle w:val="Hyperlink"/>
          <w:rFonts w:ascii="Times New Roman" w:hAnsi="Times New Roman" w:cs="Times New Roman"/>
          <w:noProof/>
          <w:color w:val="auto"/>
          <w:sz w:val="24"/>
          <w:szCs w:val="24"/>
          <w:u w:val="none"/>
          <w:lang w:eastAsia="en-AU"/>
        </w:rPr>
        <w:t>(Busto et al. 2012; Neculita et al. 2005; Reis et al. 2014)</w:t>
      </w:r>
      <w:r w:rsidRPr="003F2493">
        <w:rPr>
          <w:rFonts w:ascii="Times New Roman" w:hAnsi="Times New Roman" w:cs="Times New Roman"/>
          <w:sz w:val="24"/>
          <w:szCs w:val="24"/>
        </w:rPr>
        <w:t>.</w:t>
      </w:r>
      <w:r w:rsidRPr="00B82E67">
        <w:rPr>
          <w:rFonts w:ascii="Times New Roman" w:hAnsi="Times New Roman" w:cs="Times New Roman"/>
          <w:sz w:val="24"/>
          <w:szCs w:val="24"/>
        </w:rPr>
        <w:t xml:space="preserve"> In this study, the lower water extractable fraction of Hg in acidic higher organic carbon containing S-3 soil is consistent with other researcher’s findings </w:t>
      </w:r>
      <w:r>
        <w:rPr>
          <w:rFonts w:ascii="Times New Roman" w:hAnsi="Times New Roman" w:cs="Times New Roman"/>
          <w:noProof/>
          <w:sz w:val="24"/>
          <w:szCs w:val="24"/>
        </w:rPr>
        <w:t>(Gu et al. 2011; Skyllberg et al. 2006)</w:t>
      </w:r>
      <w:r w:rsidRPr="00B82E67">
        <w:rPr>
          <w:rFonts w:ascii="Times New Roman" w:hAnsi="Times New Roman" w:cs="Times New Roman"/>
          <w:sz w:val="24"/>
          <w:szCs w:val="24"/>
        </w:rPr>
        <w:t xml:space="preserve">. </w:t>
      </w:r>
    </w:p>
    <w:p w:rsidR="003F2493" w:rsidRDefault="003F2493" w:rsidP="00B82E67">
      <w:pPr>
        <w:spacing w:after="0" w:line="240" w:lineRule="auto"/>
        <w:jc w:val="both"/>
        <w:rPr>
          <w:rFonts w:ascii="Times New Roman" w:hAnsi="Times New Roman" w:cs="Times New Roman"/>
          <w:sz w:val="24"/>
          <w:szCs w:val="24"/>
        </w:rPr>
      </w:pPr>
    </w:p>
    <w:p w:rsidR="00DF3F3B" w:rsidRPr="00845572" w:rsidRDefault="00DF3F3B" w:rsidP="008B4948">
      <w:pPr>
        <w:spacing w:after="0" w:line="240" w:lineRule="auto"/>
        <w:jc w:val="both"/>
        <w:rPr>
          <w:rStyle w:val="Hyperlink"/>
          <w:rFonts w:ascii="Times New Roman" w:hAnsi="Times New Roman" w:cs="Times New Roman"/>
          <w:color w:val="auto"/>
          <w:sz w:val="20"/>
          <w:szCs w:val="20"/>
          <w:u w:val="none"/>
        </w:rPr>
      </w:pPr>
      <w:r w:rsidRPr="00845572">
        <w:rPr>
          <w:rStyle w:val="Hyperlink"/>
          <w:rFonts w:ascii="Times New Roman" w:hAnsi="Times New Roman" w:cs="Times New Roman"/>
          <w:color w:val="auto"/>
          <w:sz w:val="20"/>
          <w:szCs w:val="20"/>
          <w:u w:val="none"/>
        </w:rPr>
        <w:t>Table 2:  Recovery of total and water extractable mercury from mercury spiked soil samples</w:t>
      </w:r>
    </w:p>
    <w:tbl>
      <w:tblPr>
        <w:tblW w:w="5000" w:type="pct"/>
        <w:tblBorders>
          <w:top w:val="single" w:sz="4" w:space="0" w:color="auto"/>
          <w:bottom w:val="single" w:sz="4" w:space="0" w:color="auto"/>
        </w:tblBorders>
        <w:tblLook w:val="04A0" w:firstRow="1" w:lastRow="0" w:firstColumn="1" w:lastColumn="0" w:noHBand="0" w:noVBand="1"/>
      </w:tblPr>
      <w:tblGrid>
        <w:gridCol w:w="943"/>
        <w:gridCol w:w="1372"/>
        <w:gridCol w:w="1543"/>
        <w:gridCol w:w="1261"/>
        <w:gridCol w:w="1543"/>
        <w:gridCol w:w="1118"/>
        <w:gridCol w:w="1462"/>
      </w:tblGrid>
      <w:tr w:rsidR="00DF3F3B" w:rsidRPr="00121EF8" w:rsidTr="008B4948">
        <w:trPr>
          <w:trHeight w:val="71"/>
        </w:trPr>
        <w:tc>
          <w:tcPr>
            <w:tcW w:w="510" w:type="pct"/>
            <w:vMerge w:val="restart"/>
            <w:tcBorders>
              <w:top w:val="single" w:sz="4" w:space="0" w:color="auto"/>
              <w:bottom w:val="nil"/>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Spiked Hg</w:t>
            </w:r>
            <w:r w:rsidR="00845572">
              <w:rPr>
                <w:rFonts w:ascii="Times New Roman" w:eastAsia="Times New Roman" w:hAnsi="Times New Roman" w:cs="Times New Roman"/>
                <w:b/>
                <w:color w:val="000000"/>
                <w:sz w:val="18"/>
                <w:szCs w:val="18"/>
                <w:lang w:eastAsia="en-AU"/>
              </w:rPr>
              <w:t xml:space="preserve"> </w:t>
            </w:r>
            <w:r w:rsidR="00845572" w:rsidRPr="00AD1C70">
              <w:rPr>
                <w:rFonts w:ascii="Times New Roman" w:eastAsia="Times New Roman" w:hAnsi="Times New Roman" w:cs="Times New Roman"/>
                <w:b/>
                <w:color w:val="000000"/>
                <w:sz w:val="18"/>
                <w:szCs w:val="18"/>
                <w:lang w:eastAsia="en-AU"/>
              </w:rPr>
              <w:t>(mg/L)</w:t>
            </w:r>
          </w:p>
        </w:tc>
        <w:tc>
          <w:tcPr>
            <w:tcW w:w="1577" w:type="pct"/>
            <w:gridSpan w:val="2"/>
            <w:tcBorders>
              <w:top w:val="single" w:sz="4" w:space="0" w:color="auto"/>
              <w:bottom w:val="single" w:sz="4" w:space="0" w:color="auto"/>
            </w:tcBorders>
            <w:shd w:val="clear" w:color="auto" w:fill="auto"/>
            <w:noWrap/>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Soil 1 (S-1)</w:t>
            </w:r>
          </w:p>
        </w:tc>
        <w:tc>
          <w:tcPr>
            <w:tcW w:w="1517" w:type="pct"/>
            <w:gridSpan w:val="2"/>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Soil 2 (S-2)</w:t>
            </w:r>
          </w:p>
        </w:tc>
        <w:tc>
          <w:tcPr>
            <w:tcW w:w="1396" w:type="pct"/>
            <w:gridSpan w:val="2"/>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Soil 3 (S-3)</w:t>
            </w:r>
          </w:p>
        </w:tc>
      </w:tr>
      <w:tr w:rsidR="00DF3F3B" w:rsidRPr="00121EF8" w:rsidTr="008B4948">
        <w:trPr>
          <w:trHeight w:val="359"/>
        </w:trPr>
        <w:tc>
          <w:tcPr>
            <w:tcW w:w="510" w:type="pct"/>
            <w:vMerge/>
            <w:tcBorders>
              <w:top w:val="nil"/>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p>
        </w:tc>
        <w:tc>
          <w:tcPr>
            <w:tcW w:w="742" w:type="pct"/>
            <w:tcBorders>
              <w:top w:val="single" w:sz="4" w:space="0" w:color="auto"/>
              <w:bottom w:val="single" w:sz="4" w:space="0" w:color="auto"/>
            </w:tcBorders>
            <w:shd w:val="clear" w:color="auto" w:fill="auto"/>
            <w:noWrap/>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 xml:space="preserve">Total </w:t>
            </w:r>
            <w:r w:rsidRPr="00121EF8">
              <w:rPr>
                <w:rFonts w:ascii="Times New Roman" w:hAnsi="Times New Roman" w:cs="Times New Roman"/>
                <w:b/>
                <w:bCs/>
                <w:sz w:val="18"/>
                <w:szCs w:val="18"/>
              </w:rPr>
              <w:t>(mg/kg)</w:t>
            </w:r>
          </w:p>
        </w:tc>
        <w:tc>
          <w:tcPr>
            <w:tcW w:w="835" w:type="pct"/>
            <w:tcBorders>
              <w:top w:val="single" w:sz="4" w:space="0" w:color="auto"/>
              <w:bottom w:val="single" w:sz="4" w:space="0" w:color="auto"/>
            </w:tcBorders>
            <w:shd w:val="clear" w:color="auto" w:fill="auto"/>
            <w:noWrap/>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H</w:t>
            </w:r>
            <w:r w:rsidRPr="00121EF8">
              <w:rPr>
                <w:rFonts w:ascii="Times New Roman" w:eastAsia="Times New Roman" w:hAnsi="Times New Roman" w:cs="Times New Roman"/>
                <w:b/>
                <w:color w:val="000000"/>
                <w:sz w:val="18"/>
                <w:szCs w:val="18"/>
                <w:vertAlign w:val="subscript"/>
                <w:lang w:eastAsia="en-AU"/>
              </w:rPr>
              <w:t>2</w:t>
            </w:r>
            <w:r w:rsidRPr="00121EF8">
              <w:rPr>
                <w:rFonts w:ascii="Times New Roman" w:eastAsia="Times New Roman" w:hAnsi="Times New Roman" w:cs="Times New Roman"/>
                <w:b/>
                <w:color w:val="000000"/>
                <w:sz w:val="18"/>
                <w:szCs w:val="18"/>
                <w:lang w:eastAsia="en-AU"/>
              </w:rPr>
              <w:t>O extract</w:t>
            </w:r>
          </w:p>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hAnsi="Times New Roman" w:cs="Times New Roman"/>
                <w:b/>
                <w:sz w:val="18"/>
                <w:szCs w:val="18"/>
              </w:rPr>
              <w:t>(mg/kg)</w:t>
            </w:r>
          </w:p>
        </w:tc>
        <w:tc>
          <w:tcPr>
            <w:tcW w:w="682" w:type="pct"/>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 xml:space="preserve">Total </w:t>
            </w:r>
            <w:r w:rsidRPr="00121EF8">
              <w:rPr>
                <w:rFonts w:ascii="Times New Roman" w:hAnsi="Times New Roman" w:cs="Times New Roman"/>
                <w:b/>
                <w:bCs/>
                <w:sz w:val="18"/>
                <w:szCs w:val="18"/>
              </w:rPr>
              <w:t>(mg/kg)</w:t>
            </w:r>
          </w:p>
        </w:tc>
        <w:tc>
          <w:tcPr>
            <w:tcW w:w="835" w:type="pct"/>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H</w:t>
            </w:r>
            <w:r w:rsidRPr="00121EF8">
              <w:rPr>
                <w:rFonts w:ascii="Times New Roman" w:eastAsia="Times New Roman" w:hAnsi="Times New Roman" w:cs="Times New Roman"/>
                <w:b/>
                <w:color w:val="000000"/>
                <w:sz w:val="18"/>
                <w:szCs w:val="18"/>
                <w:vertAlign w:val="subscript"/>
                <w:lang w:eastAsia="en-AU"/>
              </w:rPr>
              <w:t>2</w:t>
            </w:r>
            <w:r w:rsidRPr="00121EF8">
              <w:rPr>
                <w:rFonts w:ascii="Times New Roman" w:eastAsia="Times New Roman" w:hAnsi="Times New Roman" w:cs="Times New Roman"/>
                <w:b/>
                <w:color w:val="000000"/>
                <w:sz w:val="18"/>
                <w:szCs w:val="18"/>
                <w:lang w:eastAsia="en-AU"/>
              </w:rPr>
              <w:t>O extract</w:t>
            </w:r>
          </w:p>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hAnsi="Times New Roman" w:cs="Times New Roman"/>
                <w:b/>
                <w:sz w:val="18"/>
                <w:szCs w:val="18"/>
              </w:rPr>
              <w:t>(mg/kg)</w:t>
            </w:r>
          </w:p>
        </w:tc>
        <w:tc>
          <w:tcPr>
            <w:tcW w:w="605" w:type="pct"/>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 xml:space="preserve">Total </w:t>
            </w:r>
            <w:r w:rsidRPr="00121EF8">
              <w:rPr>
                <w:rFonts w:ascii="Times New Roman" w:hAnsi="Times New Roman" w:cs="Times New Roman"/>
                <w:b/>
                <w:bCs/>
                <w:sz w:val="18"/>
                <w:szCs w:val="18"/>
              </w:rPr>
              <w:t>(mg/kg)</w:t>
            </w:r>
          </w:p>
        </w:tc>
        <w:tc>
          <w:tcPr>
            <w:tcW w:w="791" w:type="pct"/>
            <w:tcBorders>
              <w:top w:val="single" w:sz="4" w:space="0" w:color="auto"/>
              <w:bottom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eastAsia="Times New Roman" w:hAnsi="Times New Roman" w:cs="Times New Roman"/>
                <w:b/>
                <w:color w:val="000000"/>
                <w:sz w:val="18"/>
                <w:szCs w:val="18"/>
                <w:lang w:eastAsia="en-AU"/>
              </w:rPr>
              <w:t>H</w:t>
            </w:r>
            <w:r w:rsidRPr="00121EF8">
              <w:rPr>
                <w:rFonts w:ascii="Times New Roman" w:eastAsia="Times New Roman" w:hAnsi="Times New Roman" w:cs="Times New Roman"/>
                <w:b/>
                <w:color w:val="000000"/>
                <w:sz w:val="18"/>
                <w:szCs w:val="18"/>
                <w:vertAlign w:val="subscript"/>
                <w:lang w:eastAsia="en-AU"/>
              </w:rPr>
              <w:t>2</w:t>
            </w:r>
            <w:r w:rsidRPr="00121EF8">
              <w:rPr>
                <w:rFonts w:ascii="Times New Roman" w:eastAsia="Times New Roman" w:hAnsi="Times New Roman" w:cs="Times New Roman"/>
                <w:b/>
                <w:color w:val="000000"/>
                <w:sz w:val="18"/>
                <w:szCs w:val="18"/>
                <w:lang w:eastAsia="en-AU"/>
              </w:rPr>
              <w:t>O extract</w:t>
            </w:r>
          </w:p>
          <w:p w:rsidR="00DF3F3B" w:rsidRPr="00121EF8" w:rsidRDefault="00DF3F3B" w:rsidP="00B049DC">
            <w:pPr>
              <w:spacing w:after="0" w:line="240" w:lineRule="auto"/>
              <w:jc w:val="both"/>
              <w:rPr>
                <w:rFonts w:ascii="Times New Roman" w:eastAsia="Times New Roman" w:hAnsi="Times New Roman" w:cs="Times New Roman"/>
                <w:b/>
                <w:color w:val="000000"/>
                <w:sz w:val="18"/>
                <w:szCs w:val="18"/>
                <w:lang w:eastAsia="en-AU"/>
              </w:rPr>
            </w:pPr>
            <w:r w:rsidRPr="00121EF8">
              <w:rPr>
                <w:rFonts w:ascii="Times New Roman" w:hAnsi="Times New Roman" w:cs="Times New Roman"/>
                <w:b/>
                <w:sz w:val="18"/>
                <w:szCs w:val="18"/>
              </w:rPr>
              <w:t>(mg/kg)</w:t>
            </w:r>
          </w:p>
        </w:tc>
      </w:tr>
      <w:tr w:rsidR="00DF3F3B" w:rsidRPr="00121EF8" w:rsidTr="00B049DC">
        <w:trPr>
          <w:trHeight w:val="315"/>
        </w:trPr>
        <w:tc>
          <w:tcPr>
            <w:tcW w:w="510" w:type="pct"/>
            <w:tcBorders>
              <w:top w:val="single" w:sz="4" w:space="0" w:color="auto"/>
            </w:tcBorders>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w:t>
            </w:r>
          </w:p>
        </w:tc>
        <w:tc>
          <w:tcPr>
            <w:tcW w:w="742" w:type="pct"/>
            <w:tcBorders>
              <w:top w:val="single" w:sz="4" w:space="0" w:color="auto"/>
            </w:tcBorders>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0.6</w:t>
            </w:r>
          </w:p>
        </w:tc>
        <w:tc>
          <w:tcPr>
            <w:tcW w:w="835" w:type="pct"/>
            <w:tcBorders>
              <w:top w:val="single" w:sz="4" w:space="0" w:color="auto"/>
            </w:tcBorders>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0.025</w:t>
            </w:r>
          </w:p>
        </w:tc>
        <w:tc>
          <w:tcPr>
            <w:tcW w:w="682" w:type="pct"/>
            <w:tcBorders>
              <w:top w:val="single" w:sz="4" w:space="0" w:color="auto"/>
            </w:tcBorders>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0.2</w:t>
            </w:r>
          </w:p>
        </w:tc>
        <w:tc>
          <w:tcPr>
            <w:tcW w:w="835" w:type="pct"/>
            <w:tcBorders>
              <w:top w:val="single" w:sz="4" w:space="0" w:color="auto"/>
            </w:tcBorders>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0.002</w:t>
            </w:r>
          </w:p>
        </w:tc>
        <w:tc>
          <w:tcPr>
            <w:tcW w:w="605" w:type="pct"/>
            <w:tcBorders>
              <w:top w:val="single" w:sz="4" w:space="0" w:color="auto"/>
            </w:tcBorders>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0.28</w:t>
            </w:r>
          </w:p>
        </w:tc>
        <w:tc>
          <w:tcPr>
            <w:tcW w:w="791" w:type="pct"/>
            <w:tcBorders>
              <w:top w:val="single" w:sz="4" w:space="0" w:color="auto"/>
            </w:tcBorders>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0.018</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5</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5.9</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0.082</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4.4</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0.074</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5.3</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0.073</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9.9</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0.089</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9.7</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0.156</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10.4</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0.158</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50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54.3</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0.55</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53.9</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0.675</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52.6</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0.285</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100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98.1</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0.641</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113.9</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0.728</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111.6</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0.26</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150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124.1</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0.773</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130.1</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0.873</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135.8</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0.317</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200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172.7</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1.101</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175.9</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0.904</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170.5</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0.540</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250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225.8</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1.382</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218.5</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0.941</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228.1</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0.640</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300</w:t>
            </w:r>
          </w:p>
        </w:tc>
        <w:tc>
          <w:tcPr>
            <w:tcW w:w="742"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268.6</w:t>
            </w:r>
          </w:p>
        </w:tc>
        <w:tc>
          <w:tcPr>
            <w:tcW w:w="835" w:type="pct"/>
            <w:shd w:val="clear" w:color="auto" w:fill="auto"/>
            <w:noWrap/>
            <w:hideMark/>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1.711</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261.2</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1.031</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265.2</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0.805</w:t>
            </w:r>
          </w:p>
        </w:tc>
      </w:tr>
      <w:tr w:rsidR="00DF3F3B" w:rsidRPr="00121EF8" w:rsidTr="00B049DC">
        <w:trPr>
          <w:trHeight w:val="315"/>
        </w:trPr>
        <w:tc>
          <w:tcPr>
            <w:tcW w:w="510" w:type="pct"/>
            <w:shd w:val="clear" w:color="auto" w:fill="auto"/>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500</w:t>
            </w:r>
          </w:p>
        </w:tc>
        <w:tc>
          <w:tcPr>
            <w:tcW w:w="742" w:type="pct"/>
            <w:shd w:val="clear" w:color="auto" w:fill="auto"/>
            <w:noWrap/>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464</w:t>
            </w:r>
          </w:p>
        </w:tc>
        <w:tc>
          <w:tcPr>
            <w:tcW w:w="835" w:type="pct"/>
            <w:shd w:val="clear" w:color="auto" w:fill="auto"/>
            <w:noWrap/>
          </w:tcPr>
          <w:p w:rsidR="00DF3F3B" w:rsidRPr="00121EF8" w:rsidRDefault="00DF3F3B" w:rsidP="00B049DC">
            <w:pPr>
              <w:spacing w:after="0" w:line="240" w:lineRule="auto"/>
              <w:jc w:val="both"/>
              <w:rPr>
                <w:rFonts w:ascii="Times New Roman" w:eastAsia="Times New Roman" w:hAnsi="Times New Roman" w:cs="Times New Roman"/>
                <w:color w:val="000000"/>
                <w:sz w:val="18"/>
                <w:szCs w:val="18"/>
                <w:lang w:eastAsia="en-AU"/>
              </w:rPr>
            </w:pPr>
            <w:r w:rsidRPr="00121EF8">
              <w:rPr>
                <w:rFonts w:ascii="Times New Roman" w:eastAsia="Times New Roman" w:hAnsi="Times New Roman" w:cs="Times New Roman"/>
                <w:color w:val="000000"/>
                <w:sz w:val="18"/>
                <w:szCs w:val="18"/>
                <w:lang w:eastAsia="en-AU"/>
              </w:rPr>
              <w:t>2.1</w:t>
            </w:r>
          </w:p>
        </w:tc>
        <w:tc>
          <w:tcPr>
            <w:tcW w:w="682"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452</w:t>
            </w:r>
          </w:p>
        </w:tc>
        <w:tc>
          <w:tcPr>
            <w:tcW w:w="83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1.89</w:t>
            </w:r>
          </w:p>
        </w:tc>
        <w:tc>
          <w:tcPr>
            <w:tcW w:w="605" w:type="pct"/>
            <w:shd w:val="clear" w:color="auto" w:fill="auto"/>
          </w:tcPr>
          <w:p w:rsidR="00DF3F3B" w:rsidRPr="00121EF8" w:rsidRDefault="00DF3F3B" w:rsidP="00B049DC">
            <w:pPr>
              <w:spacing w:after="0" w:line="240" w:lineRule="auto"/>
              <w:jc w:val="both"/>
              <w:rPr>
                <w:rFonts w:ascii="Times New Roman" w:hAnsi="Times New Roman" w:cs="Times New Roman"/>
                <w:sz w:val="18"/>
                <w:szCs w:val="18"/>
              </w:rPr>
            </w:pPr>
            <w:r w:rsidRPr="00121EF8">
              <w:rPr>
                <w:rFonts w:ascii="Times New Roman" w:hAnsi="Times New Roman" w:cs="Times New Roman"/>
                <w:sz w:val="18"/>
                <w:szCs w:val="18"/>
              </w:rPr>
              <w:t>454</w:t>
            </w:r>
          </w:p>
        </w:tc>
        <w:tc>
          <w:tcPr>
            <w:tcW w:w="791" w:type="pct"/>
            <w:shd w:val="clear" w:color="auto" w:fill="auto"/>
          </w:tcPr>
          <w:p w:rsidR="00DF3F3B" w:rsidRPr="00121EF8" w:rsidRDefault="00DF3F3B" w:rsidP="00B049DC">
            <w:pPr>
              <w:spacing w:after="0" w:line="240" w:lineRule="auto"/>
              <w:jc w:val="both"/>
              <w:rPr>
                <w:rFonts w:ascii="Times New Roman" w:hAnsi="Times New Roman" w:cs="Times New Roman"/>
                <w:color w:val="000000"/>
                <w:sz w:val="18"/>
                <w:szCs w:val="18"/>
              </w:rPr>
            </w:pPr>
            <w:r w:rsidRPr="00121EF8">
              <w:rPr>
                <w:rFonts w:ascii="Times New Roman" w:hAnsi="Times New Roman" w:cs="Times New Roman"/>
                <w:color w:val="000000"/>
                <w:sz w:val="18"/>
                <w:szCs w:val="18"/>
              </w:rPr>
              <w:t>1.18</w:t>
            </w:r>
          </w:p>
        </w:tc>
      </w:tr>
    </w:tbl>
    <w:p w:rsidR="00DF3F3B" w:rsidRPr="00AD1C70" w:rsidRDefault="00DF3F3B" w:rsidP="008B4948">
      <w:pPr>
        <w:spacing w:after="0" w:line="360" w:lineRule="auto"/>
        <w:jc w:val="both"/>
        <w:rPr>
          <w:rFonts w:ascii="Times New Roman" w:hAnsi="Times New Roman" w:cs="Times New Roman"/>
          <w:sz w:val="16"/>
          <w:szCs w:val="20"/>
          <w:lang w:eastAsia="en-AU"/>
        </w:rPr>
      </w:pPr>
      <w:r w:rsidRPr="00AD1C70">
        <w:rPr>
          <w:rStyle w:val="Hyperlink"/>
          <w:rFonts w:ascii="Times New Roman" w:hAnsi="Times New Roman" w:cs="Times New Roman"/>
          <w:color w:val="auto"/>
          <w:sz w:val="16"/>
          <w:szCs w:val="20"/>
          <w:u w:val="none"/>
        </w:rPr>
        <w:t>Values are represented as mean (n=4), standard deviations were &lt;10% of the mean value</w:t>
      </w:r>
    </w:p>
    <w:p w:rsidR="00DF3F3B" w:rsidRDefault="00DF3F3B" w:rsidP="00B82E67">
      <w:pPr>
        <w:spacing w:after="0" w:line="240" w:lineRule="auto"/>
        <w:jc w:val="both"/>
        <w:rPr>
          <w:rFonts w:ascii="Times New Roman" w:hAnsi="Times New Roman" w:cs="Times New Roman"/>
          <w:sz w:val="24"/>
          <w:szCs w:val="24"/>
          <w:lang w:eastAsia="en-AU"/>
        </w:rPr>
      </w:pPr>
      <w:r w:rsidRPr="00B82E67">
        <w:rPr>
          <w:rFonts w:ascii="Times New Roman" w:hAnsi="Times New Roman" w:cs="Times New Roman"/>
          <w:sz w:val="24"/>
          <w:szCs w:val="24"/>
          <w:lang w:eastAsia="en-AU"/>
        </w:rPr>
        <w:t xml:space="preserve">Root elongation is considered a sensitive indicator of heavy metal toxicity </w:t>
      </w:r>
      <w:r>
        <w:rPr>
          <w:rFonts w:ascii="Times New Roman" w:hAnsi="Times New Roman" w:cs="Times New Roman"/>
          <w:noProof/>
          <w:sz w:val="24"/>
          <w:szCs w:val="24"/>
          <w:lang w:eastAsia="en-AU"/>
        </w:rPr>
        <w:t>(Lamb et al. 2010b)</w:t>
      </w:r>
      <w:r w:rsidRPr="00B82E67">
        <w:rPr>
          <w:rFonts w:ascii="Times New Roman" w:hAnsi="Times New Roman" w:cs="Times New Roman"/>
          <w:sz w:val="24"/>
          <w:szCs w:val="24"/>
          <w:lang w:eastAsia="en-AU"/>
        </w:rPr>
        <w:t xml:space="preserve">. Root elongation data of three native Australian </w:t>
      </w:r>
      <w:proofErr w:type="gramStart"/>
      <w:r w:rsidRPr="00B82E67">
        <w:rPr>
          <w:rFonts w:ascii="Times New Roman" w:hAnsi="Times New Roman" w:cs="Times New Roman"/>
          <w:sz w:val="24"/>
          <w:szCs w:val="24"/>
          <w:lang w:eastAsia="en-AU"/>
        </w:rPr>
        <w:t>grass</w:t>
      </w:r>
      <w:proofErr w:type="gramEnd"/>
      <w:r w:rsidRPr="00B82E67">
        <w:rPr>
          <w:rFonts w:ascii="Times New Roman" w:hAnsi="Times New Roman" w:cs="Times New Roman"/>
          <w:sz w:val="24"/>
          <w:szCs w:val="24"/>
          <w:lang w:eastAsia="en-AU"/>
        </w:rPr>
        <w:t xml:space="preserve"> and their dose – response curves are depicted in Figures 1 and 2. Dose – response curves were prepared for both total recovered Hg (Figure 1) and water extractable Hg (Figure 2) concentrations in three experimental soils to estimate EC</w:t>
      </w:r>
      <w:r w:rsidRPr="00B82E67">
        <w:rPr>
          <w:rFonts w:ascii="Times New Roman" w:hAnsi="Times New Roman" w:cs="Times New Roman"/>
          <w:sz w:val="24"/>
          <w:szCs w:val="24"/>
          <w:vertAlign w:val="subscript"/>
          <w:lang w:eastAsia="en-AU"/>
        </w:rPr>
        <w:t>50</w:t>
      </w:r>
      <w:r w:rsidRPr="00B82E67">
        <w:rPr>
          <w:rFonts w:ascii="Times New Roman" w:hAnsi="Times New Roman" w:cs="Times New Roman"/>
          <w:sz w:val="24"/>
          <w:szCs w:val="24"/>
          <w:lang w:eastAsia="en-AU"/>
        </w:rPr>
        <w:t>, EC</w:t>
      </w:r>
      <w:r w:rsidRPr="00B82E67">
        <w:rPr>
          <w:rFonts w:ascii="Times New Roman" w:hAnsi="Times New Roman" w:cs="Times New Roman"/>
          <w:sz w:val="24"/>
          <w:szCs w:val="24"/>
          <w:vertAlign w:val="subscript"/>
          <w:lang w:eastAsia="en-AU"/>
        </w:rPr>
        <w:t>20</w:t>
      </w:r>
      <w:r w:rsidRPr="00B82E67">
        <w:rPr>
          <w:rFonts w:ascii="Times New Roman" w:hAnsi="Times New Roman" w:cs="Times New Roman"/>
          <w:sz w:val="24"/>
          <w:szCs w:val="24"/>
          <w:lang w:eastAsia="en-AU"/>
        </w:rPr>
        <w:t xml:space="preserve"> and EC</w:t>
      </w:r>
      <w:r w:rsidRPr="00B82E67">
        <w:rPr>
          <w:rFonts w:ascii="Times New Roman" w:hAnsi="Times New Roman" w:cs="Times New Roman"/>
          <w:sz w:val="24"/>
          <w:szCs w:val="24"/>
          <w:vertAlign w:val="subscript"/>
          <w:lang w:eastAsia="en-AU"/>
        </w:rPr>
        <w:t>10</w:t>
      </w:r>
      <w:r w:rsidRPr="00B82E67">
        <w:rPr>
          <w:rFonts w:ascii="Times New Roman" w:hAnsi="Times New Roman" w:cs="Times New Roman"/>
          <w:sz w:val="24"/>
          <w:szCs w:val="24"/>
          <w:lang w:eastAsia="en-AU"/>
        </w:rPr>
        <w:t xml:space="preserve"> values. It was observed that Hg significantly inhibited root growth (expressed as % RG) of all experimental grass grown in all the three soils. The estimated EC values for total and water soluble Hg </w:t>
      </w:r>
      <w:proofErr w:type="gramStart"/>
      <w:r w:rsidRPr="00B82E67">
        <w:rPr>
          <w:rFonts w:ascii="Times New Roman" w:hAnsi="Times New Roman" w:cs="Times New Roman"/>
          <w:sz w:val="24"/>
          <w:szCs w:val="24"/>
          <w:lang w:eastAsia="en-AU"/>
        </w:rPr>
        <w:t>are</w:t>
      </w:r>
      <w:proofErr w:type="gramEnd"/>
      <w:r w:rsidRPr="00B82E67">
        <w:rPr>
          <w:rFonts w:ascii="Times New Roman" w:hAnsi="Times New Roman" w:cs="Times New Roman"/>
          <w:sz w:val="24"/>
          <w:szCs w:val="24"/>
          <w:lang w:eastAsia="en-AU"/>
        </w:rPr>
        <w:t xml:space="preserve"> presented in Table 3.</w:t>
      </w:r>
    </w:p>
    <w:p w:rsidR="003F2493" w:rsidRDefault="003F2493" w:rsidP="00B82E67">
      <w:pPr>
        <w:spacing w:after="0" w:line="240" w:lineRule="auto"/>
        <w:jc w:val="both"/>
        <w:rPr>
          <w:rFonts w:ascii="Times New Roman" w:hAnsi="Times New Roman" w:cs="Times New Roman"/>
          <w:sz w:val="24"/>
          <w:szCs w:val="24"/>
          <w:lang w:eastAsia="en-AU"/>
        </w:rPr>
      </w:pPr>
    </w:p>
    <w:p w:rsidR="003F2493" w:rsidRDefault="00DF3F3B" w:rsidP="00B82E67">
      <w:p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 xml:space="preserve">Response of </w:t>
      </w:r>
      <w:proofErr w:type="spellStart"/>
      <w:r w:rsidRPr="00B82E67">
        <w:rPr>
          <w:rFonts w:ascii="Times New Roman" w:hAnsi="Times New Roman" w:cs="Times New Roman"/>
          <w:i/>
          <w:sz w:val="24"/>
          <w:szCs w:val="24"/>
        </w:rPr>
        <w:t>Iseilema</w:t>
      </w:r>
      <w:proofErr w:type="spellEnd"/>
      <w:r w:rsidRPr="00B82E67">
        <w:rPr>
          <w:rFonts w:ascii="Times New Roman" w:hAnsi="Times New Roman" w:cs="Times New Roman"/>
          <w:sz w:val="24"/>
          <w:szCs w:val="24"/>
        </w:rPr>
        <w:t xml:space="preserve"> </w:t>
      </w:r>
      <w:proofErr w:type="spellStart"/>
      <w:r w:rsidRPr="00B82E67">
        <w:rPr>
          <w:rFonts w:ascii="Times New Roman" w:hAnsi="Times New Roman" w:cs="Times New Roman"/>
          <w:i/>
          <w:sz w:val="24"/>
          <w:szCs w:val="24"/>
        </w:rPr>
        <w:t>membranaceum</w:t>
      </w:r>
      <w:proofErr w:type="spellEnd"/>
      <w:r w:rsidRPr="00B82E67">
        <w:rPr>
          <w:rFonts w:ascii="Times New Roman" w:hAnsi="Times New Roman" w:cs="Times New Roman"/>
          <w:sz w:val="24"/>
          <w:szCs w:val="24"/>
        </w:rPr>
        <w:t xml:space="preserve"> grass to Hg stress was different in three different soils (Figure 2a). In neutral (S-1) and acidic (S-3) soils, an initial tolerance was observed up to &gt;54 mg/kg and 124 mg/kg Hg respectively and root growth was inhibited beyond these concentrations. Whereas in alkaline S-2 soil, the tolerance was observed up to 6 mg/kg total Hg concentration and 50% inhibition in root growth was observed at 10 mg/kg. The estimated EC values confirms that </w:t>
      </w:r>
      <w:proofErr w:type="spellStart"/>
      <w:r w:rsidRPr="00B82E67">
        <w:rPr>
          <w:rFonts w:ascii="Times New Roman" w:hAnsi="Times New Roman" w:cs="Times New Roman"/>
          <w:i/>
          <w:sz w:val="24"/>
          <w:szCs w:val="24"/>
        </w:rPr>
        <w:t>Iseilema</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membranaceum</w:t>
      </w:r>
      <w:proofErr w:type="spellEnd"/>
      <w:r w:rsidRPr="00B82E67">
        <w:rPr>
          <w:rFonts w:ascii="Times New Roman" w:hAnsi="Times New Roman" w:cs="Times New Roman"/>
          <w:sz w:val="24"/>
          <w:szCs w:val="24"/>
        </w:rPr>
        <w:t xml:space="preserve"> grass was more sensitive to Hg in S-2 soil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10) followed by S-1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200) and S-3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224). Acidic soil with more </w:t>
      </w:r>
      <w:r w:rsidRPr="00B82E67">
        <w:rPr>
          <w:rFonts w:ascii="Times New Roman" w:hAnsi="Times New Roman" w:cs="Times New Roman"/>
          <w:sz w:val="24"/>
          <w:szCs w:val="24"/>
        </w:rPr>
        <w:lastRenderedPageBreak/>
        <w:t xml:space="preserve">organic carbon </w:t>
      </w:r>
      <w:r w:rsidRPr="00AD1C70">
        <w:rPr>
          <w:rFonts w:ascii="Times New Roman" w:hAnsi="Times New Roman" w:cs="Times New Roman"/>
          <w:sz w:val="24"/>
          <w:szCs w:val="24"/>
          <w:highlight w:val="yellow"/>
        </w:rPr>
        <w:t>contents</w:t>
      </w:r>
      <w:r w:rsidRPr="00B82E67">
        <w:rPr>
          <w:rFonts w:ascii="Times New Roman" w:hAnsi="Times New Roman" w:cs="Times New Roman"/>
          <w:sz w:val="24"/>
          <w:szCs w:val="24"/>
        </w:rPr>
        <w:t xml:space="preserve"> was proved to be more protective for </w:t>
      </w:r>
      <w:proofErr w:type="spellStart"/>
      <w:r w:rsidRPr="00B82E67">
        <w:rPr>
          <w:rFonts w:ascii="Times New Roman" w:hAnsi="Times New Roman" w:cs="Times New Roman"/>
          <w:i/>
          <w:sz w:val="24"/>
          <w:szCs w:val="24"/>
        </w:rPr>
        <w:t>Iseilema</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membranaceum</w:t>
      </w:r>
      <w:proofErr w:type="spellEnd"/>
      <w:r w:rsidRPr="00B82E67">
        <w:rPr>
          <w:rFonts w:ascii="Times New Roman" w:hAnsi="Times New Roman" w:cs="Times New Roman"/>
          <w:sz w:val="24"/>
          <w:szCs w:val="24"/>
        </w:rPr>
        <w:t xml:space="preserve"> grass from Hg stress. This can be related to less recovery of water soluble Hg in that soil (S-3) compared to other two soils (S-1 and S-2).</w:t>
      </w:r>
    </w:p>
    <w:p w:rsidR="00DF3F3B" w:rsidRDefault="00DF3F3B" w:rsidP="00B82E67">
      <w:p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 xml:space="preserve"> </w:t>
      </w:r>
    </w:p>
    <w:p w:rsidR="00DF3F3B" w:rsidRDefault="00DF3F3B" w:rsidP="00B82E67">
      <w:pPr>
        <w:spacing w:after="0" w:line="240" w:lineRule="auto"/>
        <w:jc w:val="both"/>
        <w:rPr>
          <w:rFonts w:ascii="Times New Roman" w:hAnsi="Times New Roman" w:cs="Times New Roman"/>
          <w:sz w:val="24"/>
          <w:szCs w:val="24"/>
        </w:rPr>
      </w:pPr>
      <w:proofErr w:type="spellStart"/>
      <w:r w:rsidRPr="00B82E67">
        <w:rPr>
          <w:rFonts w:ascii="Times New Roman" w:hAnsi="Times New Roman" w:cs="Times New Roman"/>
          <w:i/>
          <w:sz w:val="24"/>
          <w:szCs w:val="24"/>
        </w:rPr>
        <w:t>Dichanthium</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sericeum</w:t>
      </w:r>
      <w:proofErr w:type="spellEnd"/>
      <w:r w:rsidRPr="00B82E67">
        <w:rPr>
          <w:rFonts w:ascii="Times New Roman" w:hAnsi="Times New Roman" w:cs="Times New Roman"/>
          <w:sz w:val="24"/>
          <w:szCs w:val="24"/>
        </w:rPr>
        <w:t xml:space="preserve"> grass showed no significant inhibition in root growth up to &gt;54 mg/kg, &gt;124 mg/kg and &lt;6 mg/kg total Hg concentration in S-1, S-2 and S-3 soils</w:t>
      </w:r>
      <w:r w:rsidR="003C346B">
        <w:rPr>
          <w:rFonts w:ascii="Times New Roman" w:hAnsi="Times New Roman" w:cs="Times New Roman"/>
          <w:sz w:val="24"/>
          <w:szCs w:val="24"/>
        </w:rPr>
        <w:t>,</w:t>
      </w:r>
      <w:r w:rsidRPr="00B82E67">
        <w:rPr>
          <w:rFonts w:ascii="Times New Roman" w:hAnsi="Times New Roman" w:cs="Times New Roman"/>
          <w:sz w:val="24"/>
          <w:szCs w:val="24"/>
        </w:rPr>
        <w:t xml:space="preserve"> respectively (Figure 2b). In acidic organic content rich S-3 soil, the highest experimental concentration of Hg 454 mg/kg caused only ~50% reduction in root growth; therefore the regression analysis and estimated EC values were not significant (P&gt;0.05) (Table 3). However, the calculated EC values show that Hg exerted almost similar toxicity to root growth of </w:t>
      </w:r>
      <w:proofErr w:type="spellStart"/>
      <w:r w:rsidRPr="00B82E67">
        <w:rPr>
          <w:rFonts w:ascii="Times New Roman" w:hAnsi="Times New Roman" w:cs="Times New Roman"/>
          <w:i/>
          <w:sz w:val="24"/>
          <w:szCs w:val="24"/>
        </w:rPr>
        <w:t>Dichanthium</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sericeum</w:t>
      </w:r>
      <w:proofErr w:type="spellEnd"/>
      <w:r w:rsidRPr="00B82E67">
        <w:rPr>
          <w:rFonts w:ascii="Times New Roman" w:hAnsi="Times New Roman" w:cs="Times New Roman"/>
          <w:sz w:val="24"/>
          <w:szCs w:val="24"/>
        </w:rPr>
        <w:t xml:space="preserve"> grass in S-1 soil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126), and S-2 soil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132). Acidic soil with more organic carbon content was proved to be more protective for </w:t>
      </w:r>
      <w:proofErr w:type="spellStart"/>
      <w:r w:rsidRPr="00B82E67">
        <w:rPr>
          <w:rFonts w:ascii="Times New Roman" w:hAnsi="Times New Roman" w:cs="Times New Roman"/>
          <w:i/>
          <w:sz w:val="24"/>
          <w:szCs w:val="24"/>
        </w:rPr>
        <w:t>Dichanthium</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sericeum</w:t>
      </w:r>
      <w:proofErr w:type="spellEnd"/>
      <w:r w:rsidRPr="00B82E67">
        <w:rPr>
          <w:rFonts w:ascii="Times New Roman" w:hAnsi="Times New Roman" w:cs="Times New Roman"/>
          <w:sz w:val="24"/>
          <w:szCs w:val="24"/>
        </w:rPr>
        <w:t xml:space="preserve"> grass as well which might be due to chelation of available Hg with organic matter.</w:t>
      </w:r>
    </w:p>
    <w:p w:rsidR="00DF3F3B" w:rsidRDefault="00DF3F3B" w:rsidP="00DF7EA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AU" w:eastAsia="en-AU" w:bidi="ar-SA"/>
        </w:rPr>
        <w:drawing>
          <wp:inline distT="0" distB="0" distL="0" distR="0" wp14:anchorId="198919BC" wp14:editId="3BACF380">
            <wp:extent cx="5802826" cy="15430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514" cy="1551742"/>
                    </a:xfrm>
                    <a:prstGeom prst="rect">
                      <a:avLst/>
                    </a:prstGeom>
                    <a:noFill/>
                  </pic:spPr>
                </pic:pic>
              </a:graphicData>
            </a:graphic>
          </wp:inline>
        </w:drawing>
      </w:r>
    </w:p>
    <w:p w:rsidR="00DF3F3B" w:rsidRPr="00DF7EA3" w:rsidRDefault="00DF3F3B" w:rsidP="00B82E67">
      <w:pPr>
        <w:spacing w:after="0" w:line="240" w:lineRule="auto"/>
        <w:jc w:val="both"/>
        <w:rPr>
          <w:rFonts w:ascii="Times New Roman" w:hAnsi="Times New Roman" w:cs="Times New Roman"/>
          <w:sz w:val="20"/>
          <w:szCs w:val="20"/>
        </w:rPr>
      </w:pPr>
      <w:r w:rsidRPr="004B34F8">
        <w:rPr>
          <w:rFonts w:ascii="Times New Roman" w:hAnsi="Times New Roman" w:cs="Times New Roman"/>
          <w:sz w:val="20"/>
          <w:szCs w:val="20"/>
        </w:rPr>
        <w:t>Figure</w:t>
      </w:r>
      <w:r>
        <w:rPr>
          <w:rFonts w:ascii="Times New Roman" w:hAnsi="Times New Roman" w:cs="Times New Roman"/>
          <w:sz w:val="20"/>
          <w:szCs w:val="20"/>
        </w:rPr>
        <w:t xml:space="preserve"> 1</w:t>
      </w:r>
      <w:r w:rsidRPr="004B34F8">
        <w:rPr>
          <w:rFonts w:ascii="Times New Roman" w:hAnsi="Times New Roman" w:cs="Times New Roman"/>
          <w:sz w:val="20"/>
          <w:szCs w:val="20"/>
        </w:rPr>
        <w:t xml:space="preserve">: Non - linear regression of plant’s relative root growth and log transformed total Hg concentrations in 3 soils - a) </w:t>
      </w:r>
      <w:proofErr w:type="spellStart"/>
      <w:r w:rsidRPr="004B34F8">
        <w:rPr>
          <w:rFonts w:ascii="Times New Roman" w:hAnsi="Times New Roman" w:cs="Times New Roman"/>
          <w:i/>
          <w:sz w:val="20"/>
          <w:szCs w:val="20"/>
        </w:rPr>
        <w:t>Iseilema</w:t>
      </w:r>
      <w:proofErr w:type="spellEnd"/>
      <w:r w:rsidRPr="004B34F8">
        <w:rPr>
          <w:rFonts w:ascii="Times New Roman" w:hAnsi="Times New Roman" w:cs="Times New Roman"/>
          <w:sz w:val="20"/>
          <w:szCs w:val="20"/>
        </w:rPr>
        <w:t xml:space="preserve"> </w:t>
      </w:r>
      <w:proofErr w:type="spellStart"/>
      <w:r w:rsidRPr="004B34F8">
        <w:rPr>
          <w:rFonts w:ascii="Times New Roman" w:hAnsi="Times New Roman" w:cs="Times New Roman"/>
          <w:i/>
          <w:sz w:val="20"/>
          <w:szCs w:val="20"/>
        </w:rPr>
        <w:t>membranaceum</w:t>
      </w:r>
      <w:proofErr w:type="spellEnd"/>
      <w:r w:rsidRPr="004B34F8">
        <w:rPr>
          <w:rFonts w:ascii="Times New Roman" w:hAnsi="Times New Roman" w:cs="Times New Roman"/>
          <w:sz w:val="20"/>
          <w:szCs w:val="20"/>
        </w:rPr>
        <w:t xml:space="preserve">, b) </w:t>
      </w:r>
      <w:proofErr w:type="spellStart"/>
      <w:r w:rsidRPr="004B34F8">
        <w:rPr>
          <w:rFonts w:ascii="Times New Roman" w:hAnsi="Times New Roman" w:cs="Times New Roman"/>
          <w:i/>
          <w:sz w:val="20"/>
          <w:szCs w:val="20"/>
        </w:rPr>
        <w:t>Dichanthium</w:t>
      </w:r>
      <w:proofErr w:type="spellEnd"/>
      <w:r w:rsidRPr="004B34F8">
        <w:rPr>
          <w:rFonts w:ascii="Times New Roman" w:hAnsi="Times New Roman" w:cs="Times New Roman"/>
          <w:sz w:val="20"/>
          <w:szCs w:val="20"/>
        </w:rPr>
        <w:t xml:space="preserve"> </w:t>
      </w:r>
      <w:proofErr w:type="spellStart"/>
      <w:r w:rsidRPr="004B34F8">
        <w:rPr>
          <w:rFonts w:ascii="Times New Roman" w:hAnsi="Times New Roman" w:cs="Times New Roman"/>
          <w:i/>
          <w:sz w:val="20"/>
          <w:szCs w:val="20"/>
        </w:rPr>
        <w:t>sericeum</w:t>
      </w:r>
      <w:proofErr w:type="spellEnd"/>
      <w:proofErr w:type="gramStart"/>
      <w:r w:rsidRPr="004B34F8">
        <w:rPr>
          <w:rFonts w:ascii="Times New Roman" w:hAnsi="Times New Roman" w:cs="Times New Roman"/>
          <w:sz w:val="20"/>
          <w:szCs w:val="20"/>
        </w:rPr>
        <w:t>,</w:t>
      </w:r>
      <w:proofErr w:type="gramEnd"/>
      <w:r w:rsidRPr="004B34F8">
        <w:rPr>
          <w:rFonts w:ascii="Times New Roman" w:hAnsi="Times New Roman" w:cs="Times New Roman"/>
          <w:sz w:val="20"/>
          <w:szCs w:val="20"/>
        </w:rPr>
        <w:t xml:space="preserve"> c) </w:t>
      </w:r>
      <w:proofErr w:type="spellStart"/>
      <w:r w:rsidRPr="004B34F8">
        <w:rPr>
          <w:rFonts w:ascii="Times New Roman" w:hAnsi="Times New Roman" w:cs="Times New Roman"/>
          <w:i/>
          <w:sz w:val="20"/>
          <w:szCs w:val="20"/>
        </w:rPr>
        <w:t>Sporobolus</w:t>
      </w:r>
      <w:proofErr w:type="spellEnd"/>
      <w:r w:rsidRPr="004B34F8">
        <w:rPr>
          <w:rFonts w:ascii="Times New Roman" w:hAnsi="Times New Roman" w:cs="Times New Roman"/>
          <w:sz w:val="20"/>
          <w:szCs w:val="20"/>
        </w:rPr>
        <w:t xml:space="preserve"> </w:t>
      </w:r>
      <w:proofErr w:type="spellStart"/>
      <w:r w:rsidRPr="004B34F8">
        <w:rPr>
          <w:rFonts w:ascii="Times New Roman" w:hAnsi="Times New Roman" w:cs="Times New Roman"/>
          <w:i/>
          <w:sz w:val="20"/>
          <w:szCs w:val="20"/>
        </w:rPr>
        <w:t>africanus</w:t>
      </w:r>
      <w:proofErr w:type="spellEnd"/>
      <w:r w:rsidRPr="004B34F8">
        <w:rPr>
          <w:rFonts w:ascii="Times New Roman" w:hAnsi="Times New Roman" w:cs="Times New Roman"/>
          <w:sz w:val="20"/>
          <w:szCs w:val="20"/>
        </w:rPr>
        <w:t>. Straight lines, broken lines and dotted lines represent fitting in S-1, S-2 and S-3 respectively.</w:t>
      </w:r>
    </w:p>
    <w:p w:rsidR="00DF3F3B" w:rsidRDefault="00DF3F3B" w:rsidP="00B82E6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AU" w:eastAsia="en-AU" w:bidi="ar-SA"/>
        </w:rPr>
        <w:drawing>
          <wp:inline distT="0" distB="0" distL="0" distR="0" wp14:anchorId="5CED007D">
            <wp:extent cx="5858930" cy="15430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2340" cy="1546582"/>
                    </a:xfrm>
                    <a:prstGeom prst="rect">
                      <a:avLst/>
                    </a:prstGeom>
                    <a:noFill/>
                  </pic:spPr>
                </pic:pic>
              </a:graphicData>
            </a:graphic>
          </wp:inline>
        </w:drawing>
      </w:r>
    </w:p>
    <w:p w:rsidR="00DF3F3B" w:rsidRPr="00DF7EA3" w:rsidRDefault="00DF3F3B" w:rsidP="00DF7EA3">
      <w:pPr>
        <w:spacing w:line="240" w:lineRule="auto"/>
        <w:jc w:val="both"/>
        <w:rPr>
          <w:rFonts w:ascii="Times New Roman" w:hAnsi="Times New Roman" w:cs="Times New Roman"/>
          <w:sz w:val="20"/>
          <w:szCs w:val="20"/>
        </w:rPr>
      </w:pPr>
      <w:r>
        <w:rPr>
          <w:rFonts w:ascii="Times New Roman" w:hAnsi="Times New Roman" w:cs="Times New Roman"/>
          <w:sz w:val="20"/>
          <w:szCs w:val="20"/>
        </w:rPr>
        <w:t>Figure 2</w:t>
      </w:r>
      <w:r w:rsidRPr="004B34F8">
        <w:rPr>
          <w:rFonts w:ascii="Times New Roman" w:hAnsi="Times New Roman" w:cs="Times New Roman"/>
          <w:sz w:val="20"/>
          <w:szCs w:val="20"/>
        </w:rPr>
        <w:t xml:space="preserve">: Non - linear regression of plant’s relative root growth and water extractable Hg concentrations in 3 soils - a) </w:t>
      </w:r>
      <w:proofErr w:type="spellStart"/>
      <w:r w:rsidRPr="004B34F8">
        <w:rPr>
          <w:rFonts w:ascii="Times New Roman" w:hAnsi="Times New Roman" w:cs="Times New Roman"/>
          <w:i/>
          <w:sz w:val="20"/>
          <w:szCs w:val="20"/>
        </w:rPr>
        <w:t>Iseilema</w:t>
      </w:r>
      <w:proofErr w:type="spellEnd"/>
      <w:r w:rsidRPr="004B34F8">
        <w:rPr>
          <w:rFonts w:ascii="Times New Roman" w:hAnsi="Times New Roman" w:cs="Times New Roman"/>
          <w:i/>
          <w:sz w:val="20"/>
          <w:szCs w:val="20"/>
        </w:rPr>
        <w:t xml:space="preserve"> </w:t>
      </w:r>
      <w:proofErr w:type="spellStart"/>
      <w:r w:rsidRPr="004B34F8">
        <w:rPr>
          <w:rFonts w:ascii="Times New Roman" w:hAnsi="Times New Roman" w:cs="Times New Roman"/>
          <w:i/>
          <w:sz w:val="20"/>
          <w:szCs w:val="20"/>
        </w:rPr>
        <w:t>membranaceum</w:t>
      </w:r>
      <w:proofErr w:type="spellEnd"/>
      <w:r w:rsidRPr="004B34F8">
        <w:rPr>
          <w:rFonts w:ascii="Times New Roman" w:hAnsi="Times New Roman" w:cs="Times New Roman"/>
          <w:sz w:val="20"/>
          <w:szCs w:val="20"/>
        </w:rPr>
        <w:t xml:space="preserve">, b) </w:t>
      </w:r>
      <w:proofErr w:type="spellStart"/>
      <w:r w:rsidRPr="004B34F8">
        <w:rPr>
          <w:rFonts w:ascii="Times New Roman" w:hAnsi="Times New Roman" w:cs="Times New Roman"/>
          <w:i/>
          <w:sz w:val="20"/>
          <w:szCs w:val="20"/>
        </w:rPr>
        <w:t>Dichanthium</w:t>
      </w:r>
      <w:proofErr w:type="spellEnd"/>
      <w:r w:rsidRPr="004B34F8">
        <w:rPr>
          <w:rFonts w:ascii="Times New Roman" w:hAnsi="Times New Roman" w:cs="Times New Roman"/>
          <w:i/>
          <w:sz w:val="20"/>
          <w:szCs w:val="20"/>
        </w:rPr>
        <w:t xml:space="preserve"> </w:t>
      </w:r>
      <w:proofErr w:type="spellStart"/>
      <w:r w:rsidRPr="004B34F8">
        <w:rPr>
          <w:rFonts w:ascii="Times New Roman" w:hAnsi="Times New Roman" w:cs="Times New Roman"/>
          <w:i/>
          <w:sz w:val="20"/>
          <w:szCs w:val="20"/>
        </w:rPr>
        <w:t>sericeum</w:t>
      </w:r>
      <w:proofErr w:type="spellEnd"/>
      <w:proofErr w:type="gramStart"/>
      <w:r w:rsidRPr="004B34F8">
        <w:rPr>
          <w:rFonts w:ascii="Times New Roman" w:hAnsi="Times New Roman" w:cs="Times New Roman"/>
          <w:sz w:val="20"/>
          <w:szCs w:val="20"/>
        </w:rPr>
        <w:t>,</w:t>
      </w:r>
      <w:proofErr w:type="gramEnd"/>
      <w:r w:rsidRPr="004B34F8">
        <w:rPr>
          <w:rFonts w:ascii="Times New Roman" w:hAnsi="Times New Roman" w:cs="Times New Roman"/>
          <w:sz w:val="20"/>
          <w:szCs w:val="20"/>
        </w:rPr>
        <w:t xml:space="preserve"> c) </w:t>
      </w:r>
      <w:proofErr w:type="spellStart"/>
      <w:r w:rsidRPr="004B34F8">
        <w:rPr>
          <w:rFonts w:ascii="Times New Roman" w:hAnsi="Times New Roman" w:cs="Times New Roman"/>
          <w:i/>
          <w:sz w:val="20"/>
          <w:szCs w:val="20"/>
        </w:rPr>
        <w:t>Sporobolus</w:t>
      </w:r>
      <w:proofErr w:type="spellEnd"/>
      <w:r w:rsidRPr="004B34F8">
        <w:rPr>
          <w:rFonts w:ascii="Times New Roman" w:hAnsi="Times New Roman" w:cs="Times New Roman"/>
          <w:i/>
          <w:sz w:val="20"/>
          <w:szCs w:val="20"/>
        </w:rPr>
        <w:t xml:space="preserve"> </w:t>
      </w:r>
      <w:proofErr w:type="spellStart"/>
      <w:r w:rsidRPr="004B34F8">
        <w:rPr>
          <w:rFonts w:ascii="Times New Roman" w:hAnsi="Times New Roman" w:cs="Times New Roman"/>
          <w:i/>
          <w:sz w:val="20"/>
          <w:szCs w:val="20"/>
        </w:rPr>
        <w:t>africanus</w:t>
      </w:r>
      <w:proofErr w:type="spellEnd"/>
      <w:r w:rsidRPr="004B34F8">
        <w:rPr>
          <w:rFonts w:ascii="Times New Roman" w:hAnsi="Times New Roman" w:cs="Times New Roman"/>
          <w:sz w:val="20"/>
          <w:szCs w:val="20"/>
        </w:rPr>
        <w:t>. Straight lines, broken lines and dotted lines represent fitting in S-1, S-2 and S-3 respectively.</w:t>
      </w:r>
    </w:p>
    <w:p w:rsidR="00DF3F3B" w:rsidRPr="004B34F8" w:rsidRDefault="00DF3F3B" w:rsidP="00DF7EA3">
      <w:pPr>
        <w:spacing w:after="0" w:line="240" w:lineRule="auto"/>
        <w:jc w:val="both"/>
        <w:rPr>
          <w:rFonts w:ascii="Times New Roman" w:hAnsi="Times New Roman" w:cs="Times New Roman"/>
          <w:sz w:val="20"/>
          <w:szCs w:val="20"/>
        </w:rPr>
      </w:pPr>
      <w:r w:rsidRPr="004B34F8">
        <w:rPr>
          <w:rFonts w:ascii="Times New Roman" w:hAnsi="Times New Roman" w:cs="Times New Roman"/>
          <w:sz w:val="20"/>
          <w:szCs w:val="20"/>
        </w:rPr>
        <w:t>Table 3: Estimated effective concentrations of Hg obtained from non-linear regression analysis of mercury gradients in three soils vs plants’ relative root growth</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563"/>
        <w:gridCol w:w="732"/>
        <w:gridCol w:w="1233"/>
        <w:gridCol w:w="732"/>
        <w:gridCol w:w="1268"/>
        <w:gridCol w:w="1549"/>
        <w:gridCol w:w="1590"/>
        <w:gridCol w:w="826"/>
        <w:gridCol w:w="749"/>
      </w:tblGrid>
      <w:tr w:rsidR="00DF3F3B" w:rsidRPr="00121EF8" w:rsidTr="00CC3E9A">
        <w:tc>
          <w:tcPr>
            <w:tcW w:w="5000" w:type="pct"/>
            <w:gridSpan w:val="9"/>
            <w:tcBorders>
              <w:bottom w:val="single" w:sz="4" w:space="0" w:color="auto"/>
            </w:tcBorders>
          </w:tcPr>
          <w:p w:rsidR="00DF3F3B" w:rsidRPr="00121EF8" w:rsidRDefault="00DF3F3B" w:rsidP="00B049DC">
            <w:pPr>
              <w:spacing w:after="0" w:line="240" w:lineRule="auto"/>
              <w:jc w:val="both"/>
              <w:rPr>
                <w:rFonts w:ascii="Times New Roman" w:hAnsi="Times New Roman" w:cs="Times New Roman"/>
                <w:b/>
                <w:bCs/>
                <w:i/>
                <w:sz w:val="20"/>
                <w:szCs w:val="20"/>
              </w:rPr>
            </w:pPr>
            <w:proofErr w:type="spellStart"/>
            <w:r w:rsidRPr="00121EF8">
              <w:rPr>
                <w:rFonts w:ascii="Times New Roman" w:hAnsi="Times New Roman" w:cs="Times New Roman"/>
                <w:b/>
                <w:bCs/>
                <w:i/>
                <w:sz w:val="20"/>
                <w:szCs w:val="20"/>
              </w:rPr>
              <w:t>Iseilema</w:t>
            </w:r>
            <w:proofErr w:type="spellEnd"/>
            <w:r w:rsidRPr="00121EF8">
              <w:rPr>
                <w:rFonts w:ascii="Times New Roman" w:hAnsi="Times New Roman" w:cs="Times New Roman"/>
                <w:b/>
                <w:bCs/>
                <w:i/>
                <w:sz w:val="20"/>
                <w:szCs w:val="20"/>
              </w:rPr>
              <w:t xml:space="preserve"> </w:t>
            </w:r>
            <w:proofErr w:type="spellStart"/>
            <w:r w:rsidRPr="00121EF8">
              <w:rPr>
                <w:rFonts w:ascii="Times New Roman" w:hAnsi="Times New Roman" w:cs="Times New Roman"/>
                <w:b/>
                <w:bCs/>
                <w:i/>
                <w:sz w:val="20"/>
                <w:szCs w:val="20"/>
              </w:rPr>
              <w:t>membranaceum</w:t>
            </w:r>
            <w:proofErr w:type="spellEnd"/>
            <w:r w:rsidRPr="00121EF8">
              <w:rPr>
                <w:rFonts w:ascii="Times New Roman" w:hAnsi="Times New Roman" w:cs="Times New Roman"/>
                <w:b/>
                <w:bCs/>
                <w:i/>
                <w:sz w:val="20"/>
                <w:szCs w:val="20"/>
              </w:rPr>
              <w:t xml:space="preserve"> </w:t>
            </w:r>
          </w:p>
        </w:tc>
      </w:tr>
      <w:tr w:rsidR="00DF3F3B" w:rsidRPr="00121EF8" w:rsidTr="00CC3E9A">
        <w:trPr>
          <w:trHeight w:val="150"/>
        </w:trPr>
        <w:tc>
          <w:tcPr>
            <w:tcW w:w="305" w:type="pct"/>
            <w:vMerge w:val="restart"/>
            <w:tcBorders>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Soil</w:t>
            </w:r>
          </w:p>
        </w:tc>
        <w:tc>
          <w:tcPr>
            <w:tcW w:w="2145" w:type="pct"/>
            <w:gridSpan w:val="4"/>
            <w:tcBorders>
              <w:left w:val="nil"/>
              <w:bottom w:val="single" w:sz="4" w:space="0" w:color="auto"/>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Total Hg (mg/kg)</w:t>
            </w:r>
          </w:p>
          <w:p w:rsidR="00DF3F3B" w:rsidRPr="00121EF8" w:rsidRDefault="00DF3F3B" w:rsidP="00B049DC">
            <w:pPr>
              <w:spacing w:after="0" w:line="240" w:lineRule="auto"/>
              <w:jc w:val="both"/>
              <w:rPr>
                <w:rFonts w:ascii="Times New Roman" w:hAnsi="Times New Roman" w:cs="Times New Roman"/>
                <w:b/>
                <w:bCs/>
                <w:sz w:val="20"/>
                <w:szCs w:val="20"/>
              </w:rPr>
            </w:pPr>
          </w:p>
        </w:tc>
        <w:tc>
          <w:tcPr>
            <w:tcW w:w="2550" w:type="pct"/>
            <w:gridSpan w:val="4"/>
            <w:tcBorders>
              <w:left w:val="nil"/>
              <w:bottom w:val="single" w:sz="4" w:space="0" w:color="auto"/>
            </w:tcBorders>
          </w:tcPr>
          <w:p w:rsidR="00DF3F3B" w:rsidRPr="00121EF8" w:rsidRDefault="00DF3F3B" w:rsidP="00B049DC">
            <w:pPr>
              <w:tabs>
                <w:tab w:val="left" w:pos="3135"/>
              </w:tabs>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Water soluble Hg (mg/kg)</w:t>
            </w:r>
          </w:p>
        </w:tc>
      </w:tr>
      <w:tr w:rsidR="00DF3F3B" w:rsidRPr="00121EF8" w:rsidTr="00CC3E9A">
        <w:trPr>
          <w:trHeight w:val="120"/>
        </w:trPr>
        <w:tc>
          <w:tcPr>
            <w:tcW w:w="305" w:type="pct"/>
            <w:vMerge/>
            <w:tcBorders>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r>
      <w:tr w:rsidR="00DF3F3B" w:rsidRPr="00121EF8" w:rsidTr="00CC3E9A">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S-1</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200</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163</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145</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0.98</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1.4</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1.3</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1.2</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0.98</w:t>
            </w:r>
          </w:p>
        </w:tc>
      </w:tr>
      <w:tr w:rsidR="00DF3F3B" w:rsidRPr="00121EF8" w:rsidTr="00CC3E9A">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S-2</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10</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2.2</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0.95</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0.96</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0.41</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&lt;0.002</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&lt;0.002</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ns</w:t>
            </w:r>
          </w:p>
        </w:tc>
      </w:tr>
      <w:tr w:rsidR="00DF3F3B" w:rsidRPr="00121EF8" w:rsidTr="00CC3E9A">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S-3</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224</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200</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190</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0.73</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1.9</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&lt;0.018</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&lt;0.018</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ns</w:t>
            </w:r>
          </w:p>
        </w:tc>
      </w:tr>
      <w:tr w:rsidR="00DF3F3B" w:rsidRPr="00121EF8" w:rsidTr="004D07A0">
        <w:trPr>
          <w:trHeight w:val="120"/>
        </w:trPr>
        <w:tc>
          <w:tcPr>
            <w:tcW w:w="5000" w:type="pct"/>
            <w:gridSpan w:val="9"/>
            <w:tcBorders>
              <w:bottom w:val="single" w:sz="4" w:space="0" w:color="auto"/>
            </w:tcBorders>
          </w:tcPr>
          <w:p w:rsidR="00DF3F3B" w:rsidRPr="00121EF8" w:rsidRDefault="00DF3F3B" w:rsidP="00B049DC">
            <w:pPr>
              <w:spacing w:after="0" w:line="240" w:lineRule="auto"/>
              <w:jc w:val="both"/>
              <w:rPr>
                <w:rFonts w:ascii="Times New Roman" w:hAnsi="Times New Roman" w:cs="Times New Roman"/>
                <w:i/>
                <w:sz w:val="20"/>
                <w:szCs w:val="20"/>
              </w:rPr>
            </w:pPr>
            <w:proofErr w:type="spellStart"/>
            <w:r w:rsidRPr="00121EF8">
              <w:rPr>
                <w:rFonts w:ascii="Times New Roman" w:hAnsi="Times New Roman" w:cs="Times New Roman"/>
                <w:b/>
                <w:bCs/>
                <w:i/>
                <w:sz w:val="20"/>
                <w:szCs w:val="20"/>
              </w:rPr>
              <w:t>Dichanthium</w:t>
            </w:r>
            <w:proofErr w:type="spellEnd"/>
            <w:r w:rsidRPr="00121EF8">
              <w:rPr>
                <w:rFonts w:ascii="Times New Roman" w:hAnsi="Times New Roman" w:cs="Times New Roman"/>
                <w:b/>
                <w:bCs/>
                <w:i/>
                <w:sz w:val="20"/>
                <w:szCs w:val="20"/>
              </w:rPr>
              <w:t xml:space="preserve"> </w:t>
            </w:r>
            <w:proofErr w:type="spellStart"/>
            <w:r w:rsidRPr="00121EF8">
              <w:rPr>
                <w:rFonts w:ascii="Times New Roman" w:hAnsi="Times New Roman" w:cs="Times New Roman"/>
                <w:b/>
                <w:bCs/>
                <w:i/>
                <w:sz w:val="20"/>
                <w:szCs w:val="20"/>
              </w:rPr>
              <w:t>sericeum</w:t>
            </w:r>
            <w:proofErr w:type="spellEnd"/>
            <w:r w:rsidRPr="00121EF8">
              <w:rPr>
                <w:rFonts w:ascii="Times New Roman" w:hAnsi="Times New Roman" w:cs="Times New Roman"/>
                <w:b/>
                <w:bCs/>
                <w:i/>
                <w:sz w:val="20"/>
                <w:szCs w:val="20"/>
              </w:rPr>
              <w:t xml:space="preserve"> </w:t>
            </w:r>
          </w:p>
        </w:tc>
      </w:tr>
      <w:tr w:rsidR="00DF3F3B" w:rsidRPr="00121EF8" w:rsidTr="004D07A0">
        <w:trPr>
          <w:trHeight w:val="211"/>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Soil</w:t>
            </w:r>
          </w:p>
        </w:tc>
        <w:tc>
          <w:tcPr>
            <w:tcW w:w="2145" w:type="pct"/>
            <w:gridSpan w:val="4"/>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Total Hg (mg/kg)</w:t>
            </w:r>
          </w:p>
          <w:p w:rsidR="00DF3F3B" w:rsidRPr="00121EF8" w:rsidRDefault="00DF3F3B" w:rsidP="00B049DC">
            <w:pPr>
              <w:spacing w:after="0" w:line="240" w:lineRule="auto"/>
              <w:jc w:val="both"/>
              <w:rPr>
                <w:rFonts w:ascii="Times New Roman" w:hAnsi="Times New Roman" w:cs="Times New Roman"/>
                <w:sz w:val="20"/>
                <w:szCs w:val="20"/>
              </w:rPr>
            </w:pPr>
          </w:p>
        </w:tc>
        <w:tc>
          <w:tcPr>
            <w:tcW w:w="2550" w:type="pct"/>
            <w:gridSpan w:val="4"/>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b/>
                <w:bCs/>
                <w:sz w:val="20"/>
                <w:szCs w:val="20"/>
              </w:rPr>
              <w:t>Water soluble Hg (mg/kg)</w:t>
            </w:r>
          </w:p>
        </w:tc>
      </w:tr>
      <w:tr w:rsidR="00DF3F3B" w:rsidRPr="00121EF8" w:rsidTr="004D07A0">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r>
      <w:tr w:rsidR="00DF3F3B" w:rsidRPr="00121EF8" w:rsidTr="004D07A0">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S-1</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color w:val="000000"/>
                <w:sz w:val="20"/>
                <w:szCs w:val="20"/>
              </w:rPr>
            </w:pPr>
            <w:r w:rsidRPr="00121EF8">
              <w:rPr>
                <w:rFonts w:ascii="Times New Roman" w:hAnsi="Times New Roman" w:cs="Times New Roman"/>
                <w:color w:val="000000"/>
                <w:sz w:val="20"/>
                <w:szCs w:val="20"/>
              </w:rPr>
              <w:t>126</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111</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103</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0.93</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1.32</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1.19</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0.99</w:t>
            </w:r>
          </w:p>
        </w:tc>
      </w:tr>
      <w:tr w:rsidR="00DF3F3B" w:rsidRPr="00121EF8" w:rsidTr="004D07A0">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S-2</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123</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118</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115</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0.93</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0.82</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0.78</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0.75</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0.95</w:t>
            </w:r>
          </w:p>
        </w:tc>
      </w:tr>
      <w:tr w:rsidR="00DF3F3B" w:rsidRPr="00121EF8" w:rsidTr="004D07A0">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S-3</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&gt;10</w:t>
            </w:r>
            <w:r w:rsidRPr="00121EF8">
              <w:rPr>
                <w:rFonts w:ascii="Times New Roman" w:hAnsi="Times New Roman" w:cs="Times New Roman"/>
                <w:sz w:val="20"/>
                <w:szCs w:val="20"/>
                <w:vertAlign w:val="superscript"/>
              </w:rPr>
              <w:t>9</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&gt;10</w:t>
            </w:r>
            <w:r w:rsidRPr="00121EF8">
              <w:rPr>
                <w:rFonts w:ascii="Times New Roman" w:hAnsi="Times New Roman" w:cs="Times New Roman"/>
                <w:sz w:val="20"/>
                <w:szCs w:val="20"/>
                <w:vertAlign w:val="superscript"/>
              </w:rPr>
              <w:t>9</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&gt;10</w:t>
            </w:r>
            <w:r w:rsidRPr="00121EF8">
              <w:rPr>
                <w:rFonts w:ascii="Times New Roman" w:hAnsi="Times New Roman" w:cs="Times New Roman"/>
                <w:sz w:val="20"/>
                <w:szCs w:val="20"/>
                <w:vertAlign w:val="superscript"/>
              </w:rPr>
              <w:t>9</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ns</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0.19</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0.16</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0.14</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ns</w:t>
            </w:r>
          </w:p>
        </w:tc>
      </w:tr>
      <w:tr w:rsidR="00DF3F3B" w:rsidRPr="00121EF8" w:rsidTr="00B049DC">
        <w:trPr>
          <w:trHeight w:val="120"/>
        </w:trPr>
        <w:tc>
          <w:tcPr>
            <w:tcW w:w="5000" w:type="pct"/>
            <w:gridSpan w:val="9"/>
          </w:tcPr>
          <w:p w:rsidR="00DF3F3B" w:rsidRPr="00121EF8" w:rsidRDefault="00DF3F3B" w:rsidP="00B049DC">
            <w:pPr>
              <w:spacing w:after="0" w:line="240" w:lineRule="auto"/>
              <w:jc w:val="both"/>
              <w:rPr>
                <w:rFonts w:ascii="Times New Roman" w:hAnsi="Times New Roman" w:cs="Times New Roman"/>
                <w:i/>
                <w:sz w:val="20"/>
                <w:szCs w:val="20"/>
              </w:rPr>
            </w:pPr>
            <w:proofErr w:type="spellStart"/>
            <w:r w:rsidRPr="00121EF8">
              <w:rPr>
                <w:rFonts w:ascii="Times New Roman" w:hAnsi="Times New Roman" w:cs="Times New Roman"/>
                <w:b/>
                <w:bCs/>
                <w:i/>
                <w:sz w:val="20"/>
                <w:szCs w:val="20"/>
              </w:rPr>
              <w:lastRenderedPageBreak/>
              <w:t>Sporobolus</w:t>
            </w:r>
            <w:proofErr w:type="spellEnd"/>
            <w:r w:rsidRPr="00121EF8">
              <w:rPr>
                <w:rFonts w:ascii="Times New Roman" w:hAnsi="Times New Roman" w:cs="Times New Roman"/>
                <w:b/>
                <w:bCs/>
                <w:i/>
                <w:sz w:val="20"/>
                <w:szCs w:val="20"/>
              </w:rPr>
              <w:t xml:space="preserve"> </w:t>
            </w:r>
            <w:proofErr w:type="spellStart"/>
            <w:r w:rsidRPr="00121EF8">
              <w:rPr>
                <w:rFonts w:ascii="Times New Roman" w:hAnsi="Times New Roman" w:cs="Times New Roman"/>
                <w:b/>
                <w:bCs/>
                <w:i/>
                <w:sz w:val="20"/>
                <w:szCs w:val="20"/>
              </w:rPr>
              <w:t>africanus</w:t>
            </w:r>
            <w:proofErr w:type="spellEnd"/>
            <w:r w:rsidRPr="00121EF8">
              <w:rPr>
                <w:rFonts w:ascii="Times New Roman" w:hAnsi="Times New Roman" w:cs="Times New Roman"/>
                <w:b/>
                <w:bCs/>
                <w:i/>
                <w:sz w:val="20"/>
                <w:szCs w:val="20"/>
              </w:rPr>
              <w:t xml:space="preserve"> </w:t>
            </w:r>
          </w:p>
        </w:tc>
      </w:tr>
      <w:tr w:rsidR="00DF3F3B" w:rsidRPr="00121EF8" w:rsidTr="001A06DF">
        <w:trPr>
          <w:trHeight w:val="120"/>
        </w:trPr>
        <w:tc>
          <w:tcPr>
            <w:tcW w:w="305" w:type="pct"/>
            <w:tcBorders>
              <w:bottom w:val="single" w:sz="4" w:space="0" w:color="auto"/>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Soil</w:t>
            </w:r>
          </w:p>
        </w:tc>
        <w:tc>
          <w:tcPr>
            <w:tcW w:w="2145" w:type="pct"/>
            <w:gridSpan w:val="4"/>
            <w:tcBorders>
              <w:left w:val="nil"/>
              <w:bottom w:val="single" w:sz="4" w:space="0" w:color="auto"/>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Total Hg (mg/kg)</w:t>
            </w:r>
          </w:p>
          <w:p w:rsidR="00DF3F3B" w:rsidRPr="00121EF8" w:rsidRDefault="00DF3F3B" w:rsidP="00B049DC">
            <w:pPr>
              <w:spacing w:after="0" w:line="240" w:lineRule="auto"/>
              <w:jc w:val="both"/>
              <w:rPr>
                <w:rFonts w:ascii="Times New Roman" w:hAnsi="Times New Roman" w:cs="Times New Roman"/>
                <w:sz w:val="20"/>
                <w:szCs w:val="20"/>
              </w:rPr>
            </w:pPr>
          </w:p>
        </w:tc>
        <w:tc>
          <w:tcPr>
            <w:tcW w:w="2550" w:type="pct"/>
            <w:gridSpan w:val="4"/>
            <w:tcBorders>
              <w:left w:val="nil"/>
              <w:bottom w:val="single" w:sz="4" w:space="0" w:color="auto"/>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b/>
                <w:bCs/>
                <w:sz w:val="20"/>
                <w:szCs w:val="20"/>
              </w:rPr>
              <w:t>Water soluble Hg (mg/kg)</w:t>
            </w:r>
          </w:p>
        </w:tc>
      </w:tr>
      <w:tr w:rsidR="00DF3F3B" w:rsidRPr="00121EF8" w:rsidTr="001A06DF">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50</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20</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EC</w:t>
            </w:r>
            <w:r w:rsidRPr="00121EF8">
              <w:rPr>
                <w:rFonts w:ascii="Times New Roman" w:hAnsi="Times New Roman" w:cs="Times New Roman"/>
                <w:b/>
                <w:bCs/>
                <w:sz w:val="20"/>
                <w:szCs w:val="20"/>
                <w:vertAlign w:val="subscript"/>
              </w:rPr>
              <w:t>10</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b/>
                <w:bCs/>
                <w:sz w:val="20"/>
                <w:szCs w:val="20"/>
              </w:rPr>
            </w:pPr>
            <w:r w:rsidRPr="00121EF8">
              <w:rPr>
                <w:rFonts w:ascii="Times New Roman" w:hAnsi="Times New Roman" w:cs="Times New Roman"/>
                <w:b/>
                <w:bCs/>
                <w:sz w:val="20"/>
                <w:szCs w:val="20"/>
              </w:rPr>
              <w:t>R</w:t>
            </w:r>
            <w:r w:rsidRPr="00121EF8">
              <w:rPr>
                <w:rFonts w:ascii="Times New Roman" w:hAnsi="Times New Roman" w:cs="Times New Roman"/>
                <w:b/>
                <w:bCs/>
                <w:sz w:val="20"/>
                <w:szCs w:val="20"/>
                <w:vertAlign w:val="superscript"/>
              </w:rPr>
              <w:t>2</w:t>
            </w:r>
          </w:p>
        </w:tc>
      </w:tr>
      <w:tr w:rsidR="00DF3F3B" w:rsidRPr="00121EF8" w:rsidTr="001A06DF">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S-1</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color w:val="000000"/>
                <w:sz w:val="20"/>
                <w:szCs w:val="20"/>
              </w:rPr>
            </w:pPr>
            <w:r w:rsidRPr="00121EF8">
              <w:rPr>
                <w:rFonts w:ascii="Times New Roman" w:hAnsi="Times New Roman" w:cs="Times New Roman"/>
                <w:color w:val="000000"/>
                <w:sz w:val="20"/>
                <w:szCs w:val="20"/>
              </w:rPr>
              <w:t>209</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139</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111</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0.97</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0.88</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0.81</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0.98</w:t>
            </w:r>
          </w:p>
        </w:tc>
      </w:tr>
      <w:tr w:rsidR="00DF3F3B" w:rsidRPr="00121EF8" w:rsidTr="001A06DF">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S-2</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color w:val="000000"/>
                <w:sz w:val="20"/>
                <w:szCs w:val="20"/>
              </w:rPr>
            </w:pPr>
            <w:r w:rsidRPr="00121EF8">
              <w:rPr>
                <w:rFonts w:ascii="Times New Roman" w:hAnsi="Times New Roman" w:cs="Times New Roman"/>
                <w:color w:val="000000"/>
                <w:sz w:val="20"/>
                <w:szCs w:val="20"/>
              </w:rPr>
              <w:t>132</w:t>
            </w:r>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108</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98</w:t>
            </w:r>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0.93</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0.82</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0.71</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0.65</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0.92</w:t>
            </w:r>
          </w:p>
        </w:tc>
      </w:tr>
      <w:tr w:rsidR="00DF3F3B" w:rsidRPr="00121EF8" w:rsidTr="001A06DF">
        <w:trPr>
          <w:trHeight w:val="120"/>
        </w:trPr>
        <w:tc>
          <w:tcPr>
            <w:tcW w:w="305" w:type="pct"/>
            <w:tcBorders>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S-3</w:t>
            </w:r>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proofErr w:type="spellStart"/>
            <w:r w:rsidRPr="00121EF8">
              <w:rPr>
                <w:rFonts w:ascii="Times New Roman" w:hAnsi="Times New Roman" w:cs="Times New Roman"/>
                <w:sz w:val="20"/>
                <w:szCs w:val="20"/>
              </w:rPr>
              <w:t>nd</w:t>
            </w:r>
            <w:proofErr w:type="spellEnd"/>
          </w:p>
        </w:tc>
        <w:tc>
          <w:tcPr>
            <w:tcW w:w="66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proofErr w:type="spellStart"/>
            <w:r w:rsidRPr="00121EF8">
              <w:rPr>
                <w:rFonts w:ascii="Times New Roman" w:hAnsi="Times New Roman" w:cs="Times New Roman"/>
                <w:sz w:val="20"/>
                <w:szCs w:val="20"/>
              </w:rPr>
              <w:t>nd</w:t>
            </w:r>
            <w:proofErr w:type="spellEnd"/>
          </w:p>
        </w:tc>
        <w:tc>
          <w:tcPr>
            <w:tcW w:w="39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proofErr w:type="spellStart"/>
            <w:r w:rsidRPr="00121EF8">
              <w:rPr>
                <w:rFonts w:ascii="Times New Roman" w:hAnsi="Times New Roman" w:cs="Times New Roman"/>
                <w:sz w:val="20"/>
                <w:szCs w:val="20"/>
              </w:rPr>
              <w:t>nd</w:t>
            </w:r>
            <w:proofErr w:type="spellEnd"/>
          </w:p>
        </w:tc>
        <w:tc>
          <w:tcPr>
            <w:tcW w:w="686"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ns</w:t>
            </w:r>
          </w:p>
        </w:tc>
        <w:tc>
          <w:tcPr>
            <w:tcW w:w="838"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0.15</w:t>
            </w:r>
          </w:p>
        </w:tc>
        <w:tc>
          <w:tcPr>
            <w:tcW w:w="860"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0.1</w:t>
            </w:r>
          </w:p>
        </w:tc>
        <w:tc>
          <w:tcPr>
            <w:tcW w:w="447" w:type="pct"/>
            <w:tcBorders>
              <w:left w:val="nil"/>
              <w:righ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0.06</w:t>
            </w:r>
          </w:p>
        </w:tc>
        <w:tc>
          <w:tcPr>
            <w:tcW w:w="405" w:type="pct"/>
            <w:tcBorders>
              <w:left w:val="nil"/>
            </w:tcBorders>
          </w:tcPr>
          <w:p w:rsidR="00DF3F3B" w:rsidRPr="00121EF8" w:rsidRDefault="00DF3F3B" w:rsidP="00B049DC">
            <w:pPr>
              <w:spacing w:after="0" w:line="240" w:lineRule="auto"/>
              <w:jc w:val="both"/>
              <w:rPr>
                <w:rFonts w:ascii="Times New Roman" w:hAnsi="Times New Roman" w:cs="Times New Roman"/>
                <w:sz w:val="20"/>
                <w:szCs w:val="20"/>
              </w:rPr>
            </w:pPr>
            <w:r w:rsidRPr="00121EF8">
              <w:rPr>
                <w:rFonts w:ascii="Times New Roman" w:hAnsi="Times New Roman" w:cs="Times New Roman"/>
                <w:sz w:val="20"/>
                <w:szCs w:val="20"/>
              </w:rPr>
              <w:t>0.94</w:t>
            </w:r>
          </w:p>
        </w:tc>
      </w:tr>
    </w:tbl>
    <w:p w:rsidR="00DF3F3B" w:rsidRPr="00794322" w:rsidRDefault="00DF3F3B" w:rsidP="00DF7EA3">
      <w:pPr>
        <w:spacing w:after="0" w:line="240" w:lineRule="auto"/>
        <w:jc w:val="both"/>
        <w:rPr>
          <w:rFonts w:ascii="Times New Roman" w:hAnsi="Times New Roman" w:cs="Times New Roman"/>
          <w:sz w:val="16"/>
          <w:szCs w:val="20"/>
        </w:rPr>
      </w:pPr>
      <w:r w:rsidRPr="00794322">
        <w:rPr>
          <w:rFonts w:ascii="Times New Roman" w:hAnsi="Times New Roman" w:cs="Times New Roman"/>
          <w:sz w:val="16"/>
          <w:szCs w:val="20"/>
        </w:rPr>
        <w:t>“</w:t>
      </w:r>
      <w:proofErr w:type="gramStart"/>
      <w:r w:rsidRPr="00794322">
        <w:rPr>
          <w:rFonts w:ascii="Times New Roman" w:hAnsi="Times New Roman" w:cs="Times New Roman"/>
          <w:sz w:val="16"/>
          <w:szCs w:val="20"/>
        </w:rPr>
        <w:t>ns</w:t>
      </w:r>
      <w:proofErr w:type="gramEnd"/>
      <w:r w:rsidRPr="00794322">
        <w:rPr>
          <w:rFonts w:ascii="Times New Roman" w:hAnsi="Times New Roman" w:cs="Times New Roman"/>
          <w:sz w:val="16"/>
          <w:szCs w:val="20"/>
        </w:rPr>
        <w:t>“ -  the estimated regression relation was not significant (P&gt;0.05); although the treatments were different from controls with background concentration of Hg (P&lt;0.05). “</w:t>
      </w:r>
      <w:proofErr w:type="gramStart"/>
      <w:r w:rsidRPr="00794322">
        <w:rPr>
          <w:rFonts w:ascii="Times New Roman" w:hAnsi="Times New Roman" w:cs="Times New Roman"/>
          <w:sz w:val="16"/>
          <w:szCs w:val="20"/>
        </w:rPr>
        <w:t>ns</w:t>
      </w:r>
      <w:proofErr w:type="gramEnd"/>
      <w:r w:rsidRPr="00794322">
        <w:rPr>
          <w:rFonts w:ascii="Times New Roman" w:hAnsi="Times New Roman" w:cs="Times New Roman"/>
          <w:sz w:val="16"/>
          <w:szCs w:val="20"/>
        </w:rPr>
        <w:t>” – not significant, “</w:t>
      </w:r>
      <w:proofErr w:type="spellStart"/>
      <w:r w:rsidRPr="00794322">
        <w:rPr>
          <w:rFonts w:ascii="Times New Roman" w:hAnsi="Times New Roman" w:cs="Times New Roman"/>
          <w:sz w:val="16"/>
          <w:szCs w:val="20"/>
        </w:rPr>
        <w:t>nd</w:t>
      </w:r>
      <w:proofErr w:type="spellEnd"/>
      <w:r w:rsidRPr="00794322">
        <w:rPr>
          <w:rFonts w:ascii="Times New Roman" w:hAnsi="Times New Roman" w:cs="Times New Roman"/>
          <w:sz w:val="16"/>
          <w:szCs w:val="20"/>
        </w:rPr>
        <w:t>” – not detected.</w:t>
      </w:r>
    </w:p>
    <w:p w:rsidR="00F90F16" w:rsidRDefault="00F90F16" w:rsidP="00B82E67">
      <w:pPr>
        <w:spacing w:after="0" w:line="240" w:lineRule="auto"/>
        <w:jc w:val="both"/>
        <w:rPr>
          <w:rFonts w:ascii="Times New Roman" w:hAnsi="Times New Roman" w:cs="Times New Roman"/>
          <w:sz w:val="24"/>
          <w:szCs w:val="24"/>
        </w:rPr>
      </w:pPr>
    </w:p>
    <w:p w:rsidR="00DF3F3B" w:rsidRDefault="00DF3F3B" w:rsidP="00B82E67">
      <w:p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 xml:space="preserve">The dose response curve reveals no significant inhibition in root growth of </w:t>
      </w:r>
      <w:proofErr w:type="spellStart"/>
      <w:r w:rsidRPr="00B82E67">
        <w:rPr>
          <w:rFonts w:ascii="Times New Roman" w:hAnsi="Times New Roman" w:cs="Times New Roman"/>
          <w:i/>
          <w:sz w:val="24"/>
          <w:szCs w:val="24"/>
        </w:rPr>
        <w:t>Sporobolus</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africanus</w:t>
      </w:r>
      <w:proofErr w:type="spellEnd"/>
      <w:r w:rsidRPr="00B82E67">
        <w:rPr>
          <w:rFonts w:ascii="Times New Roman" w:hAnsi="Times New Roman" w:cs="Times New Roman"/>
          <w:sz w:val="24"/>
          <w:szCs w:val="24"/>
        </w:rPr>
        <w:t xml:space="preserve">  from 10 – 54 mg/kg total Hg concentration in S-1 and S-2 (Figure 2c), whereas in S-3 this was up to 5 mg/kg total Hg. Dose – response regression was significant in S-1 and S-2, but the regression analysis was not significant in case of S-3 and therefore EC values could not be estimated in S-3 soil using the four parametric logistic model (Table 3). The EC values elucidate that Hg was more toxic to </w:t>
      </w:r>
      <w:proofErr w:type="spellStart"/>
      <w:r w:rsidRPr="00B82E67">
        <w:rPr>
          <w:rFonts w:ascii="Times New Roman" w:hAnsi="Times New Roman" w:cs="Times New Roman"/>
          <w:i/>
          <w:sz w:val="24"/>
          <w:szCs w:val="24"/>
        </w:rPr>
        <w:t>Sporobolus</w:t>
      </w:r>
      <w:proofErr w:type="spellEnd"/>
      <w:r w:rsidRPr="00B82E67">
        <w:rPr>
          <w:rFonts w:ascii="Times New Roman" w:hAnsi="Times New Roman" w:cs="Times New Roman"/>
          <w:i/>
          <w:sz w:val="24"/>
          <w:szCs w:val="24"/>
        </w:rPr>
        <w:t xml:space="preserve"> </w:t>
      </w:r>
      <w:proofErr w:type="spellStart"/>
      <w:r w:rsidRPr="00B82E67">
        <w:rPr>
          <w:rFonts w:ascii="Times New Roman" w:hAnsi="Times New Roman" w:cs="Times New Roman"/>
          <w:i/>
          <w:sz w:val="24"/>
          <w:szCs w:val="24"/>
        </w:rPr>
        <w:t>africanus</w:t>
      </w:r>
      <w:proofErr w:type="spellEnd"/>
      <w:r w:rsidRPr="00B82E67">
        <w:rPr>
          <w:rFonts w:ascii="Times New Roman" w:hAnsi="Times New Roman" w:cs="Times New Roman"/>
          <w:sz w:val="24"/>
          <w:szCs w:val="24"/>
        </w:rPr>
        <w:t xml:space="preserve"> grass in alkaline S-2 soil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132) followed by S-1 soil (EC</w:t>
      </w:r>
      <w:r w:rsidRPr="00B82E67">
        <w:rPr>
          <w:rFonts w:ascii="Times New Roman" w:hAnsi="Times New Roman" w:cs="Times New Roman"/>
          <w:sz w:val="24"/>
          <w:szCs w:val="24"/>
          <w:vertAlign w:val="subscript"/>
        </w:rPr>
        <w:t>50</w:t>
      </w:r>
      <w:r w:rsidRPr="00B82E67">
        <w:rPr>
          <w:rFonts w:ascii="Times New Roman" w:hAnsi="Times New Roman" w:cs="Times New Roman"/>
          <w:sz w:val="24"/>
          <w:szCs w:val="24"/>
        </w:rPr>
        <w:t xml:space="preserve"> 209). </w:t>
      </w:r>
    </w:p>
    <w:p w:rsidR="003F2493" w:rsidRPr="00B82E67" w:rsidRDefault="003F2493" w:rsidP="00B82E67">
      <w:pPr>
        <w:spacing w:after="0" w:line="240" w:lineRule="auto"/>
        <w:jc w:val="both"/>
        <w:rPr>
          <w:rFonts w:ascii="Times New Roman" w:hAnsi="Times New Roman" w:cs="Times New Roman"/>
          <w:sz w:val="24"/>
          <w:szCs w:val="24"/>
        </w:rPr>
      </w:pPr>
    </w:p>
    <w:p w:rsidR="00DF3F3B" w:rsidRDefault="00DF3F3B" w:rsidP="00B82E67">
      <w:pPr>
        <w:autoSpaceDE w:val="0"/>
        <w:autoSpaceDN w:val="0"/>
        <w:adjustRightInd w:val="0"/>
        <w:spacing w:after="0" w:line="240" w:lineRule="auto"/>
        <w:jc w:val="both"/>
        <w:rPr>
          <w:rFonts w:ascii="Times New Roman" w:hAnsi="Times New Roman" w:cs="Times New Roman"/>
          <w:sz w:val="24"/>
          <w:szCs w:val="24"/>
        </w:rPr>
      </w:pPr>
      <w:proofErr w:type="spellStart"/>
      <w:r w:rsidRPr="00B82E67">
        <w:rPr>
          <w:rFonts w:ascii="Times New Roman" w:hAnsi="Times New Roman" w:cs="Times New Roman"/>
          <w:sz w:val="24"/>
          <w:szCs w:val="24"/>
        </w:rPr>
        <w:t>Hg</w:t>
      </w:r>
      <w:proofErr w:type="spellEnd"/>
      <w:r w:rsidRPr="00B82E67">
        <w:rPr>
          <w:rFonts w:ascii="Times New Roman" w:hAnsi="Times New Roman" w:cs="Times New Roman"/>
          <w:sz w:val="24"/>
          <w:szCs w:val="24"/>
        </w:rPr>
        <w:t xml:space="preserve"> has been shown to be highly toxic to plant’s root elongation when nutrient solutions were used as media. For example, approximately 1 – 3 mg/L of inorganic Hg in </w:t>
      </w:r>
      <w:r w:rsidR="00CC3E9A" w:rsidRPr="00AD1C70">
        <w:rPr>
          <w:rFonts w:ascii="Times New Roman" w:hAnsi="Times New Roman" w:cs="Times New Roman"/>
          <w:sz w:val="24"/>
          <w:szCs w:val="24"/>
        </w:rPr>
        <w:t xml:space="preserve">a chemically defined </w:t>
      </w:r>
      <w:r w:rsidRPr="00AD1C70">
        <w:rPr>
          <w:rFonts w:ascii="Times New Roman" w:hAnsi="Times New Roman" w:cs="Times New Roman"/>
          <w:sz w:val="24"/>
          <w:szCs w:val="24"/>
        </w:rPr>
        <w:t>nutrient solution</w:t>
      </w:r>
      <w:r w:rsidRPr="00B82E67">
        <w:rPr>
          <w:rFonts w:ascii="Times New Roman" w:hAnsi="Times New Roman" w:cs="Times New Roman"/>
          <w:sz w:val="24"/>
          <w:szCs w:val="24"/>
        </w:rPr>
        <w:t xml:space="preserve"> completely inhibited root growth of </w:t>
      </w:r>
      <w:proofErr w:type="spellStart"/>
      <w:r w:rsidRPr="00B82E67">
        <w:rPr>
          <w:rFonts w:ascii="Times New Roman" w:hAnsi="Times New Roman" w:cs="Times New Roman"/>
          <w:i/>
          <w:sz w:val="24"/>
          <w:szCs w:val="24"/>
        </w:rPr>
        <w:t>Picea</w:t>
      </w:r>
      <w:proofErr w:type="spellEnd"/>
      <w:r w:rsidRPr="00B82E67">
        <w:rPr>
          <w:rFonts w:ascii="Times New Roman" w:hAnsi="Times New Roman" w:cs="Times New Roman"/>
          <w:sz w:val="24"/>
          <w:szCs w:val="24"/>
        </w:rPr>
        <w:t xml:space="preserve"> </w:t>
      </w:r>
      <w:proofErr w:type="spellStart"/>
      <w:r w:rsidRPr="00B82E67">
        <w:rPr>
          <w:rFonts w:ascii="Times New Roman" w:hAnsi="Times New Roman" w:cs="Times New Roman"/>
          <w:i/>
          <w:sz w:val="24"/>
          <w:szCs w:val="24"/>
        </w:rPr>
        <w:t>abies</w:t>
      </w:r>
      <w:proofErr w:type="spellEnd"/>
      <w:r w:rsidRPr="00B82E67">
        <w:rPr>
          <w:rFonts w:ascii="Times New Roman" w:hAnsi="Times New Roman" w:cs="Times New Roman"/>
          <w:sz w:val="24"/>
          <w:szCs w:val="24"/>
        </w:rPr>
        <w:t xml:space="preserve"> </w:t>
      </w:r>
      <w:r>
        <w:rPr>
          <w:rFonts w:ascii="Times New Roman" w:hAnsi="Times New Roman" w:cs="Times New Roman"/>
          <w:noProof/>
          <w:sz w:val="24"/>
          <w:szCs w:val="24"/>
        </w:rPr>
        <w:t>(Godbold 1991)</w:t>
      </w:r>
      <w:r w:rsidRPr="00B82E67">
        <w:rPr>
          <w:rFonts w:ascii="Times New Roman" w:hAnsi="Times New Roman" w:cs="Times New Roman"/>
          <w:sz w:val="24"/>
          <w:szCs w:val="24"/>
        </w:rPr>
        <w:t xml:space="preserve">. In another study, 50 – 100 mg/L Hg reduced 96 – 98% root length of </w:t>
      </w:r>
      <w:proofErr w:type="spellStart"/>
      <w:r w:rsidRPr="00B82E67">
        <w:rPr>
          <w:rFonts w:ascii="Times New Roman" w:hAnsi="Times New Roman" w:cs="Times New Roman"/>
          <w:i/>
          <w:iCs/>
          <w:sz w:val="24"/>
          <w:szCs w:val="24"/>
        </w:rPr>
        <w:t>Cucumis</w:t>
      </w:r>
      <w:proofErr w:type="spellEnd"/>
      <w:r w:rsidRPr="00B82E67">
        <w:rPr>
          <w:rFonts w:ascii="Times New Roman" w:hAnsi="Times New Roman" w:cs="Times New Roman"/>
          <w:i/>
          <w:iCs/>
          <w:sz w:val="24"/>
          <w:szCs w:val="24"/>
        </w:rPr>
        <w:t xml:space="preserve"> </w:t>
      </w:r>
      <w:proofErr w:type="spellStart"/>
      <w:r w:rsidRPr="00B82E67">
        <w:rPr>
          <w:rFonts w:ascii="Times New Roman" w:hAnsi="Times New Roman" w:cs="Times New Roman"/>
          <w:i/>
          <w:iCs/>
          <w:sz w:val="24"/>
          <w:szCs w:val="24"/>
        </w:rPr>
        <w:t>sativus</w:t>
      </w:r>
      <w:proofErr w:type="spellEnd"/>
      <w:r w:rsidRPr="00B82E67">
        <w:rPr>
          <w:rFonts w:ascii="Times New Roman" w:hAnsi="Times New Roman" w:cs="Times New Roman"/>
          <w:sz w:val="24"/>
          <w:szCs w:val="24"/>
        </w:rPr>
        <w:t xml:space="preserve"> while grown in Hg supplemented agar media </w:t>
      </w:r>
      <w:r>
        <w:rPr>
          <w:rFonts w:ascii="Times New Roman" w:hAnsi="Times New Roman" w:cs="Times New Roman"/>
          <w:noProof/>
          <w:sz w:val="24"/>
          <w:szCs w:val="24"/>
        </w:rPr>
        <w:t>(Cargnelutti et al. 2006)</w:t>
      </w:r>
      <w:r w:rsidRPr="00B82E67">
        <w:rPr>
          <w:rFonts w:ascii="Times New Roman" w:hAnsi="Times New Roman" w:cs="Times New Roman"/>
          <w:sz w:val="24"/>
          <w:szCs w:val="24"/>
        </w:rPr>
        <w:t xml:space="preserve">. On the other hand, a study done by </w:t>
      </w:r>
      <w:r w:rsidRPr="00B82E67">
        <w:rPr>
          <w:rFonts w:ascii="Times New Roman" w:hAnsi="Times New Roman" w:cs="Times New Roman"/>
          <w:noProof/>
          <w:sz w:val="24"/>
          <w:szCs w:val="24"/>
        </w:rPr>
        <w:t>Moreno-Jiménez et al. (2006)</w:t>
      </w:r>
      <w:r w:rsidRPr="00B82E67">
        <w:rPr>
          <w:rFonts w:ascii="Times New Roman" w:hAnsi="Times New Roman" w:cs="Times New Roman"/>
          <w:sz w:val="24"/>
          <w:szCs w:val="24"/>
        </w:rPr>
        <w:t xml:space="preserve"> </w:t>
      </w:r>
      <w:r w:rsidRPr="00B82E67">
        <w:rPr>
          <w:rFonts w:ascii="Times New Roman" w:hAnsi="Times New Roman" w:cs="Times New Roman"/>
          <w:noProof/>
          <w:sz w:val="24"/>
          <w:szCs w:val="24"/>
        </w:rPr>
        <w:t xml:space="preserve">found no inhibition in root and shoot growth of </w:t>
      </w:r>
      <w:proofErr w:type="spellStart"/>
      <w:r w:rsidRPr="00B82E67">
        <w:rPr>
          <w:rFonts w:ascii="Times New Roman" w:hAnsi="Times New Roman" w:cs="Times New Roman"/>
          <w:i/>
          <w:iCs/>
          <w:sz w:val="24"/>
          <w:szCs w:val="24"/>
        </w:rPr>
        <w:t>Rumex</w:t>
      </w:r>
      <w:proofErr w:type="spellEnd"/>
      <w:r w:rsidRPr="00B82E67">
        <w:rPr>
          <w:rFonts w:ascii="Times New Roman" w:hAnsi="Times New Roman" w:cs="Times New Roman"/>
          <w:i/>
          <w:iCs/>
          <w:sz w:val="24"/>
          <w:szCs w:val="24"/>
        </w:rPr>
        <w:t xml:space="preserve"> </w:t>
      </w:r>
      <w:proofErr w:type="spellStart"/>
      <w:r w:rsidRPr="00B82E67">
        <w:rPr>
          <w:rFonts w:ascii="Times New Roman" w:hAnsi="Times New Roman" w:cs="Times New Roman"/>
          <w:i/>
          <w:iCs/>
          <w:sz w:val="24"/>
          <w:szCs w:val="24"/>
        </w:rPr>
        <w:t>induratus</w:t>
      </w:r>
      <w:proofErr w:type="spellEnd"/>
      <w:r w:rsidRPr="00B82E67">
        <w:rPr>
          <w:rFonts w:ascii="Times New Roman" w:hAnsi="Times New Roman" w:cs="Times New Roman"/>
          <w:i/>
          <w:iCs/>
          <w:sz w:val="24"/>
          <w:szCs w:val="24"/>
        </w:rPr>
        <w:t xml:space="preserve"> </w:t>
      </w:r>
      <w:r w:rsidRPr="00B82E67">
        <w:rPr>
          <w:rFonts w:ascii="Times New Roman" w:hAnsi="Times New Roman" w:cs="Times New Roman"/>
          <w:sz w:val="24"/>
          <w:szCs w:val="24"/>
        </w:rPr>
        <w:t xml:space="preserve">and </w:t>
      </w:r>
      <w:proofErr w:type="spellStart"/>
      <w:r w:rsidRPr="00B82E67">
        <w:rPr>
          <w:rFonts w:ascii="Times New Roman" w:hAnsi="Times New Roman" w:cs="Times New Roman"/>
          <w:i/>
          <w:iCs/>
          <w:sz w:val="24"/>
          <w:szCs w:val="24"/>
        </w:rPr>
        <w:t>Marrubium</w:t>
      </w:r>
      <w:proofErr w:type="spellEnd"/>
      <w:r w:rsidRPr="00B82E67">
        <w:rPr>
          <w:rFonts w:ascii="Times New Roman" w:hAnsi="Times New Roman" w:cs="Times New Roman"/>
          <w:i/>
          <w:iCs/>
          <w:sz w:val="24"/>
          <w:szCs w:val="24"/>
        </w:rPr>
        <w:t xml:space="preserve"> vulgare</w:t>
      </w:r>
      <w:r w:rsidRPr="00B82E67">
        <w:rPr>
          <w:rFonts w:ascii="Times New Roman" w:hAnsi="Times New Roman" w:cs="Times New Roman"/>
          <w:sz w:val="24"/>
          <w:szCs w:val="24"/>
        </w:rPr>
        <w:t xml:space="preserve"> when the seedlings were grown in contaminated soils with 122 and 550 mg/kg Hg. In the present investigation, it was also observed that the grass species were tolerant to Hg up to 124 mg/kg (Figure 2). Hence, the Hg toxicity varies depending on the media used. Therefore, toxicity studies using nutrient solution or agar media may not reflect the real toxicity in contaminated soils.</w:t>
      </w:r>
    </w:p>
    <w:p w:rsidR="003F2493" w:rsidRPr="00B82E67" w:rsidRDefault="003F2493" w:rsidP="00B82E67">
      <w:pPr>
        <w:autoSpaceDE w:val="0"/>
        <w:autoSpaceDN w:val="0"/>
        <w:adjustRightInd w:val="0"/>
        <w:spacing w:after="0" w:line="240" w:lineRule="auto"/>
        <w:jc w:val="both"/>
        <w:rPr>
          <w:rFonts w:ascii="Times New Roman" w:hAnsi="Times New Roman" w:cs="Times New Roman"/>
          <w:sz w:val="24"/>
          <w:szCs w:val="24"/>
        </w:rPr>
      </w:pPr>
    </w:p>
    <w:p w:rsidR="00DF3F3B" w:rsidRDefault="00DF3F3B" w:rsidP="00B82E67">
      <w:pPr>
        <w:autoSpaceDE w:val="0"/>
        <w:autoSpaceDN w:val="0"/>
        <w:adjustRightInd w:val="0"/>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When the regression analysis was carried out by plotting water soluble fraction of Hg in soils, it was clear that although soluble fraction of Hg in soil is very low, it can still exert toxicity on plant. The estimated EC</w:t>
      </w:r>
      <w:r w:rsidRPr="00B82E67">
        <w:rPr>
          <w:rFonts w:ascii="Times New Roman" w:hAnsi="Times New Roman" w:cs="Times New Roman"/>
          <w:sz w:val="24"/>
          <w:szCs w:val="24"/>
          <w:vertAlign w:val="subscript"/>
        </w:rPr>
        <w:t>10</w:t>
      </w:r>
      <w:r w:rsidRPr="00B82E67">
        <w:rPr>
          <w:rFonts w:ascii="Times New Roman" w:hAnsi="Times New Roman" w:cs="Times New Roman"/>
          <w:sz w:val="24"/>
          <w:szCs w:val="24"/>
        </w:rPr>
        <w:t xml:space="preserve"> values indicate that very small amount of water soluble Hg can cause significant inhibition on root growth of the tested three native Australian grasses (Table 3). EC</w:t>
      </w:r>
      <w:r w:rsidRPr="00B82E67">
        <w:rPr>
          <w:rFonts w:ascii="Times New Roman" w:hAnsi="Times New Roman" w:cs="Times New Roman"/>
          <w:sz w:val="24"/>
          <w:szCs w:val="24"/>
          <w:vertAlign w:val="subscript"/>
        </w:rPr>
        <w:t xml:space="preserve">10 </w:t>
      </w:r>
      <w:r w:rsidRPr="00B82E67">
        <w:rPr>
          <w:rFonts w:ascii="Times New Roman" w:hAnsi="Times New Roman" w:cs="Times New Roman"/>
          <w:sz w:val="24"/>
          <w:szCs w:val="24"/>
        </w:rPr>
        <w:t xml:space="preserve">values are considered as more reliable indicator than No Observed Effect Concentration (NOEC) </w:t>
      </w:r>
      <w:r>
        <w:rPr>
          <w:rFonts w:ascii="Times New Roman" w:hAnsi="Times New Roman" w:cs="Times New Roman"/>
          <w:noProof/>
          <w:sz w:val="24"/>
          <w:szCs w:val="24"/>
        </w:rPr>
        <w:t>(Warne et al. 2014)</w:t>
      </w:r>
      <w:r w:rsidRPr="00B82E67">
        <w:rPr>
          <w:rFonts w:ascii="Times New Roman" w:hAnsi="Times New Roman" w:cs="Times New Roman"/>
          <w:sz w:val="24"/>
          <w:szCs w:val="24"/>
        </w:rPr>
        <w:t>. The EC</w:t>
      </w:r>
      <w:r w:rsidRPr="00B82E67">
        <w:rPr>
          <w:rFonts w:ascii="Times New Roman" w:hAnsi="Times New Roman" w:cs="Times New Roman"/>
          <w:sz w:val="24"/>
          <w:szCs w:val="24"/>
          <w:vertAlign w:val="subscript"/>
        </w:rPr>
        <w:t>10</w:t>
      </w:r>
      <w:r w:rsidRPr="00B82E67">
        <w:rPr>
          <w:rFonts w:ascii="Times New Roman" w:hAnsi="Times New Roman" w:cs="Times New Roman"/>
          <w:sz w:val="24"/>
          <w:szCs w:val="24"/>
        </w:rPr>
        <w:t xml:space="preserve"> values obtained in this study indicate that soil inorganic Hg may not be harmful to native Australian plants if the pollution is controlled according to the existing safe limits (ranging from 1 – 170 mg/kg Hg) set by different industrial countries </w:t>
      </w:r>
      <w:r>
        <w:rPr>
          <w:rFonts w:ascii="Times New Roman" w:hAnsi="Times New Roman" w:cs="Times New Roman"/>
          <w:noProof/>
          <w:sz w:val="24"/>
          <w:szCs w:val="24"/>
        </w:rPr>
        <w:t>(CCME 1997; EA 2009; GON 2000; NEPM 2013; USEPA 2013)</w:t>
      </w:r>
      <w:r w:rsidRPr="00B82E67">
        <w:rPr>
          <w:rFonts w:ascii="Times New Roman" w:hAnsi="Times New Roman" w:cs="Times New Roman"/>
          <w:sz w:val="24"/>
          <w:szCs w:val="24"/>
        </w:rPr>
        <w:t xml:space="preserve">. </w:t>
      </w:r>
      <w:proofErr w:type="gramStart"/>
      <w:r w:rsidRPr="00B82E67">
        <w:rPr>
          <w:rFonts w:ascii="Times New Roman" w:hAnsi="Times New Roman" w:cs="Times New Roman"/>
          <w:sz w:val="24"/>
          <w:szCs w:val="24"/>
        </w:rPr>
        <w:t>Since all of tested grass species can withstand considerable amount of Hg in soil (reflected by EC</w:t>
      </w:r>
      <w:r w:rsidRPr="00B82E67">
        <w:rPr>
          <w:rFonts w:ascii="Times New Roman" w:hAnsi="Times New Roman" w:cs="Times New Roman"/>
          <w:sz w:val="24"/>
          <w:szCs w:val="24"/>
          <w:vertAlign w:val="subscript"/>
        </w:rPr>
        <w:t>20</w:t>
      </w:r>
      <w:r w:rsidRPr="00B82E67">
        <w:rPr>
          <w:rFonts w:ascii="Times New Roman" w:hAnsi="Times New Roman" w:cs="Times New Roman"/>
          <w:sz w:val="24"/>
          <w:szCs w:val="24"/>
        </w:rPr>
        <w:t xml:space="preserve"> values at Table 3), these native grasses can be used for revegetation in mercury contaminated sites.</w:t>
      </w:r>
      <w:proofErr w:type="gramEnd"/>
    </w:p>
    <w:p w:rsidR="003F2493" w:rsidRPr="00B82E67" w:rsidRDefault="003F2493" w:rsidP="00B82E67">
      <w:pPr>
        <w:autoSpaceDE w:val="0"/>
        <w:autoSpaceDN w:val="0"/>
        <w:adjustRightInd w:val="0"/>
        <w:spacing w:after="0" w:line="240" w:lineRule="auto"/>
        <w:jc w:val="both"/>
        <w:rPr>
          <w:rFonts w:ascii="Times New Roman" w:hAnsi="Times New Roman" w:cs="Times New Roman"/>
          <w:sz w:val="24"/>
          <w:szCs w:val="24"/>
        </w:rPr>
      </w:pPr>
    </w:p>
    <w:p w:rsidR="00DF3F3B" w:rsidRPr="00B82E67" w:rsidRDefault="00DF3F3B" w:rsidP="00B82E67">
      <w:pPr>
        <w:pStyle w:val="ListParagraph"/>
        <w:numPr>
          <w:ilvl w:val="0"/>
          <w:numId w:val="3"/>
        </w:numPr>
        <w:spacing w:after="0" w:line="240" w:lineRule="auto"/>
        <w:jc w:val="both"/>
        <w:rPr>
          <w:rFonts w:ascii="Times New Roman" w:hAnsi="Times New Roman" w:cs="Times New Roman"/>
          <w:b/>
          <w:sz w:val="24"/>
          <w:szCs w:val="24"/>
        </w:rPr>
      </w:pPr>
      <w:r w:rsidRPr="00B82E67">
        <w:rPr>
          <w:rFonts w:ascii="Times New Roman" w:hAnsi="Times New Roman" w:cs="Times New Roman"/>
          <w:b/>
          <w:sz w:val="24"/>
          <w:szCs w:val="24"/>
        </w:rPr>
        <w:t>Conclusion</w:t>
      </w:r>
    </w:p>
    <w:p w:rsidR="00DF3F3B" w:rsidRDefault="00DF3F3B" w:rsidP="00B82E67">
      <w:pPr>
        <w:spacing w:after="0" w:line="240" w:lineRule="auto"/>
        <w:jc w:val="both"/>
        <w:rPr>
          <w:rFonts w:ascii="Times New Roman" w:hAnsi="Times New Roman" w:cs="Times New Roman"/>
          <w:bCs/>
          <w:sz w:val="24"/>
          <w:szCs w:val="24"/>
        </w:rPr>
      </w:pPr>
      <w:r w:rsidRPr="00B82E67">
        <w:rPr>
          <w:rFonts w:ascii="Times New Roman" w:hAnsi="Times New Roman" w:cs="Times New Roman"/>
          <w:sz w:val="24"/>
          <w:szCs w:val="24"/>
        </w:rPr>
        <w:t>In this study, toxicity of inorganic Hg to three native Australian grass species was determined by growing them in three different natural soils spiked with a range of Hg concentrations. Mercury was observed to inhibit the plant’s root growth at certain concentration in a sigmoidal pattern in varying degrees. Effective toxic Hg concentrations were estimated from dose – response relationships which showed that high dose</w:t>
      </w:r>
      <w:r w:rsidR="001A06DF">
        <w:rPr>
          <w:rFonts w:ascii="Times New Roman" w:hAnsi="Times New Roman" w:cs="Times New Roman"/>
          <w:sz w:val="24"/>
          <w:szCs w:val="24"/>
        </w:rPr>
        <w:t>s</w:t>
      </w:r>
      <w:r w:rsidRPr="00B82E67">
        <w:rPr>
          <w:rFonts w:ascii="Times New Roman" w:hAnsi="Times New Roman" w:cs="Times New Roman"/>
          <w:sz w:val="24"/>
          <w:szCs w:val="24"/>
        </w:rPr>
        <w:t xml:space="preserve"> of Hg </w:t>
      </w:r>
      <w:r w:rsidR="001A06DF" w:rsidRPr="00AD1C70">
        <w:rPr>
          <w:rFonts w:ascii="Times New Roman" w:hAnsi="Times New Roman" w:cs="Times New Roman"/>
          <w:sz w:val="24"/>
          <w:szCs w:val="24"/>
        </w:rPr>
        <w:t>(98 – 115 mg/kg total Hg)</w:t>
      </w:r>
      <w:r w:rsidR="001A06DF">
        <w:rPr>
          <w:rFonts w:ascii="Times New Roman" w:hAnsi="Times New Roman" w:cs="Times New Roman"/>
          <w:sz w:val="24"/>
          <w:szCs w:val="24"/>
        </w:rPr>
        <w:t xml:space="preserve"> </w:t>
      </w:r>
      <w:r w:rsidRPr="00B82E67">
        <w:rPr>
          <w:rFonts w:ascii="Times New Roman" w:hAnsi="Times New Roman" w:cs="Times New Roman"/>
          <w:sz w:val="24"/>
          <w:szCs w:val="24"/>
        </w:rPr>
        <w:t xml:space="preserve">were required in all soils to inhibit </w:t>
      </w:r>
      <w:r w:rsidR="001A06DF" w:rsidRPr="00AD1C70">
        <w:rPr>
          <w:rFonts w:ascii="Times New Roman" w:hAnsi="Times New Roman" w:cs="Times New Roman"/>
          <w:sz w:val="24"/>
          <w:szCs w:val="24"/>
        </w:rPr>
        <w:t>10%</w:t>
      </w:r>
      <w:r w:rsidR="001A06DF">
        <w:rPr>
          <w:rFonts w:ascii="Times New Roman" w:hAnsi="Times New Roman" w:cs="Times New Roman"/>
          <w:sz w:val="24"/>
          <w:szCs w:val="24"/>
        </w:rPr>
        <w:t xml:space="preserve"> </w:t>
      </w:r>
      <w:r w:rsidRPr="00B82E67">
        <w:rPr>
          <w:rFonts w:ascii="Times New Roman" w:hAnsi="Times New Roman" w:cs="Times New Roman"/>
          <w:sz w:val="24"/>
          <w:szCs w:val="24"/>
        </w:rPr>
        <w:t xml:space="preserve">root growth of all tested plants (except </w:t>
      </w:r>
      <w:proofErr w:type="spellStart"/>
      <w:r w:rsidRPr="00B82E67">
        <w:rPr>
          <w:rFonts w:ascii="Times New Roman" w:hAnsi="Times New Roman" w:cs="Times New Roman"/>
          <w:bCs/>
          <w:i/>
          <w:sz w:val="24"/>
          <w:szCs w:val="24"/>
        </w:rPr>
        <w:t>Iseilema</w:t>
      </w:r>
      <w:proofErr w:type="spellEnd"/>
      <w:r w:rsidRPr="00B82E67">
        <w:rPr>
          <w:rFonts w:ascii="Times New Roman" w:hAnsi="Times New Roman" w:cs="Times New Roman"/>
          <w:bCs/>
          <w:i/>
          <w:sz w:val="24"/>
          <w:szCs w:val="24"/>
        </w:rPr>
        <w:t xml:space="preserve"> </w:t>
      </w:r>
      <w:proofErr w:type="spellStart"/>
      <w:r w:rsidRPr="00B82E67">
        <w:rPr>
          <w:rFonts w:ascii="Times New Roman" w:hAnsi="Times New Roman" w:cs="Times New Roman"/>
          <w:bCs/>
          <w:i/>
          <w:sz w:val="24"/>
          <w:szCs w:val="24"/>
        </w:rPr>
        <w:t>membranaceum</w:t>
      </w:r>
      <w:proofErr w:type="spellEnd"/>
      <w:r w:rsidRPr="00B82E67">
        <w:rPr>
          <w:rFonts w:ascii="Times New Roman" w:hAnsi="Times New Roman" w:cs="Times New Roman"/>
          <w:bCs/>
          <w:sz w:val="24"/>
          <w:szCs w:val="24"/>
        </w:rPr>
        <w:t xml:space="preserve"> grown</w:t>
      </w:r>
      <w:r w:rsidRPr="00B82E67">
        <w:rPr>
          <w:rFonts w:ascii="Times New Roman" w:hAnsi="Times New Roman" w:cs="Times New Roman"/>
          <w:bCs/>
          <w:i/>
          <w:sz w:val="24"/>
          <w:szCs w:val="24"/>
        </w:rPr>
        <w:t xml:space="preserve"> </w:t>
      </w:r>
      <w:r w:rsidRPr="00B82E67">
        <w:rPr>
          <w:rFonts w:ascii="Times New Roman" w:hAnsi="Times New Roman" w:cs="Times New Roman"/>
          <w:bCs/>
          <w:sz w:val="24"/>
          <w:szCs w:val="24"/>
        </w:rPr>
        <w:t xml:space="preserve">in alkaline soil). </w:t>
      </w:r>
      <w:r w:rsidR="001A06DF" w:rsidRPr="00AD1C70">
        <w:rPr>
          <w:rFonts w:ascii="Times New Roman" w:hAnsi="Times New Roman" w:cs="Times New Roman"/>
          <w:bCs/>
          <w:sz w:val="24"/>
          <w:szCs w:val="24"/>
        </w:rPr>
        <w:t xml:space="preserve">Massive root growth inhibition (50% inhibition) of three plants in three soils was observed at 10, 123, 126, 132, 200, 209, and 224 mg/kg total </w:t>
      </w:r>
      <w:r w:rsidR="001A06DF" w:rsidRPr="00AD1C70">
        <w:rPr>
          <w:rFonts w:ascii="Times New Roman" w:hAnsi="Times New Roman" w:cs="Times New Roman"/>
          <w:bCs/>
          <w:sz w:val="24"/>
          <w:szCs w:val="24"/>
        </w:rPr>
        <w:lastRenderedPageBreak/>
        <w:t>Hg concentrations.</w:t>
      </w:r>
      <w:r w:rsidR="001A06DF">
        <w:rPr>
          <w:rFonts w:ascii="Times New Roman" w:hAnsi="Times New Roman" w:cs="Times New Roman"/>
          <w:bCs/>
          <w:sz w:val="24"/>
          <w:szCs w:val="24"/>
        </w:rPr>
        <w:t xml:space="preserve"> </w:t>
      </w:r>
      <w:r w:rsidRPr="00B82E67">
        <w:rPr>
          <w:rFonts w:ascii="Times New Roman" w:hAnsi="Times New Roman" w:cs="Times New Roman"/>
          <w:bCs/>
          <w:sz w:val="24"/>
          <w:szCs w:val="24"/>
        </w:rPr>
        <w:t>Further study is required to investigate the accumulation of Hg in native Australian grasses and its effect on their biochemistry and genetics.</w:t>
      </w:r>
    </w:p>
    <w:p w:rsidR="00F90F16" w:rsidRDefault="00F90F16" w:rsidP="00B82E67">
      <w:pPr>
        <w:spacing w:after="0" w:line="240" w:lineRule="auto"/>
        <w:jc w:val="both"/>
        <w:rPr>
          <w:rFonts w:ascii="Times New Roman" w:hAnsi="Times New Roman" w:cs="Times New Roman"/>
          <w:bCs/>
          <w:sz w:val="24"/>
          <w:szCs w:val="24"/>
        </w:rPr>
      </w:pPr>
    </w:p>
    <w:p w:rsidR="003F2493" w:rsidRPr="00B82E67" w:rsidRDefault="003F2493" w:rsidP="00B82E67">
      <w:pPr>
        <w:spacing w:after="0" w:line="240" w:lineRule="auto"/>
        <w:jc w:val="both"/>
        <w:rPr>
          <w:rFonts w:ascii="Times New Roman" w:hAnsi="Times New Roman" w:cs="Times New Roman"/>
          <w:bCs/>
          <w:sz w:val="24"/>
          <w:szCs w:val="24"/>
        </w:rPr>
      </w:pPr>
    </w:p>
    <w:p w:rsidR="00DF3F3B" w:rsidRPr="00B82E67" w:rsidRDefault="00DF3F3B" w:rsidP="00B82E67">
      <w:pPr>
        <w:pStyle w:val="ListParagraph"/>
        <w:numPr>
          <w:ilvl w:val="0"/>
          <w:numId w:val="3"/>
        </w:numPr>
        <w:spacing w:after="0" w:line="240" w:lineRule="auto"/>
        <w:jc w:val="both"/>
        <w:rPr>
          <w:rFonts w:ascii="Times New Roman" w:hAnsi="Times New Roman" w:cs="Times New Roman"/>
          <w:b/>
          <w:bCs/>
          <w:sz w:val="24"/>
          <w:szCs w:val="24"/>
        </w:rPr>
      </w:pPr>
      <w:r w:rsidRPr="00B82E67">
        <w:rPr>
          <w:rFonts w:ascii="Times New Roman" w:hAnsi="Times New Roman" w:cs="Times New Roman"/>
          <w:b/>
          <w:bCs/>
          <w:sz w:val="24"/>
          <w:szCs w:val="24"/>
        </w:rPr>
        <w:t>Acknowledgement</w:t>
      </w:r>
    </w:p>
    <w:p w:rsidR="00DF3F3B" w:rsidRDefault="00DF3F3B" w:rsidP="00B82E67">
      <w:pPr>
        <w:spacing w:after="0" w:line="240" w:lineRule="auto"/>
        <w:jc w:val="both"/>
        <w:rPr>
          <w:rFonts w:ascii="Times New Roman" w:hAnsi="Times New Roman" w:cs="Times New Roman"/>
          <w:sz w:val="24"/>
          <w:szCs w:val="24"/>
        </w:rPr>
      </w:pPr>
      <w:r w:rsidRPr="00B82E67">
        <w:rPr>
          <w:rFonts w:ascii="Times New Roman" w:hAnsi="Times New Roman" w:cs="Times New Roman"/>
          <w:sz w:val="24"/>
          <w:szCs w:val="24"/>
        </w:rPr>
        <w:t xml:space="preserve">KRM acknowledges The University of Newcastle and CRCCARE. The authors are grateful to </w:t>
      </w:r>
      <w:proofErr w:type="spellStart"/>
      <w:r w:rsidRPr="00B82E67">
        <w:rPr>
          <w:rFonts w:ascii="Times New Roman" w:hAnsi="Times New Roman" w:cs="Times New Roman"/>
          <w:sz w:val="24"/>
          <w:szCs w:val="24"/>
        </w:rPr>
        <w:t>Dr</w:t>
      </w:r>
      <w:proofErr w:type="spellEnd"/>
      <w:r w:rsidRPr="00B82E67">
        <w:rPr>
          <w:rFonts w:ascii="Times New Roman" w:hAnsi="Times New Roman" w:cs="Times New Roman"/>
          <w:sz w:val="24"/>
          <w:szCs w:val="24"/>
        </w:rPr>
        <w:t xml:space="preserve"> Mohammad Rahman for ICP-QQQ-MS analysis. </w:t>
      </w:r>
    </w:p>
    <w:p w:rsidR="003F2493" w:rsidRPr="00B82E67" w:rsidRDefault="003F2493" w:rsidP="00B82E67">
      <w:pPr>
        <w:spacing w:after="0" w:line="240" w:lineRule="auto"/>
        <w:jc w:val="both"/>
        <w:rPr>
          <w:rFonts w:ascii="Times New Roman" w:hAnsi="Times New Roman" w:cs="Times New Roman"/>
          <w:sz w:val="24"/>
          <w:szCs w:val="24"/>
        </w:rPr>
      </w:pPr>
    </w:p>
    <w:p w:rsidR="00DF3F3B" w:rsidRPr="00B82E67" w:rsidRDefault="00DF3F3B" w:rsidP="00B82E67">
      <w:pPr>
        <w:pStyle w:val="ListParagraph"/>
        <w:numPr>
          <w:ilvl w:val="0"/>
          <w:numId w:val="3"/>
        </w:numPr>
        <w:spacing w:after="0" w:line="240" w:lineRule="auto"/>
        <w:jc w:val="both"/>
        <w:rPr>
          <w:rFonts w:ascii="Times New Roman" w:hAnsi="Times New Roman" w:cs="Times New Roman"/>
          <w:sz w:val="24"/>
          <w:szCs w:val="24"/>
        </w:rPr>
      </w:pPr>
      <w:r w:rsidRPr="00B82E67">
        <w:rPr>
          <w:rFonts w:ascii="Times New Roman" w:hAnsi="Times New Roman" w:cs="Times New Roman"/>
          <w:b/>
          <w:sz w:val="24"/>
          <w:szCs w:val="24"/>
        </w:rPr>
        <w:t>References</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Busto Y, Tack F, Cabrera X (2012) Mercury mobility and availability in highly contaminated solid wastes from a chlor-alkali plant</w:t>
      </w:r>
      <w:r w:rsidR="00C37890">
        <w:rPr>
          <w:rFonts w:ascii="Times New Roman" w:hAnsi="Times New Roman" w:cs="Times New Roman"/>
        </w:rPr>
        <w:t>.</w:t>
      </w:r>
      <w:r w:rsidRPr="003F2493">
        <w:rPr>
          <w:rFonts w:ascii="Times New Roman" w:hAnsi="Times New Roman" w:cs="Times New Roman"/>
        </w:rPr>
        <w:t xml:space="preserve"> International Journal of Environment and Sustainable Development 11:3-18</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Cargnelutti D</w:t>
      </w:r>
      <w:r w:rsidR="00B43E2C">
        <w:rPr>
          <w:rFonts w:ascii="Times New Roman" w:hAnsi="Times New Roman" w:cs="Times New Roman"/>
        </w:rPr>
        <w:t>, Tabaldi LA, Spanvello RM, de Oliveria JG, Battisti V, Redin M, Linares CEB, Dressler VL, de Moraes FEM, Nicoloso FT</w:t>
      </w:r>
      <w:r w:rsidRPr="003F2493">
        <w:rPr>
          <w:rFonts w:ascii="Times New Roman" w:hAnsi="Times New Roman" w:cs="Times New Roman"/>
        </w:rPr>
        <w:t xml:space="preserve"> (2006) Mercury toxicity induces oxidative stress in growing cucumber seedlings</w:t>
      </w:r>
      <w:r w:rsidR="00C37890">
        <w:rPr>
          <w:rFonts w:ascii="Times New Roman" w:hAnsi="Times New Roman" w:cs="Times New Roman"/>
        </w:rPr>
        <w:t>.</w:t>
      </w:r>
      <w:r w:rsidRPr="003F2493">
        <w:rPr>
          <w:rFonts w:ascii="Times New Roman" w:hAnsi="Times New Roman" w:cs="Times New Roman"/>
        </w:rPr>
        <w:t xml:space="preserve"> Chemosphere 65:999-1006</w:t>
      </w:r>
      <w:r w:rsidR="00C37890">
        <w:rPr>
          <w:rFonts w:ascii="Times New Roman" w:hAnsi="Times New Roman" w:cs="Times New Roman"/>
        </w:rPr>
        <w:t>.</w:t>
      </w:r>
      <w:r w:rsidRPr="003F2493">
        <w:rPr>
          <w:rFonts w:ascii="Times New Roman" w:hAnsi="Times New Roman" w:cs="Times New Roman"/>
        </w:rPr>
        <w:t xml:space="preserve"> doi:http://dx.doi.org/10.1016/j.chemosphere.2006.03.037</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CCME (1997) Recommended Canadian Soil Quality Guidelines. doi:http://www.ccme.ca/en/resources/canadian_environmental_quality_guidelines/index.html</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Crawford SA, Wilkens S (1997) Ultrastructural changes in root cap cells of two Australian native grass species following exposure to aluminium</w:t>
      </w:r>
      <w:r w:rsidR="00C37890">
        <w:rPr>
          <w:rFonts w:ascii="Times New Roman" w:hAnsi="Times New Roman" w:cs="Times New Roman"/>
        </w:rPr>
        <w:t>.</w:t>
      </w:r>
      <w:r w:rsidRPr="003F2493">
        <w:rPr>
          <w:rFonts w:ascii="Times New Roman" w:hAnsi="Times New Roman" w:cs="Times New Roman"/>
        </w:rPr>
        <w:t xml:space="preserve"> Functional Plant Biology 24:165-174</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 xml:space="preserve">EA (2009) Soil guideline values for mercury in soil: science report SCO50021/Mercury SGV. Environment Agency. https://www.gov.uk/government/publications/land-contamination-soil-guideline-values-sgvs. </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Gardner WH, Klute A (1986) Water content. Methods of soil analysis. Part 1. Physical and mineralogical methods, 2nd edn. SSSA Inc. and ASA Inc., Madison, WI, USA</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Godbold D (1991) Mercury-induced root damage in spruce seedlings</w:t>
      </w:r>
      <w:r w:rsidR="00C37890">
        <w:rPr>
          <w:rFonts w:ascii="Times New Roman" w:hAnsi="Times New Roman" w:cs="Times New Roman"/>
        </w:rPr>
        <w:t>.</w:t>
      </w:r>
      <w:r w:rsidRPr="003F2493">
        <w:rPr>
          <w:rFonts w:ascii="Times New Roman" w:hAnsi="Times New Roman" w:cs="Times New Roman"/>
        </w:rPr>
        <w:t xml:space="preserve"> Water, Air, &amp; Soil Pollution 56:823-831</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 xml:space="preserve">GON (2000) Dutch Target and Intervention Values (The New Dutch List). Government of the Netherlands, Netherlands., </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Gu B, Bian Y, Miller CL, Dong W, Jiang X, Liang L (2011) Mercury reduction and complexation by natural organic matter in anoxic environments</w:t>
      </w:r>
      <w:r w:rsidR="00C37890">
        <w:rPr>
          <w:rFonts w:ascii="Times New Roman" w:hAnsi="Times New Roman" w:cs="Times New Roman"/>
        </w:rPr>
        <w:t>.</w:t>
      </w:r>
      <w:r w:rsidRPr="003F2493">
        <w:rPr>
          <w:rFonts w:ascii="Times New Roman" w:hAnsi="Times New Roman" w:cs="Times New Roman"/>
        </w:rPr>
        <w:t xml:space="preserve"> Proceedings of the National Academy of Sciences 108:1479-1483</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Kader M, Lamb DT, Mahbub KR, Megharaj M, Naidu R (2016) Predicting plant uptake and toxicity of lead (Pb) in long-term contaminated soils from derived transfer functions</w:t>
      </w:r>
      <w:r w:rsidR="00C37890">
        <w:rPr>
          <w:rFonts w:ascii="Times New Roman" w:hAnsi="Times New Roman" w:cs="Times New Roman"/>
        </w:rPr>
        <w:t>.</w:t>
      </w:r>
      <w:r w:rsidRPr="003F2493">
        <w:rPr>
          <w:rFonts w:ascii="Times New Roman" w:hAnsi="Times New Roman" w:cs="Times New Roman"/>
        </w:rPr>
        <w:t xml:space="preserve"> Environmental Science and Pollution Research:1-11</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Lamb DT, Ming H, Megharaj M, Naidu R (2010a) Phytotoxicity and accumulation of lead in Australian native vegetation</w:t>
      </w:r>
      <w:r w:rsidR="00C37890">
        <w:rPr>
          <w:rFonts w:ascii="Times New Roman" w:hAnsi="Times New Roman" w:cs="Times New Roman"/>
        </w:rPr>
        <w:t>.</w:t>
      </w:r>
      <w:r w:rsidRPr="003F2493">
        <w:rPr>
          <w:rFonts w:ascii="Times New Roman" w:hAnsi="Times New Roman" w:cs="Times New Roman"/>
        </w:rPr>
        <w:t xml:space="preserve"> Archives of environmental contamination and toxicology 58:613-621</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Lamb DT, Ming H, Megharaj M, Naidu R (2010b) Relative tolerance of a range of Australian native plant species and lettuce to copper, zinc, cadmium, and lead</w:t>
      </w:r>
      <w:r w:rsidR="00C37890">
        <w:rPr>
          <w:rFonts w:ascii="Times New Roman" w:hAnsi="Times New Roman" w:cs="Times New Roman"/>
        </w:rPr>
        <w:t>.</w:t>
      </w:r>
      <w:r w:rsidRPr="003F2493">
        <w:rPr>
          <w:rFonts w:ascii="Times New Roman" w:hAnsi="Times New Roman" w:cs="Times New Roman"/>
        </w:rPr>
        <w:t xml:space="preserve"> Archives of environmental contamination and toxicology 59:424-432</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Lamb DT, Naidu R, Ming H, Megharaj M (2012) Copper phytotoxicity in native and agronomical plant species</w:t>
      </w:r>
      <w:r w:rsidR="00C37890">
        <w:rPr>
          <w:rFonts w:ascii="Times New Roman" w:hAnsi="Times New Roman" w:cs="Times New Roman"/>
        </w:rPr>
        <w:t>.</w:t>
      </w:r>
      <w:r w:rsidRPr="003F2493">
        <w:rPr>
          <w:rFonts w:ascii="Times New Roman" w:hAnsi="Times New Roman" w:cs="Times New Roman"/>
        </w:rPr>
        <w:t xml:space="preserve"> Ecotoxicology and environmental safety 85:23-29</w:t>
      </w:r>
    </w:p>
    <w:p w:rsidR="006D3945" w:rsidRDefault="0039600C" w:rsidP="00A41BFF">
      <w:pPr>
        <w:pStyle w:val="EndNoteBibliography"/>
        <w:spacing w:after="0"/>
        <w:ind w:left="720" w:hanging="720"/>
        <w:rPr>
          <w:rFonts w:ascii="Times New Roman" w:hAnsi="Times New Roman" w:cs="Times New Roman"/>
        </w:rPr>
      </w:pPr>
      <w:r>
        <w:rPr>
          <w:rFonts w:ascii="Times New Roman" w:hAnsi="Times New Roman" w:cs="Times New Roman"/>
        </w:rPr>
        <w:t xml:space="preserve">Li B, Shi JB, Wang X, Meng M, Huang L, Qi XL, He B, Ye ZH </w:t>
      </w:r>
      <w:r w:rsidR="00DF3F3B" w:rsidRPr="003F2493">
        <w:rPr>
          <w:rFonts w:ascii="Times New Roman" w:hAnsi="Times New Roman" w:cs="Times New Roman"/>
        </w:rPr>
        <w:t>(2013) Variations and constancy of mercury and methylmercury accumulation in rice grown at contaminated paddy field sites in three Provinces of China</w:t>
      </w:r>
      <w:r w:rsidR="00C37890">
        <w:rPr>
          <w:rFonts w:ascii="Times New Roman" w:hAnsi="Times New Roman" w:cs="Times New Roman"/>
        </w:rPr>
        <w:t>.</w:t>
      </w:r>
      <w:r w:rsidR="00DF3F3B" w:rsidRPr="003F2493">
        <w:rPr>
          <w:rFonts w:ascii="Times New Roman" w:hAnsi="Times New Roman" w:cs="Times New Roman"/>
        </w:rPr>
        <w:t xml:space="preserve"> Environmental Pollution 181:91-97</w:t>
      </w:r>
    </w:p>
    <w:p w:rsidR="006D3945" w:rsidRPr="006D3945" w:rsidRDefault="006D3945" w:rsidP="006D3945">
      <w:pPr>
        <w:pStyle w:val="EndNoteBibliography"/>
        <w:spacing w:after="0"/>
        <w:ind w:left="720" w:hanging="720"/>
        <w:rPr>
          <w:rFonts w:ascii="Times New Roman" w:hAnsi="Times New Roman" w:cs="Times New Roman"/>
          <w:szCs w:val="22"/>
        </w:rPr>
      </w:pPr>
      <w:r w:rsidRPr="006D3945">
        <w:rPr>
          <w:rFonts w:ascii="Times New Roman" w:hAnsi="Times New Roman" w:cs="Times New Roman"/>
          <w:highlight w:val="yellow"/>
        </w:rPr>
        <w:t>Li J, Liu L, Huang G,</w:t>
      </w:r>
      <w:r w:rsidRPr="006D3945">
        <w:rPr>
          <w:rFonts w:ascii="Times New Roman" w:hAnsi="Times New Roman" w:cs="Times New Roman"/>
          <w:szCs w:val="22"/>
          <w:highlight w:val="yellow"/>
        </w:rPr>
        <w:t xml:space="preserve"> Zeng G (2006) </w:t>
      </w:r>
      <w:r w:rsidRPr="006D3945">
        <w:rPr>
          <w:rFonts w:ascii="Times New Roman" w:hAnsi="Times New Roman" w:cs="Times New Roman"/>
          <w:szCs w:val="22"/>
          <w:highlight w:val="yellow"/>
          <w:lang w:val="en" w:bidi="ar-SA"/>
        </w:rPr>
        <w:t>A Fuzzy-Set Approach for Addressing Uncertainties in Risk Assessment of Hydrocarbon-Contaminated Site. Water Air Soil Pollut 171: 5-18.</w:t>
      </w:r>
    </w:p>
    <w:p w:rsidR="00727BC3" w:rsidRPr="003F2493" w:rsidRDefault="00727BC3" w:rsidP="00A41BFF">
      <w:pPr>
        <w:pStyle w:val="EndNoteBibliography"/>
        <w:spacing w:after="0"/>
        <w:ind w:left="720" w:hanging="720"/>
        <w:rPr>
          <w:rFonts w:ascii="Times New Roman" w:hAnsi="Times New Roman" w:cs="Times New Roman"/>
        </w:rPr>
      </w:pPr>
      <w:r>
        <w:rPr>
          <w:rFonts w:ascii="Times New Roman" w:hAnsi="Times New Roman" w:cs="Times New Roman"/>
        </w:rPr>
        <w:t>Mahbub KR, Kris</w:t>
      </w:r>
      <w:r w:rsidR="00011819">
        <w:rPr>
          <w:rFonts w:ascii="Times New Roman" w:hAnsi="Times New Roman" w:cs="Times New Roman"/>
        </w:rPr>
        <w:t>hnan K, Naidu R, Andrews S (2017</w:t>
      </w:r>
      <w:r>
        <w:rPr>
          <w:rFonts w:ascii="Times New Roman" w:hAnsi="Times New Roman" w:cs="Times New Roman"/>
        </w:rPr>
        <w:t>), Mercury toxicity to terrestrial biota. Ecological Indicators</w:t>
      </w:r>
      <w:r w:rsidR="00011819">
        <w:rPr>
          <w:rFonts w:ascii="Times New Roman" w:hAnsi="Times New Roman" w:cs="Times New Roman"/>
          <w:szCs w:val="22"/>
        </w:rPr>
        <w:t xml:space="preserve"> 74: 451-462. </w:t>
      </w:r>
      <w:r w:rsidRPr="00727BC3">
        <w:rPr>
          <w:rFonts w:ascii="Times New Roman" w:eastAsiaTheme="minorHAnsi" w:hAnsi="Times New Roman" w:cs="Times New Roman"/>
          <w:szCs w:val="22"/>
          <w:lang w:val="en-AU" w:bidi="ar-SA"/>
        </w:rPr>
        <w:t>http://dx.doi.org/10.1016/j.ecolind.2016.12.004</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Melgar M, Alonso J, García M (2009) Mercury in edible mushrooms and underlying soil: bioconcentration factors and toxicological risk</w:t>
      </w:r>
      <w:r w:rsidR="00C37890">
        <w:rPr>
          <w:rFonts w:ascii="Times New Roman" w:hAnsi="Times New Roman" w:cs="Times New Roman"/>
        </w:rPr>
        <w:t>.</w:t>
      </w:r>
      <w:r w:rsidRPr="003F2493">
        <w:rPr>
          <w:rFonts w:ascii="Times New Roman" w:hAnsi="Times New Roman" w:cs="Times New Roman"/>
        </w:rPr>
        <w:t xml:space="preserve"> Science of the Total Environment 407:5328-5334</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lastRenderedPageBreak/>
        <w:t>Meng B, Feng X, Qiu G, Wang D, Liang P, Li P, Shang L (2012) Inorganic mercury accumulation in rice (</w:t>
      </w:r>
      <w:r w:rsidRPr="00C37890">
        <w:rPr>
          <w:rFonts w:ascii="Times New Roman" w:hAnsi="Times New Roman" w:cs="Times New Roman"/>
          <w:i/>
        </w:rPr>
        <w:t>Oryza sativa</w:t>
      </w:r>
      <w:r w:rsidRPr="003F2493">
        <w:rPr>
          <w:rFonts w:ascii="Times New Roman" w:hAnsi="Times New Roman" w:cs="Times New Roman"/>
        </w:rPr>
        <w:t xml:space="preserve"> L.)</w:t>
      </w:r>
      <w:r w:rsidR="00C37890">
        <w:rPr>
          <w:rFonts w:ascii="Times New Roman" w:hAnsi="Times New Roman" w:cs="Times New Roman"/>
        </w:rPr>
        <w:t>.</w:t>
      </w:r>
      <w:r w:rsidRPr="003F2493">
        <w:rPr>
          <w:rFonts w:ascii="Times New Roman" w:hAnsi="Times New Roman" w:cs="Times New Roman"/>
        </w:rPr>
        <w:t xml:space="preserve"> Environmental Toxicology and Chemistry 31:2093-2098 doi:10.1002/etc.1913</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Meng M</w:t>
      </w:r>
      <w:r w:rsidR="00B1038A">
        <w:rPr>
          <w:rFonts w:ascii="Times New Roman" w:hAnsi="Times New Roman" w:cs="Times New Roman"/>
        </w:rPr>
        <w:t>, Bing L, Jun-Juan S, Thanh W, Bin H, Jian-bo S, Zhi-hong Y, Gui-bin J</w:t>
      </w:r>
      <w:r w:rsidRPr="003F2493">
        <w:rPr>
          <w:rFonts w:ascii="Times New Roman" w:hAnsi="Times New Roman" w:cs="Times New Roman"/>
        </w:rPr>
        <w:t xml:space="preserve"> (2014) Accumulation of total mercury and methylmercury in rice plants collected from different mining areas in China</w:t>
      </w:r>
      <w:r w:rsidR="00C37890">
        <w:rPr>
          <w:rFonts w:ascii="Times New Roman" w:hAnsi="Times New Roman" w:cs="Times New Roman"/>
        </w:rPr>
        <w:t>.</w:t>
      </w:r>
      <w:r w:rsidRPr="003F2493">
        <w:rPr>
          <w:rFonts w:ascii="Times New Roman" w:hAnsi="Times New Roman" w:cs="Times New Roman"/>
        </w:rPr>
        <w:t xml:space="preserve"> Environmental Pollution 184:179-186</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Miller W, Miller D (1987) A micro</w:t>
      </w:r>
      <w:r w:rsidRPr="003F2493">
        <w:rPr>
          <w:rFonts w:ascii="Cambria Math" w:hAnsi="Cambria Math" w:cs="Cambria Math"/>
        </w:rPr>
        <w:t>‐</w:t>
      </w:r>
      <w:r w:rsidRPr="003F2493">
        <w:rPr>
          <w:rFonts w:ascii="Times New Roman" w:hAnsi="Times New Roman" w:cs="Times New Roman"/>
        </w:rPr>
        <w:t>pipette method for soil mechanical analysis</w:t>
      </w:r>
      <w:r w:rsidR="00C37890">
        <w:rPr>
          <w:rFonts w:ascii="Times New Roman" w:hAnsi="Times New Roman" w:cs="Times New Roman"/>
        </w:rPr>
        <w:t>.</w:t>
      </w:r>
      <w:r w:rsidRPr="003F2493">
        <w:rPr>
          <w:rFonts w:ascii="Times New Roman" w:hAnsi="Times New Roman" w:cs="Times New Roman"/>
        </w:rPr>
        <w:t xml:space="preserve"> Communications in Soil Science &amp; Plant Analysis 18:1-15</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Moreno-Jiménez E, Gamarra R, Carpena-Ruiz R, Millán R, Peñalosa J, Esteban E (2006) Mercury bioaccumulation and phytotoxicity in two wild plant species of Almadén area</w:t>
      </w:r>
      <w:r w:rsidR="00C37890">
        <w:rPr>
          <w:rFonts w:ascii="Times New Roman" w:hAnsi="Times New Roman" w:cs="Times New Roman"/>
        </w:rPr>
        <w:t>.</w:t>
      </w:r>
      <w:r w:rsidRPr="003F2493">
        <w:rPr>
          <w:rFonts w:ascii="Times New Roman" w:hAnsi="Times New Roman" w:cs="Times New Roman"/>
        </w:rPr>
        <w:t xml:space="preserve"> Chemosphere 63:1969-1973</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Nagajyoti P, Lee K, Sreekanth T (2010) Heavy metals, occurrence and toxicity for plants: a review</w:t>
      </w:r>
      <w:r w:rsidR="00C37890">
        <w:rPr>
          <w:rFonts w:ascii="Times New Roman" w:hAnsi="Times New Roman" w:cs="Times New Roman"/>
        </w:rPr>
        <w:t>.</w:t>
      </w:r>
      <w:r w:rsidRPr="003F2493">
        <w:rPr>
          <w:rFonts w:ascii="Times New Roman" w:hAnsi="Times New Roman" w:cs="Times New Roman"/>
        </w:rPr>
        <w:t xml:space="preserve"> Environmental Chemistry Letters 8:199-216</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Neculita C-M, Zagury GJ, Deschênes L (2005) Mercury speciation in highly contaminated soils from chlor-alkali plants using chemical extractions</w:t>
      </w:r>
      <w:r w:rsidR="00C37890">
        <w:rPr>
          <w:rFonts w:ascii="Times New Roman" w:hAnsi="Times New Roman" w:cs="Times New Roman"/>
        </w:rPr>
        <w:t>.</w:t>
      </w:r>
      <w:r w:rsidRPr="003F2493">
        <w:rPr>
          <w:rFonts w:ascii="Times New Roman" w:hAnsi="Times New Roman" w:cs="Times New Roman"/>
        </w:rPr>
        <w:t xml:space="preserve"> Journal of Environmental Quality 34:255-262</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NEPM (2013) National Environmental Protection Measure 1999. Schedule B1: Guideline on investigation levels for soil and groundwater. doi:http://www.comlaw.gov.au/Details/F2013C00288/Html/Volume_2</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Patra M, Sharma A (2000) Mercury toxicity in plants</w:t>
      </w:r>
      <w:r w:rsidR="00C37890">
        <w:rPr>
          <w:rFonts w:ascii="Times New Roman" w:hAnsi="Times New Roman" w:cs="Times New Roman"/>
        </w:rPr>
        <w:t>.</w:t>
      </w:r>
      <w:r w:rsidRPr="003F2493">
        <w:rPr>
          <w:rFonts w:ascii="Times New Roman" w:hAnsi="Times New Roman" w:cs="Times New Roman"/>
        </w:rPr>
        <w:t xml:space="preserve"> The Botanical Review 66:379-422 doi:10.1007/BF02868923</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Reis AT, Lopes CB, Davidson CM, Duarte AC, Pereira E (2014) Extraction of mercury water-soluble fraction from soils: An optimization study</w:t>
      </w:r>
      <w:r w:rsidR="00C37890">
        <w:rPr>
          <w:rFonts w:ascii="Times New Roman" w:hAnsi="Times New Roman" w:cs="Times New Roman"/>
        </w:rPr>
        <w:t>.</w:t>
      </w:r>
      <w:r w:rsidRPr="003F2493">
        <w:rPr>
          <w:rFonts w:ascii="Times New Roman" w:hAnsi="Times New Roman" w:cs="Times New Roman"/>
        </w:rPr>
        <w:t xml:space="preserve"> Geoderma 213:255-260</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Sahu GK, Upadhyay S, Sahoo BB (2012) Mercury induced phytotoxicity and oxidative stress in wheat (</w:t>
      </w:r>
      <w:r w:rsidRPr="003F2493">
        <w:rPr>
          <w:rFonts w:ascii="Times New Roman" w:hAnsi="Times New Roman" w:cs="Times New Roman"/>
          <w:i/>
        </w:rPr>
        <w:t>Triticum aestivum L.</w:t>
      </w:r>
      <w:r w:rsidRPr="003F2493">
        <w:rPr>
          <w:rFonts w:ascii="Times New Roman" w:hAnsi="Times New Roman" w:cs="Times New Roman"/>
        </w:rPr>
        <w:t>) plants</w:t>
      </w:r>
      <w:r w:rsidR="00C37890">
        <w:rPr>
          <w:rFonts w:ascii="Times New Roman" w:hAnsi="Times New Roman" w:cs="Times New Roman"/>
        </w:rPr>
        <w:t>.</w:t>
      </w:r>
      <w:r w:rsidRPr="003F2493">
        <w:rPr>
          <w:rFonts w:ascii="Times New Roman" w:hAnsi="Times New Roman" w:cs="Times New Roman"/>
        </w:rPr>
        <w:t xml:space="preserve"> Physiology and Molecular Biology of Plants 18:21-31</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Skyllberg U, Bloom PR, Qian J, Lin C-M, Bleam WF (2006) Complexation of mercury (II) in soil organic matter: EXAFS evidence for linear two-coordination with reduced sulfur groups</w:t>
      </w:r>
      <w:r w:rsidR="00C37890">
        <w:rPr>
          <w:rFonts w:ascii="Times New Roman" w:hAnsi="Times New Roman" w:cs="Times New Roman"/>
        </w:rPr>
        <w:t>.</w:t>
      </w:r>
      <w:r w:rsidRPr="003F2493">
        <w:rPr>
          <w:rFonts w:ascii="Times New Roman" w:hAnsi="Times New Roman" w:cs="Times New Roman"/>
        </w:rPr>
        <w:t xml:space="preserve"> Environmental Science &amp; Technology 40:4174-4180</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 xml:space="preserve">USEPA (2013) United States Environmental Protection Agency (US EPA). Laws and Regulations. http://www2.epa.gov/mercury#rcra. </w:t>
      </w:r>
    </w:p>
    <w:p w:rsidR="00DF3F3B" w:rsidRPr="003F2493" w:rsidRDefault="00DF3F3B" w:rsidP="00A41BFF">
      <w:pPr>
        <w:pStyle w:val="EndNoteBibliography"/>
        <w:spacing w:after="0"/>
        <w:ind w:left="720" w:hanging="720"/>
        <w:rPr>
          <w:rFonts w:ascii="Times New Roman" w:hAnsi="Times New Roman" w:cs="Times New Roman"/>
        </w:rPr>
      </w:pPr>
      <w:r w:rsidRPr="003F2493">
        <w:rPr>
          <w:rFonts w:ascii="Times New Roman" w:hAnsi="Times New Roman" w:cs="Times New Roman"/>
        </w:rPr>
        <w:t>Warne MSJ et al. (2014) Revisions to the derivation of the Australian and New Zealand guidelines for toxicants in fresh and marine waters</w:t>
      </w:r>
      <w:r w:rsidR="00C37890">
        <w:rPr>
          <w:rFonts w:ascii="Times New Roman" w:hAnsi="Times New Roman" w:cs="Times New Roman"/>
        </w:rPr>
        <w:t>.</w:t>
      </w:r>
      <w:r w:rsidRPr="003F2493">
        <w:rPr>
          <w:rFonts w:ascii="Times New Roman" w:hAnsi="Times New Roman" w:cs="Times New Roman"/>
        </w:rPr>
        <w:t xml:space="preserve"> Environmental Science and Pollution Research 21:51-60</w:t>
      </w:r>
    </w:p>
    <w:p w:rsidR="00DF3F3B" w:rsidRPr="003F2493" w:rsidRDefault="00DF3F3B" w:rsidP="00A41BFF">
      <w:pPr>
        <w:pStyle w:val="EndNoteBibliography"/>
        <w:ind w:left="720" w:hanging="720"/>
        <w:rPr>
          <w:rFonts w:ascii="Times New Roman" w:hAnsi="Times New Roman" w:cs="Times New Roman"/>
        </w:rPr>
      </w:pPr>
      <w:r w:rsidRPr="003F2493">
        <w:rPr>
          <w:rFonts w:ascii="Times New Roman" w:hAnsi="Times New Roman" w:cs="Times New Roman"/>
        </w:rPr>
        <w:t>Zhang H, Feng X, Larssen T, Shang L, Li P (2010) Bioaccumulation of methylmercury versus inorganic mercury in rice (</w:t>
      </w:r>
      <w:r w:rsidRPr="003F2493">
        <w:rPr>
          <w:rFonts w:ascii="Times New Roman" w:hAnsi="Times New Roman" w:cs="Times New Roman"/>
          <w:i/>
        </w:rPr>
        <w:t>Oryza sativa</w:t>
      </w:r>
      <w:r w:rsidRPr="003F2493">
        <w:rPr>
          <w:rFonts w:ascii="Times New Roman" w:hAnsi="Times New Roman" w:cs="Times New Roman"/>
        </w:rPr>
        <w:t xml:space="preserve"> L.) grain</w:t>
      </w:r>
      <w:r w:rsidR="00C37890">
        <w:rPr>
          <w:rFonts w:ascii="Times New Roman" w:hAnsi="Times New Roman" w:cs="Times New Roman"/>
        </w:rPr>
        <w:t>.</w:t>
      </w:r>
      <w:r w:rsidRPr="003F2493">
        <w:rPr>
          <w:rFonts w:ascii="Times New Roman" w:hAnsi="Times New Roman" w:cs="Times New Roman"/>
        </w:rPr>
        <w:t xml:space="preserve"> Environmental science &amp; technology 44:4499-4504</w:t>
      </w:r>
    </w:p>
    <w:p w:rsidR="00DF3F3B" w:rsidRPr="00B82E67" w:rsidRDefault="00DF3F3B" w:rsidP="00B82E67">
      <w:pPr>
        <w:spacing w:after="0" w:line="240" w:lineRule="auto"/>
        <w:jc w:val="both"/>
        <w:rPr>
          <w:rFonts w:ascii="Times New Roman" w:hAnsi="Times New Roman" w:cs="Times New Roman"/>
          <w:sz w:val="24"/>
          <w:szCs w:val="24"/>
        </w:rPr>
      </w:pPr>
    </w:p>
    <w:p w:rsidR="00990DD4" w:rsidRDefault="0085752F"/>
    <w:sectPr w:rsidR="00990DD4" w:rsidSect="00583384">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2F" w:rsidRDefault="0085752F">
      <w:pPr>
        <w:spacing w:after="0" w:line="240" w:lineRule="auto"/>
      </w:pPr>
      <w:r>
        <w:separator/>
      </w:r>
    </w:p>
  </w:endnote>
  <w:endnote w:type="continuationSeparator" w:id="0">
    <w:p w:rsidR="0085752F" w:rsidRDefault="0085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mrxrmAdvTTb8864ccf.B">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40443"/>
      <w:docPartObj>
        <w:docPartGallery w:val="Page Numbers (Bottom of Page)"/>
        <w:docPartUnique/>
      </w:docPartObj>
    </w:sdtPr>
    <w:sdtEndPr>
      <w:rPr>
        <w:noProof/>
      </w:rPr>
    </w:sdtEndPr>
    <w:sdtContent>
      <w:p w:rsidR="00A563A1" w:rsidRDefault="00583384">
        <w:pPr>
          <w:pStyle w:val="Footer"/>
          <w:jc w:val="right"/>
        </w:pPr>
        <w:r>
          <w:fldChar w:fldCharType="begin"/>
        </w:r>
        <w:r>
          <w:instrText xml:space="preserve"> PAGE   \* MERGEFORMAT </w:instrText>
        </w:r>
        <w:r>
          <w:fldChar w:fldCharType="separate"/>
        </w:r>
        <w:r w:rsidR="009D3768">
          <w:rPr>
            <w:noProof/>
          </w:rPr>
          <w:t>8</w:t>
        </w:r>
        <w:r>
          <w:rPr>
            <w:noProof/>
          </w:rPr>
          <w:fldChar w:fldCharType="end"/>
        </w:r>
      </w:p>
    </w:sdtContent>
  </w:sdt>
  <w:p w:rsidR="00A563A1" w:rsidRDefault="0085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2F" w:rsidRDefault="0085752F">
      <w:pPr>
        <w:spacing w:after="0" w:line="240" w:lineRule="auto"/>
      </w:pPr>
      <w:r>
        <w:separator/>
      </w:r>
    </w:p>
  </w:footnote>
  <w:footnote w:type="continuationSeparator" w:id="0">
    <w:p w:rsidR="0085752F" w:rsidRDefault="00857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491"/>
    <w:multiLevelType w:val="multilevel"/>
    <w:tmpl w:val="8682CD7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
    <w:nsid w:val="31F7119A"/>
    <w:multiLevelType w:val="multilevel"/>
    <w:tmpl w:val="ED4A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2">
    <w:nsid w:val="738D451B"/>
    <w:multiLevelType w:val="multilevel"/>
    <w:tmpl w:val="8F8453D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h Mallavarapu">
    <w15:presenceInfo w15:providerId="AD" w15:userId="S-1-5-21-1451058757-1749049392-1947940980-362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3F3B"/>
    <w:rsid w:val="00011819"/>
    <w:rsid w:val="0013600B"/>
    <w:rsid w:val="001601BF"/>
    <w:rsid w:val="001777F4"/>
    <w:rsid w:val="001A06DF"/>
    <w:rsid w:val="001C5B47"/>
    <w:rsid w:val="00256FF0"/>
    <w:rsid w:val="00290739"/>
    <w:rsid w:val="002B0CB2"/>
    <w:rsid w:val="003000C6"/>
    <w:rsid w:val="00300753"/>
    <w:rsid w:val="0039600C"/>
    <w:rsid w:val="003C346B"/>
    <w:rsid w:val="003C6052"/>
    <w:rsid w:val="003F2493"/>
    <w:rsid w:val="00432B52"/>
    <w:rsid w:val="00434325"/>
    <w:rsid w:val="004D07A0"/>
    <w:rsid w:val="004E668B"/>
    <w:rsid w:val="004F15F4"/>
    <w:rsid w:val="005068B9"/>
    <w:rsid w:val="00583384"/>
    <w:rsid w:val="006D12EE"/>
    <w:rsid w:val="006D3945"/>
    <w:rsid w:val="006E09C9"/>
    <w:rsid w:val="006E2578"/>
    <w:rsid w:val="006F37D1"/>
    <w:rsid w:val="006F71EC"/>
    <w:rsid w:val="00727BC3"/>
    <w:rsid w:val="007906FF"/>
    <w:rsid w:val="00790E6F"/>
    <w:rsid w:val="00793B4E"/>
    <w:rsid w:val="007D3960"/>
    <w:rsid w:val="007E5D1B"/>
    <w:rsid w:val="007F708D"/>
    <w:rsid w:val="00841522"/>
    <w:rsid w:val="00845572"/>
    <w:rsid w:val="008554ED"/>
    <w:rsid w:val="0085752F"/>
    <w:rsid w:val="00990DD7"/>
    <w:rsid w:val="009A2F8C"/>
    <w:rsid w:val="009B7C38"/>
    <w:rsid w:val="009D3768"/>
    <w:rsid w:val="00A371F1"/>
    <w:rsid w:val="00A84B99"/>
    <w:rsid w:val="00AC609F"/>
    <w:rsid w:val="00AD1C70"/>
    <w:rsid w:val="00B02B52"/>
    <w:rsid w:val="00B1038A"/>
    <w:rsid w:val="00B43E2C"/>
    <w:rsid w:val="00C37890"/>
    <w:rsid w:val="00CC3E9A"/>
    <w:rsid w:val="00DD1371"/>
    <w:rsid w:val="00DF3F3B"/>
    <w:rsid w:val="00EB29DF"/>
    <w:rsid w:val="00F16130"/>
    <w:rsid w:val="00F90F16"/>
    <w:rsid w:val="00FD0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B"/>
    <w:pPr>
      <w:spacing w:after="200" w:line="276" w:lineRule="auto"/>
    </w:pPr>
    <w:rPr>
      <w:rFonts w:eastAsiaTheme="minorEastAsia"/>
      <w:szCs w:val="28"/>
      <w:lang w:val="en-US" w:bidi="bn-IN"/>
    </w:rPr>
  </w:style>
  <w:style w:type="paragraph" w:styleId="Heading1">
    <w:name w:val="heading 1"/>
    <w:basedOn w:val="Normal"/>
    <w:link w:val="Heading1Char"/>
    <w:uiPriority w:val="9"/>
    <w:qFormat/>
    <w:rsid w:val="00DF3F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F3B"/>
    <w:rPr>
      <w:rFonts w:ascii="Times New Roman" w:eastAsia="Times New Roman" w:hAnsi="Times New Roman" w:cs="Times New Roman"/>
      <w:b/>
      <w:bCs/>
      <w:kern w:val="36"/>
      <w:sz w:val="48"/>
      <w:szCs w:val="48"/>
      <w:lang w:eastAsia="en-AU" w:bidi="bn-IN"/>
    </w:rPr>
  </w:style>
  <w:style w:type="table" w:styleId="TableGrid">
    <w:name w:val="Table Grid"/>
    <w:basedOn w:val="TableNormal"/>
    <w:uiPriority w:val="59"/>
    <w:rsid w:val="00D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3F3B"/>
    <w:rPr>
      <w:color w:val="0000FF"/>
      <w:u w:val="single"/>
    </w:rPr>
  </w:style>
  <w:style w:type="paragraph" w:customStyle="1" w:styleId="EndNoteBibliographyTitle">
    <w:name w:val="EndNote Bibliography Title"/>
    <w:basedOn w:val="Normal"/>
    <w:link w:val="EndNoteBibliographyTitleChar"/>
    <w:rsid w:val="00DF3F3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F3F3B"/>
    <w:rPr>
      <w:rFonts w:ascii="Calibri" w:eastAsiaTheme="minorEastAsia" w:hAnsi="Calibri"/>
      <w:noProof/>
      <w:szCs w:val="28"/>
      <w:lang w:val="en-US" w:bidi="bn-IN"/>
    </w:rPr>
  </w:style>
  <w:style w:type="paragraph" w:customStyle="1" w:styleId="EndNoteBibliography">
    <w:name w:val="EndNote Bibliography"/>
    <w:basedOn w:val="Normal"/>
    <w:link w:val="EndNoteBibliographyChar"/>
    <w:rsid w:val="00DF3F3B"/>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F3F3B"/>
    <w:rPr>
      <w:rFonts w:ascii="Calibri" w:eastAsiaTheme="minorEastAsia" w:hAnsi="Calibri"/>
      <w:noProof/>
      <w:szCs w:val="28"/>
      <w:lang w:val="en-US" w:bidi="bn-IN"/>
    </w:rPr>
  </w:style>
  <w:style w:type="paragraph" w:styleId="PlainText">
    <w:name w:val="Plain Text"/>
    <w:basedOn w:val="Normal"/>
    <w:link w:val="PlainTextChar"/>
    <w:uiPriority w:val="99"/>
    <w:unhideWhenUsed/>
    <w:rsid w:val="00DF3F3B"/>
    <w:pPr>
      <w:spacing w:after="0" w:line="240" w:lineRule="auto"/>
    </w:pPr>
    <w:rPr>
      <w:rFonts w:ascii="Calibri" w:eastAsiaTheme="minorHAnsi" w:hAnsi="Calibri"/>
      <w:szCs w:val="21"/>
      <w:lang w:val="en-AU" w:bidi="ar-SA"/>
    </w:rPr>
  </w:style>
  <w:style w:type="character" w:customStyle="1" w:styleId="PlainTextChar">
    <w:name w:val="Plain Text Char"/>
    <w:basedOn w:val="DefaultParagraphFont"/>
    <w:link w:val="PlainText"/>
    <w:uiPriority w:val="99"/>
    <w:rsid w:val="00DF3F3B"/>
    <w:rPr>
      <w:rFonts w:ascii="Calibri" w:hAnsi="Calibri"/>
      <w:szCs w:val="21"/>
    </w:rPr>
  </w:style>
  <w:style w:type="paragraph" w:styleId="ListParagraph">
    <w:name w:val="List Paragraph"/>
    <w:basedOn w:val="Normal"/>
    <w:uiPriority w:val="34"/>
    <w:qFormat/>
    <w:rsid w:val="00DF3F3B"/>
    <w:pPr>
      <w:ind w:left="720"/>
      <w:contextualSpacing/>
    </w:pPr>
    <w:rPr>
      <w:rFonts w:eastAsiaTheme="minorHAnsi"/>
      <w:szCs w:val="22"/>
      <w:lang w:val="en-AU" w:bidi="ar-SA"/>
    </w:rPr>
  </w:style>
  <w:style w:type="paragraph" w:styleId="Header">
    <w:name w:val="header"/>
    <w:basedOn w:val="Normal"/>
    <w:link w:val="HeaderChar"/>
    <w:uiPriority w:val="99"/>
    <w:unhideWhenUsed/>
    <w:rsid w:val="00DF3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F3B"/>
    <w:rPr>
      <w:rFonts w:eastAsiaTheme="minorEastAsia"/>
      <w:szCs w:val="28"/>
      <w:lang w:val="en-US" w:bidi="bn-IN"/>
    </w:rPr>
  </w:style>
  <w:style w:type="paragraph" w:styleId="Footer">
    <w:name w:val="footer"/>
    <w:basedOn w:val="Normal"/>
    <w:link w:val="FooterChar"/>
    <w:uiPriority w:val="99"/>
    <w:unhideWhenUsed/>
    <w:rsid w:val="00DF3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3B"/>
    <w:rPr>
      <w:rFonts w:eastAsiaTheme="minorEastAsia"/>
      <w:szCs w:val="28"/>
      <w:lang w:val="en-US" w:bidi="bn-IN"/>
    </w:rPr>
  </w:style>
  <w:style w:type="character" w:styleId="LineNumber">
    <w:name w:val="line number"/>
    <w:basedOn w:val="DefaultParagraphFont"/>
    <w:uiPriority w:val="99"/>
    <w:semiHidden/>
    <w:unhideWhenUsed/>
    <w:rsid w:val="00DF3F3B"/>
  </w:style>
  <w:style w:type="paragraph" w:styleId="BalloonText">
    <w:name w:val="Balloon Text"/>
    <w:basedOn w:val="Normal"/>
    <w:link w:val="BalloonTextChar"/>
    <w:uiPriority w:val="99"/>
    <w:semiHidden/>
    <w:unhideWhenUsed/>
    <w:rsid w:val="00CC3E9A"/>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C3E9A"/>
    <w:rPr>
      <w:rFonts w:ascii="Tahoma" w:eastAsiaTheme="minorEastAsia" w:hAnsi="Tahoma" w:cs="Tahoma"/>
      <w:sz w:val="16"/>
      <w:szCs w:val="20"/>
      <w:lang w:val="en-US"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B"/>
    <w:pPr>
      <w:spacing w:after="200" w:line="276" w:lineRule="auto"/>
    </w:pPr>
    <w:rPr>
      <w:rFonts w:eastAsiaTheme="minorEastAsia"/>
      <w:szCs w:val="28"/>
      <w:lang w:val="en-US" w:bidi="bn-IN"/>
    </w:rPr>
  </w:style>
  <w:style w:type="paragraph" w:styleId="Heading1">
    <w:name w:val="heading 1"/>
    <w:basedOn w:val="Normal"/>
    <w:link w:val="Heading1Char"/>
    <w:uiPriority w:val="9"/>
    <w:qFormat/>
    <w:rsid w:val="00DF3F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F3B"/>
    <w:rPr>
      <w:rFonts w:ascii="Times New Roman" w:eastAsia="Times New Roman" w:hAnsi="Times New Roman" w:cs="Times New Roman"/>
      <w:b/>
      <w:bCs/>
      <w:kern w:val="36"/>
      <w:sz w:val="48"/>
      <w:szCs w:val="48"/>
      <w:lang w:eastAsia="en-AU" w:bidi="bn-IN"/>
    </w:rPr>
  </w:style>
  <w:style w:type="table" w:styleId="TableGrid">
    <w:name w:val="Table Grid"/>
    <w:basedOn w:val="TableNormal"/>
    <w:uiPriority w:val="59"/>
    <w:rsid w:val="00D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3F3B"/>
    <w:rPr>
      <w:color w:val="0000FF"/>
      <w:u w:val="single"/>
    </w:rPr>
  </w:style>
  <w:style w:type="paragraph" w:customStyle="1" w:styleId="EndNoteBibliographyTitle">
    <w:name w:val="EndNote Bibliography Title"/>
    <w:basedOn w:val="Normal"/>
    <w:link w:val="EndNoteBibliographyTitleChar"/>
    <w:rsid w:val="00DF3F3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F3F3B"/>
    <w:rPr>
      <w:rFonts w:ascii="Calibri" w:eastAsiaTheme="minorEastAsia" w:hAnsi="Calibri"/>
      <w:noProof/>
      <w:szCs w:val="28"/>
      <w:lang w:val="en-US" w:bidi="bn-IN"/>
    </w:rPr>
  </w:style>
  <w:style w:type="paragraph" w:customStyle="1" w:styleId="EndNoteBibliography">
    <w:name w:val="EndNote Bibliography"/>
    <w:basedOn w:val="Normal"/>
    <w:link w:val="EndNoteBibliographyChar"/>
    <w:rsid w:val="00DF3F3B"/>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F3F3B"/>
    <w:rPr>
      <w:rFonts w:ascii="Calibri" w:eastAsiaTheme="minorEastAsia" w:hAnsi="Calibri"/>
      <w:noProof/>
      <w:szCs w:val="28"/>
      <w:lang w:val="en-US" w:bidi="bn-IN"/>
    </w:rPr>
  </w:style>
  <w:style w:type="paragraph" w:styleId="PlainText">
    <w:name w:val="Plain Text"/>
    <w:basedOn w:val="Normal"/>
    <w:link w:val="PlainTextChar"/>
    <w:uiPriority w:val="99"/>
    <w:unhideWhenUsed/>
    <w:rsid w:val="00DF3F3B"/>
    <w:pPr>
      <w:spacing w:after="0" w:line="240" w:lineRule="auto"/>
    </w:pPr>
    <w:rPr>
      <w:rFonts w:ascii="Calibri" w:eastAsiaTheme="minorHAnsi" w:hAnsi="Calibri"/>
      <w:szCs w:val="21"/>
      <w:lang w:val="en-AU" w:bidi="ar-SA"/>
    </w:rPr>
  </w:style>
  <w:style w:type="character" w:customStyle="1" w:styleId="PlainTextChar">
    <w:name w:val="Plain Text Char"/>
    <w:basedOn w:val="DefaultParagraphFont"/>
    <w:link w:val="PlainText"/>
    <w:uiPriority w:val="99"/>
    <w:rsid w:val="00DF3F3B"/>
    <w:rPr>
      <w:rFonts w:ascii="Calibri" w:hAnsi="Calibri"/>
      <w:szCs w:val="21"/>
    </w:rPr>
  </w:style>
  <w:style w:type="paragraph" w:styleId="ListParagraph">
    <w:name w:val="List Paragraph"/>
    <w:basedOn w:val="Normal"/>
    <w:uiPriority w:val="34"/>
    <w:qFormat/>
    <w:rsid w:val="00DF3F3B"/>
    <w:pPr>
      <w:ind w:left="720"/>
      <w:contextualSpacing/>
    </w:pPr>
    <w:rPr>
      <w:rFonts w:eastAsiaTheme="minorHAnsi"/>
      <w:szCs w:val="22"/>
      <w:lang w:val="en-AU" w:bidi="ar-SA"/>
    </w:rPr>
  </w:style>
  <w:style w:type="paragraph" w:styleId="Header">
    <w:name w:val="header"/>
    <w:basedOn w:val="Normal"/>
    <w:link w:val="HeaderChar"/>
    <w:uiPriority w:val="99"/>
    <w:unhideWhenUsed/>
    <w:rsid w:val="00DF3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F3B"/>
    <w:rPr>
      <w:rFonts w:eastAsiaTheme="minorEastAsia"/>
      <w:szCs w:val="28"/>
      <w:lang w:val="en-US" w:bidi="bn-IN"/>
    </w:rPr>
  </w:style>
  <w:style w:type="paragraph" w:styleId="Footer">
    <w:name w:val="footer"/>
    <w:basedOn w:val="Normal"/>
    <w:link w:val="FooterChar"/>
    <w:uiPriority w:val="99"/>
    <w:unhideWhenUsed/>
    <w:rsid w:val="00DF3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3B"/>
    <w:rPr>
      <w:rFonts w:eastAsiaTheme="minorEastAsia"/>
      <w:szCs w:val="28"/>
      <w:lang w:val="en-US" w:bidi="bn-IN"/>
    </w:rPr>
  </w:style>
  <w:style w:type="character" w:styleId="LineNumber">
    <w:name w:val="line number"/>
    <w:basedOn w:val="DefaultParagraphFont"/>
    <w:uiPriority w:val="99"/>
    <w:semiHidden/>
    <w:unhideWhenUsed/>
    <w:rsid w:val="00DF3F3B"/>
  </w:style>
  <w:style w:type="paragraph" w:styleId="BalloonText">
    <w:name w:val="Balloon Text"/>
    <w:basedOn w:val="Normal"/>
    <w:link w:val="BalloonTextChar"/>
    <w:uiPriority w:val="99"/>
    <w:semiHidden/>
    <w:unhideWhenUsed/>
    <w:rsid w:val="00CC3E9A"/>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C3E9A"/>
    <w:rPr>
      <w:rFonts w:ascii="Tahoma" w:eastAsiaTheme="minorEastAsia" w:hAnsi="Tahoma" w:cs="Tahoma"/>
      <w:sz w:val="16"/>
      <w:szCs w:val="20"/>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6339">
      <w:bodyDiv w:val="1"/>
      <w:marLeft w:val="0"/>
      <w:marRight w:val="0"/>
      <w:marTop w:val="0"/>
      <w:marBottom w:val="0"/>
      <w:divBdr>
        <w:top w:val="none" w:sz="0" w:space="0" w:color="auto"/>
        <w:left w:val="none" w:sz="0" w:space="0" w:color="auto"/>
        <w:bottom w:val="none" w:sz="0" w:space="0" w:color="auto"/>
        <w:right w:val="none" w:sz="0" w:space="0" w:color="auto"/>
      </w:divBdr>
      <w:divsChild>
        <w:div w:id="1414549571">
          <w:marLeft w:val="0"/>
          <w:marRight w:val="0"/>
          <w:marTop w:val="0"/>
          <w:marBottom w:val="0"/>
          <w:divBdr>
            <w:top w:val="none" w:sz="0" w:space="0" w:color="auto"/>
            <w:left w:val="none" w:sz="0" w:space="0" w:color="auto"/>
            <w:bottom w:val="none" w:sz="0" w:space="0" w:color="auto"/>
            <w:right w:val="none" w:sz="0" w:space="0" w:color="auto"/>
          </w:divBdr>
        </w:div>
      </w:divsChild>
    </w:div>
    <w:div w:id="1525560381">
      <w:bodyDiv w:val="1"/>
      <w:marLeft w:val="0"/>
      <w:marRight w:val="0"/>
      <w:marTop w:val="0"/>
      <w:marBottom w:val="0"/>
      <w:divBdr>
        <w:top w:val="none" w:sz="0" w:space="0" w:color="auto"/>
        <w:left w:val="none" w:sz="0" w:space="0" w:color="auto"/>
        <w:bottom w:val="none" w:sz="0" w:space="0" w:color="auto"/>
        <w:right w:val="none" w:sz="0" w:space="0" w:color="auto"/>
      </w:divBdr>
      <w:divsChild>
        <w:div w:id="666251079">
          <w:marLeft w:val="0"/>
          <w:marRight w:val="0"/>
          <w:marTop w:val="0"/>
          <w:marBottom w:val="0"/>
          <w:divBdr>
            <w:top w:val="none" w:sz="0" w:space="0" w:color="auto"/>
            <w:left w:val="none" w:sz="0" w:space="0" w:color="auto"/>
            <w:bottom w:val="none" w:sz="0" w:space="0" w:color="auto"/>
            <w:right w:val="none" w:sz="0" w:space="0" w:color="auto"/>
          </w:divBdr>
        </w:div>
      </w:divsChild>
    </w:div>
    <w:div w:id="1914315061">
      <w:bodyDiv w:val="1"/>
      <w:marLeft w:val="0"/>
      <w:marRight w:val="0"/>
      <w:marTop w:val="0"/>
      <w:marBottom w:val="0"/>
      <w:divBdr>
        <w:top w:val="none" w:sz="0" w:space="0" w:color="auto"/>
        <w:left w:val="none" w:sz="0" w:space="0" w:color="auto"/>
        <w:bottom w:val="none" w:sz="0" w:space="0" w:color="auto"/>
        <w:right w:val="none" w:sz="0" w:space="0" w:color="auto"/>
      </w:divBdr>
    </w:div>
    <w:div w:id="20613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daker.Mahbub@uts.edu.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rmjiss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Khandaker Rayhan Mahbub</dc:creator>
  <cp:lastModifiedBy>Khandaker Mahbub</cp:lastModifiedBy>
  <cp:revision>20</cp:revision>
  <dcterms:created xsi:type="dcterms:W3CDTF">2016-12-08T22:09:00Z</dcterms:created>
  <dcterms:modified xsi:type="dcterms:W3CDTF">2017-04-20T05:41:00Z</dcterms:modified>
</cp:coreProperties>
</file>